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4A122"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bookmarkStart w:id="0" w:name="table-des-matieres"/>
    </w:p>
    <w:p w14:paraId="0BA67B1C" w14:textId="77777777" w:rsidR="00D774F7" w:rsidRPr="00D774F7" w:rsidRDefault="00D774F7" w:rsidP="00D774F7">
      <w:pPr>
        <w:pBdr>
          <w:top w:val="nil"/>
          <w:left w:val="nil"/>
          <w:bottom w:val="nil"/>
          <w:right w:val="nil"/>
          <w:between w:val="nil"/>
        </w:pBdr>
        <w:suppressAutoHyphens w:val="0"/>
        <w:spacing w:after="0" w:line="259" w:lineRule="auto"/>
        <w:jc w:val="center"/>
        <w:rPr>
          <w:rFonts w:ascii="Cambria" w:eastAsia="Cambria" w:hAnsi="Cambria" w:cs="Cambria"/>
          <w:lang w:val="fr-CA" w:eastAsia="en-CA"/>
        </w:rPr>
      </w:pPr>
    </w:p>
    <w:p w14:paraId="0CCD87EA" w14:textId="77777777" w:rsidR="00D774F7" w:rsidRPr="00D774F7" w:rsidRDefault="00D774F7" w:rsidP="00D774F7">
      <w:pPr>
        <w:pBdr>
          <w:top w:val="nil"/>
          <w:left w:val="nil"/>
          <w:bottom w:val="nil"/>
          <w:right w:val="nil"/>
          <w:between w:val="nil"/>
        </w:pBdr>
        <w:suppressAutoHyphens w:val="0"/>
        <w:spacing w:after="0" w:line="259" w:lineRule="auto"/>
        <w:jc w:val="center"/>
        <w:rPr>
          <w:rFonts w:ascii="Cambria" w:eastAsia="Cambria" w:hAnsi="Cambria" w:cs="Cambria"/>
          <w:lang w:val="fr-CA" w:eastAsia="en-CA"/>
        </w:rPr>
      </w:pPr>
    </w:p>
    <w:p w14:paraId="43E3CBF6" w14:textId="77777777" w:rsidR="00D774F7" w:rsidRPr="00D774F7" w:rsidRDefault="00D774F7" w:rsidP="00D774F7">
      <w:pPr>
        <w:pBdr>
          <w:top w:val="nil"/>
          <w:left w:val="nil"/>
          <w:bottom w:val="nil"/>
          <w:right w:val="nil"/>
          <w:between w:val="nil"/>
        </w:pBdr>
        <w:suppressAutoHyphens w:val="0"/>
        <w:spacing w:after="0" w:line="259" w:lineRule="auto"/>
        <w:rPr>
          <w:rFonts w:ascii="Cambria" w:eastAsia="Cambria" w:hAnsi="Cambria" w:cs="Cambria"/>
          <w:lang w:val="fr-CA" w:eastAsia="en-CA"/>
        </w:rPr>
      </w:pPr>
    </w:p>
    <w:p w14:paraId="15147FCD" w14:textId="77777777" w:rsidR="00D774F7" w:rsidRPr="00D774F7" w:rsidRDefault="00D774F7" w:rsidP="00D774F7">
      <w:pPr>
        <w:pBdr>
          <w:top w:val="nil"/>
          <w:left w:val="nil"/>
          <w:bottom w:val="nil"/>
          <w:right w:val="nil"/>
          <w:between w:val="nil"/>
        </w:pBdr>
        <w:suppressAutoHyphens w:val="0"/>
        <w:spacing w:after="0" w:line="259" w:lineRule="auto"/>
        <w:jc w:val="center"/>
        <w:rPr>
          <w:rFonts w:ascii="Cambria" w:eastAsia="Cambria" w:hAnsi="Cambria" w:cs="Cambria"/>
          <w:lang w:val="fr-CA" w:eastAsia="en-CA"/>
        </w:rPr>
      </w:pPr>
    </w:p>
    <w:p w14:paraId="4E77905F" w14:textId="77777777" w:rsidR="00D774F7" w:rsidRPr="00D774F7" w:rsidRDefault="00D774F7" w:rsidP="00D774F7">
      <w:pPr>
        <w:pBdr>
          <w:top w:val="nil"/>
          <w:left w:val="nil"/>
          <w:bottom w:val="nil"/>
          <w:right w:val="nil"/>
          <w:between w:val="nil"/>
        </w:pBdr>
        <w:suppressAutoHyphens w:val="0"/>
        <w:spacing w:after="0" w:line="259" w:lineRule="auto"/>
        <w:jc w:val="center"/>
        <w:rPr>
          <w:rFonts w:ascii="Cambria" w:eastAsia="Cambria" w:hAnsi="Cambria" w:cs="Cambria"/>
          <w:lang w:val="fr-CA" w:eastAsia="en-CA"/>
        </w:rPr>
      </w:pPr>
    </w:p>
    <w:p w14:paraId="4BC40C97" w14:textId="77777777" w:rsidR="00D774F7" w:rsidRPr="00D774F7" w:rsidRDefault="00D774F7" w:rsidP="00D774F7">
      <w:pPr>
        <w:pBdr>
          <w:top w:val="nil"/>
          <w:left w:val="nil"/>
          <w:bottom w:val="nil"/>
          <w:right w:val="nil"/>
          <w:between w:val="nil"/>
        </w:pBdr>
        <w:suppressAutoHyphens w:val="0"/>
        <w:spacing w:after="0" w:line="259" w:lineRule="auto"/>
        <w:rPr>
          <w:rFonts w:ascii="Cambria" w:eastAsia="Cambria" w:hAnsi="Cambria" w:cs="Cambria"/>
          <w:lang w:val="fr-CA" w:eastAsia="en-CA"/>
        </w:rPr>
      </w:pPr>
    </w:p>
    <w:p w14:paraId="3B23D233" w14:textId="77777777" w:rsidR="00D774F7" w:rsidRPr="00D774F7" w:rsidRDefault="00D774F7" w:rsidP="00D774F7">
      <w:pPr>
        <w:suppressAutoHyphens w:val="0"/>
        <w:spacing w:after="0" w:line="259" w:lineRule="auto"/>
        <w:jc w:val="center"/>
        <w:rPr>
          <w:rFonts w:ascii="Cambria" w:eastAsia="Cambria" w:hAnsi="Cambria" w:cs="Cambria"/>
          <w:color w:val="2E75B5"/>
          <w:sz w:val="194"/>
          <w:szCs w:val="194"/>
          <w:lang w:val="fr-CA" w:eastAsia="en-CA"/>
        </w:rPr>
      </w:pPr>
      <w:r w:rsidRPr="00D774F7">
        <w:rPr>
          <w:rFonts w:ascii="Cambria" w:eastAsia="Cambria" w:hAnsi="Cambria" w:cs="Cambria"/>
          <w:color w:val="2E75B5"/>
          <w:sz w:val="194"/>
          <w:szCs w:val="194"/>
          <w:lang w:val="fr-CA" w:eastAsia="en-CA"/>
        </w:rPr>
        <w:t>CIDOC CRM</w:t>
      </w:r>
    </w:p>
    <w:p w14:paraId="6843C418" w14:textId="77777777" w:rsidR="00D774F7" w:rsidRPr="00D774F7" w:rsidRDefault="00D774F7" w:rsidP="00D774F7">
      <w:pPr>
        <w:suppressAutoHyphens w:val="0"/>
        <w:spacing w:after="0" w:line="259" w:lineRule="auto"/>
        <w:jc w:val="center"/>
        <w:rPr>
          <w:rFonts w:ascii="Cambria" w:eastAsia="Cambria" w:hAnsi="Cambria" w:cs="Cambria"/>
          <w:color w:val="2E75B5"/>
          <w:sz w:val="20"/>
          <w:szCs w:val="20"/>
          <w:lang w:val="fr-CA" w:eastAsia="en-CA"/>
        </w:rPr>
      </w:pPr>
      <w:r w:rsidRPr="00D774F7">
        <w:rPr>
          <w:rFonts w:ascii="Cambria" w:eastAsia="Cambria" w:hAnsi="Cambria" w:cs="Cambria"/>
          <w:color w:val="2E75B5"/>
          <w:sz w:val="20"/>
          <w:szCs w:val="20"/>
          <w:lang w:val="fr-CA" w:eastAsia="en-CA"/>
        </w:rPr>
        <w:t>Modèle conceptuel de référence du Comité international pour la documentation du Conseil international des musées</w:t>
      </w:r>
    </w:p>
    <w:p w14:paraId="0AC6B732"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p>
    <w:p w14:paraId="046EB0EA"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p>
    <w:p w14:paraId="2585B9E1"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p>
    <w:p w14:paraId="1638C169"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p>
    <w:p w14:paraId="1A60965D"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r w:rsidRPr="00D774F7">
        <w:rPr>
          <w:rFonts w:ascii="Cambria" w:eastAsia="Cambria" w:hAnsi="Cambria" w:cs="Cambria"/>
          <w:lang w:val="fr-CA" w:eastAsia="en-CA"/>
        </w:rPr>
        <w:t>Version</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lang w:val="fr-CA" w:eastAsia="en-CA"/>
        </w:rPr>
        <w:t>7.1.3</w:t>
      </w:r>
    </w:p>
    <w:p w14:paraId="067530A0"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r w:rsidRPr="00D774F7">
        <w:rPr>
          <w:rFonts w:ascii="Cambria" w:eastAsia="Cambria" w:hAnsi="Cambria" w:cs="Cambria"/>
          <w:lang w:val="fr-CA" w:eastAsia="en-CA"/>
        </w:rPr>
        <w:t>Correspond à ISO</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lang w:val="fr-CA" w:eastAsia="en-CA"/>
        </w:rPr>
        <w:t xml:space="preserve">21127:2023 </w:t>
      </w:r>
    </w:p>
    <w:p w14:paraId="58D71E80"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p>
    <w:p w14:paraId="4FB9ED11"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p>
    <w:p w14:paraId="2AC8737A"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p>
    <w:p w14:paraId="6702E20A"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r w:rsidRPr="00D774F7">
        <w:rPr>
          <w:rFonts w:ascii="Cambria" w:eastAsia="Cambria" w:hAnsi="Cambria" w:cs="Cambria"/>
          <w:lang w:val="fr-CA" w:eastAsia="en-CA"/>
        </w:rPr>
        <w:t>Application des mises à jour et corrections du texte original (février</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lang w:val="fr-CA" w:eastAsia="en-CA"/>
        </w:rPr>
        <w:t xml:space="preserve">2024) : </w:t>
      </w:r>
    </w:p>
    <w:p w14:paraId="74A687D9" w14:textId="77777777" w:rsidR="00D774F7" w:rsidRPr="00D774F7" w:rsidRDefault="00D774F7" w:rsidP="00D774F7">
      <w:pPr>
        <w:suppressAutoHyphens w:val="0"/>
        <w:spacing w:after="0" w:line="259" w:lineRule="auto"/>
        <w:jc w:val="center"/>
        <w:rPr>
          <w:rFonts w:ascii="Cambria" w:eastAsia="Cambria" w:hAnsi="Cambria" w:cs="Cambria"/>
          <w:lang w:val="en-CA" w:eastAsia="en-CA"/>
        </w:rPr>
      </w:pPr>
      <w:r w:rsidRPr="00D774F7">
        <w:rPr>
          <w:rFonts w:ascii="Cambria" w:eastAsia="Cambria" w:hAnsi="Cambria" w:cs="Cambria"/>
          <w:lang w:val="en-CA" w:eastAsia="en-CA"/>
        </w:rPr>
        <w:t>Chryssoula</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lang w:val="en-CA" w:eastAsia="en-CA"/>
        </w:rPr>
        <w:t>Bekiari, George</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lang w:val="en-CA" w:eastAsia="en-CA"/>
        </w:rPr>
        <w:t>Bruseker, Erin</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lang w:val="en-CA" w:eastAsia="en-CA"/>
        </w:rPr>
        <w:t>Canning, Martin</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lang w:val="en-CA" w:eastAsia="en-CA"/>
        </w:rPr>
        <w:t>Dœrr, Philippe</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lang w:val="en-CA" w:eastAsia="en-CA"/>
        </w:rPr>
        <w:t>Michon, Christian-Emil</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lang w:val="en-CA" w:eastAsia="en-CA"/>
        </w:rPr>
        <w:t>Ore, Stephen</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lang w:val="en-CA" w:eastAsia="en-CA"/>
        </w:rPr>
        <w:t>Stead, Athanasios</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lang w:val="en-CA" w:eastAsia="en-CA"/>
        </w:rPr>
        <w:t>Velios</w:t>
      </w:r>
    </w:p>
    <w:p w14:paraId="33B69774" w14:textId="77777777" w:rsidR="00D774F7" w:rsidRPr="00D774F7" w:rsidRDefault="00D774F7" w:rsidP="00D774F7">
      <w:pPr>
        <w:suppressAutoHyphens w:val="0"/>
        <w:spacing w:after="0" w:line="259" w:lineRule="auto"/>
        <w:jc w:val="center"/>
        <w:rPr>
          <w:rFonts w:ascii="Cambria" w:eastAsia="Cambria" w:hAnsi="Cambria" w:cs="Cambria"/>
          <w:lang w:val="en-CA" w:eastAsia="en-CA"/>
        </w:rPr>
      </w:pPr>
    </w:p>
    <w:p w14:paraId="7EDD0E49" w14:textId="77777777" w:rsidR="00D774F7" w:rsidRPr="00D774F7" w:rsidRDefault="00D774F7" w:rsidP="00D774F7">
      <w:pPr>
        <w:suppressAutoHyphens w:val="0"/>
        <w:spacing w:after="0" w:line="259" w:lineRule="auto"/>
        <w:jc w:val="center"/>
        <w:rPr>
          <w:rFonts w:ascii="Cambria" w:eastAsia="Cambria" w:hAnsi="Cambria" w:cs="Cambria"/>
          <w:lang w:val="en-CA" w:eastAsia="en-CA"/>
        </w:rPr>
      </w:pPr>
    </w:p>
    <w:p w14:paraId="0179FBDD" w14:textId="77777777" w:rsidR="00D774F7" w:rsidRPr="00D774F7" w:rsidRDefault="00D774F7" w:rsidP="00D774F7">
      <w:pPr>
        <w:suppressAutoHyphens w:val="0"/>
        <w:spacing w:after="0" w:line="259" w:lineRule="auto"/>
        <w:jc w:val="center"/>
        <w:rPr>
          <w:rFonts w:ascii="Cambria" w:eastAsia="Cambria" w:hAnsi="Cambria" w:cs="Cambria"/>
          <w:lang w:val="en-CA" w:eastAsia="en-CA"/>
        </w:rPr>
      </w:pPr>
    </w:p>
    <w:p w14:paraId="3FBFEBC8" w14:textId="77777777" w:rsidR="00D774F7" w:rsidRPr="00D774F7" w:rsidRDefault="00D774F7" w:rsidP="00D774F7">
      <w:pPr>
        <w:suppressAutoHyphens w:val="0"/>
        <w:spacing w:after="0" w:line="259" w:lineRule="auto"/>
        <w:jc w:val="center"/>
        <w:rPr>
          <w:rFonts w:ascii="Cambria" w:eastAsia="Cambria" w:hAnsi="Cambria" w:cs="Cambria"/>
          <w:lang w:val="en-CA" w:eastAsia="en-CA"/>
        </w:rPr>
      </w:pPr>
    </w:p>
    <w:p w14:paraId="40C52EB9"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r w:rsidRPr="00D774F7">
        <w:rPr>
          <w:rFonts w:ascii="Cambria" w:eastAsia="Cambria" w:hAnsi="Cambria" w:cs="Cambria"/>
          <w:lang w:val="fr-CA" w:eastAsia="en-CA"/>
        </w:rPr>
        <w:t>Traduction (août</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lang w:val="fr-CA" w:eastAsia="en-CA"/>
        </w:rPr>
        <w:t xml:space="preserve">2024) : </w:t>
      </w:r>
    </w:p>
    <w:p w14:paraId="1923E1A2" w14:textId="77777777" w:rsidR="00925724" w:rsidRDefault="00D774F7" w:rsidP="00D774F7">
      <w:pPr>
        <w:suppressAutoHyphens w:val="0"/>
        <w:spacing w:after="0" w:line="259" w:lineRule="auto"/>
        <w:jc w:val="center"/>
        <w:rPr>
          <w:rFonts w:ascii="Cambria" w:eastAsia="Cambria" w:hAnsi="Cambria" w:cs="Cambria"/>
          <w:lang w:val="fr-CA" w:eastAsia="en-CA"/>
        </w:rPr>
      </w:pPr>
      <w:r w:rsidRPr="00D774F7">
        <w:rPr>
          <w:rFonts w:ascii="Cambria" w:eastAsia="Cambria" w:hAnsi="Cambria" w:cs="Cambria"/>
          <w:lang w:val="fr-CA" w:eastAsia="en-CA"/>
        </w:rPr>
        <w:t xml:space="preserve">Marie-Pier Blain, Frédéric Bricaud, Camille Crevier-Lalonde, Stephen Hart, Karine Léonard Brouillet, </w:t>
      </w:r>
    </w:p>
    <w:p w14:paraId="679E570E" w14:textId="278E4CC5" w:rsidR="00D774F7" w:rsidRPr="00D774F7" w:rsidRDefault="00925724" w:rsidP="00D774F7">
      <w:pPr>
        <w:suppressAutoHyphens w:val="0"/>
        <w:spacing w:after="0" w:line="259" w:lineRule="auto"/>
        <w:jc w:val="center"/>
        <w:rPr>
          <w:rFonts w:ascii="Cambria" w:eastAsia="Cambria" w:hAnsi="Cambria" w:cs="Cambria"/>
          <w:lang w:val="fr-CA" w:eastAsia="en-CA"/>
        </w:rPr>
      </w:pPr>
      <w:r w:rsidRPr="00D774F7">
        <w:rPr>
          <w:rFonts w:ascii="Cambria" w:eastAsia="Cambria" w:hAnsi="Cambria" w:cs="Cambria"/>
          <w:lang w:val="fr-CA" w:eastAsia="en-CA"/>
        </w:rPr>
        <w:t>M</w:t>
      </w:r>
      <w:r>
        <w:rPr>
          <w:rFonts w:ascii="Cambria" w:eastAsia="Cambria" w:hAnsi="Cambria" w:cs="Cambria"/>
          <w:lang w:val="fr-CA" w:eastAsia="en-CA"/>
        </w:rPr>
        <w:t>a</w:t>
      </w:r>
      <w:r w:rsidRPr="00D774F7">
        <w:rPr>
          <w:rFonts w:ascii="Cambria" w:eastAsia="Cambria" w:hAnsi="Cambria" w:cs="Cambria"/>
          <w:lang w:val="fr-CA" w:eastAsia="en-CA"/>
        </w:rPr>
        <w:t>rie-Élaine</w:t>
      </w:r>
      <w:r w:rsidR="00D774F7" w:rsidRPr="00D774F7">
        <w:rPr>
          <w:rFonts w:ascii="Cambria" w:eastAsia="Cambria" w:hAnsi="Cambria" w:cs="Cambria"/>
          <w:lang w:val="fr-CA" w:eastAsia="en-CA"/>
        </w:rPr>
        <w:t> Mathieu, Philippe Michon, Marielle St-Germain</w:t>
      </w:r>
    </w:p>
    <w:p w14:paraId="407EAAD9" w14:textId="77777777" w:rsidR="00D774F7" w:rsidRPr="00D774F7" w:rsidRDefault="00D774F7" w:rsidP="00D774F7">
      <w:pPr>
        <w:suppressAutoHyphens w:val="0"/>
        <w:spacing w:after="0" w:line="259" w:lineRule="auto"/>
        <w:rPr>
          <w:rFonts w:ascii="Cambria" w:eastAsia="Cambria" w:hAnsi="Cambria" w:cs="Cambria"/>
          <w:lang w:val="fr-CA" w:eastAsia="en-CA"/>
        </w:rPr>
      </w:pPr>
    </w:p>
    <w:p w14:paraId="566D1CD9" w14:textId="77777777" w:rsidR="00D774F7" w:rsidRDefault="00D774F7" w:rsidP="00D774F7">
      <w:pPr>
        <w:suppressAutoHyphens w:val="0"/>
        <w:spacing w:after="0" w:line="259" w:lineRule="auto"/>
        <w:rPr>
          <w:rFonts w:ascii="Cambria" w:eastAsia="Cambria" w:hAnsi="Cambria" w:cs="Cambria"/>
          <w:lang w:val="fr-CA" w:eastAsia="en-CA"/>
        </w:rPr>
      </w:pPr>
    </w:p>
    <w:p w14:paraId="69141DD5" w14:textId="77777777" w:rsidR="009F071C" w:rsidRDefault="009F071C" w:rsidP="00D774F7">
      <w:pPr>
        <w:suppressAutoHyphens w:val="0"/>
        <w:spacing w:after="0" w:line="259" w:lineRule="auto"/>
        <w:rPr>
          <w:rFonts w:ascii="Cambria" w:eastAsia="Cambria" w:hAnsi="Cambria" w:cs="Cambria"/>
          <w:lang w:val="fr-CA" w:eastAsia="en-CA"/>
        </w:rPr>
      </w:pPr>
    </w:p>
    <w:p w14:paraId="2253AC43" w14:textId="77777777" w:rsidR="009F071C" w:rsidRDefault="009F071C" w:rsidP="00D774F7">
      <w:pPr>
        <w:suppressAutoHyphens w:val="0"/>
        <w:spacing w:after="0" w:line="259" w:lineRule="auto"/>
        <w:rPr>
          <w:rFonts w:ascii="Cambria" w:eastAsia="Cambria" w:hAnsi="Cambria" w:cs="Cambria"/>
          <w:lang w:val="fr-CA" w:eastAsia="en-CA"/>
        </w:rPr>
      </w:pPr>
    </w:p>
    <w:p w14:paraId="6055F6A8" w14:textId="77777777" w:rsidR="009F071C" w:rsidRPr="00D774F7" w:rsidRDefault="009F071C" w:rsidP="00D774F7">
      <w:pPr>
        <w:suppressAutoHyphens w:val="0"/>
        <w:spacing w:after="0" w:line="259" w:lineRule="auto"/>
        <w:rPr>
          <w:rFonts w:ascii="Cambria" w:eastAsia="Cambria" w:hAnsi="Cambria" w:cs="Cambria"/>
          <w:lang w:val="fr-CA" w:eastAsia="en-CA"/>
        </w:rPr>
      </w:pPr>
    </w:p>
    <w:p w14:paraId="32F89EC1"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r w:rsidRPr="00D774F7">
        <w:rPr>
          <w:rFonts w:ascii="Cambria" w:eastAsia="Cambria" w:hAnsi="Cambria" w:cs="Cambria"/>
          <w:lang w:val="fr-CA" w:eastAsia="en-CA"/>
        </w:rPr>
        <w:t>Architecture technologique et conception</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lang w:val="fr-CA" w:eastAsia="en-CA"/>
        </w:rPr>
        <w:t xml:space="preserve">: </w:t>
      </w:r>
    </w:p>
    <w:p w14:paraId="06EF1780" w14:textId="77777777" w:rsidR="00D774F7" w:rsidRPr="00D774F7" w:rsidRDefault="00D774F7" w:rsidP="00D774F7">
      <w:pPr>
        <w:suppressAutoHyphens w:val="0"/>
        <w:spacing w:after="0" w:line="259" w:lineRule="auto"/>
        <w:jc w:val="center"/>
        <w:rPr>
          <w:rFonts w:ascii="Cambria" w:eastAsia="Cambria" w:hAnsi="Cambria" w:cs="Cambria"/>
          <w:lang w:val="fr-CA" w:eastAsia="en-CA"/>
        </w:rPr>
      </w:pPr>
      <w:r w:rsidRPr="00D774F7">
        <w:rPr>
          <w:rFonts w:ascii="Cambria" w:eastAsia="Cambria" w:hAnsi="Cambria" w:cs="Cambria"/>
          <w:lang w:val="fr-CA" w:eastAsia="en-CA"/>
        </w:rPr>
        <w:t>Nguyen Khanh Trang Dang</w:t>
      </w:r>
    </w:p>
    <w:p w14:paraId="1D65449F" w14:textId="77777777" w:rsidR="00D774F7" w:rsidRPr="00D774F7" w:rsidRDefault="00D774F7" w:rsidP="00D774F7">
      <w:pPr>
        <w:suppressAutoHyphens w:val="0"/>
        <w:spacing w:after="0" w:line="259" w:lineRule="auto"/>
        <w:jc w:val="both"/>
        <w:rPr>
          <w:rFonts w:ascii="Cambria" w:eastAsia="Cambria" w:hAnsi="Cambria" w:cs="Cambria"/>
          <w:lang w:val="fr-CA" w:eastAsia="en-CA"/>
        </w:rPr>
      </w:pPr>
    </w:p>
    <w:p w14:paraId="5106474D" w14:textId="77777777" w:rsidR="00D774F7" w:rsidRPr="00D774F7" w:rsidRDefault="00D774F7" w:rsidP="00D774F7">
      <w:pPr>
        <w:suppressAutoHyphens w:val="0"/>
        <w:spacing w:after="0" w:line="259" w:lineRule="auto"/>
        <w:jc w:val="both"/>
        <w:rPr>
          <w:rFonts w:ascii="Cambria" w:eastAsia="Cambria" w:hAnsi="Cambria" w:cs="Cambria"/>
          <w:lang w:val="fr-CA" w:eastAsia="en-CA"/>
        </w:rPr>
      </w:pPr>
    </w:p>
    <w:p w14:paraId="1A8D7317" w14:textId="77777777" w:rsidR="009F071C" w:rsidRDefault="009F071C" w:rsidP="00D774F7">
      <w:pPr>
        <w:suppressAutoHyphens w:val="0"/>
        <w:spacing w:after="0" w:line="259" w:lineRule="auto"/>
        <w:jc w:val="both"/>
        <w:rPr>
          <w:rFonts w:ascii="Cambria" w:eastAsia="Cambria" w:hAnsi="Cambria" w:cs="Cambria"/>
          <w:lang w:val="fr-CA" w:eastAsia="en-CA"/>
        </w:rPr>
      </w:pPr>
    </w:p>
    <w:p w14:paraId="0BD97C97" w14:textId="0B88CF82" w:rsidR="00D774F7" w:rsidRPr="00D774F7" w:rsidRDefault="00D774F7" w:rsidP="00D774F7">
      <w:pPr>
        <w:suppressAutoHyphens w:val="0"/>
        <w:spacing w:after="0" w:line="259" w:lineRule="auto"/>
        <w:jc w:val="both"/>
        <w:rPr>
          <w:rFonts w:ascii="Cambria" w:eastAsia="Cambria" w:hAnsi="Cambria" w:cs="Cambria"/>
          <w:lang w:val="fr-CA" w:eastAsia="en-CA"/>
        </w:rPr>
      </w:pPr>
      <w:r w:rsidRPr="00D774F7">
        <w:rPr>
          <w:rFonts w:ascii="Cambria" w:eastAsia="Cambria" w:hAnsi="Cambria" w:cs="Cambria"/>
          <w:noProof/>
          <w:lang w:val="fr-CA" w:eastAsia="en-CA"/>
        </w:rPr>
        <w:drawing>
          <wp:inline distT="19050" distB="19050" distL="19050" distR="19050" wp14:anchorId="3DCF1244" wp14:editId="4BFC8D20">
            <wp:extent cx="3648075" cy="3023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4573" r="46358" b="29378"/>
                    <a:stretch>
                      <a:fillRect/>
                    </a:stretch>
                  </pic:blipFill>
                  <pic:spPr>
                    <a:xfrm>
                      <a:off x="0" y="0"/>
                      <a:ext cx="3648075" cy="302379"/>
                    </a:xfrm>
                    <a:prstGeom prst="rect">
                      <a:avLst/>
                    </a:prstGeom>
                    <a:ln/>
                  </pic:spPr>
                </pic:pic>
              </a:graphicData>
            </a:graphic>
          </wp:inline>
        </w:drawing>
      </w:r>
      <w:r w:rsidRPr="00D774F7">
        <w:rPr>
          <w:rFonts w:ascii="Cambria" w:eastAsia="Cambria" w:hAnsi="Cambria" w:cs="Cambria"/>
          <w:lang w:val="fr-CA" w:eastAsia="en-CA"/>
        </w:rPr>
        <w:tab/>
      </w:r>
      <w:r w:rsidRPr="00D774F7">
        <w:rPr>
          <w:rFonts w:ascii="Cambria" w:eastAsia="Cambria" w:hAnsi="Cambria" w:cs="Cambria"/>
          <w:lang w:val="fr-CA" w:eastAsia="en-CA"/>
        </w:rPr>
        <w:tab/>
      </w:r>
      <w:r w:rsidRPr="00D774F7">
        <w:rPr>
          <w:rFonts w:ascii="Cambria" w:eastAsia="Cambria" w:hAnsi="Cambria" w:cs="Cambria"/>
          <w:lang w:val="fr-CA" w:eastAsia="en-CA"/>
        </w:rPr>
        <w:tab/>
      </w:r>
      <w:r w:rsidRPr="00D774F7">
        <w:rPr>
          <w:rFonts w:ascii="Cambria" w:eastAsia="Cambria" w:hAnsi="Cambria" w:cs="Cambria"/>
          <w:lang w:val="fr-CA" w:eastAsia="en-CA"/>
        </w:rPr>
        <w:tab/>
      </w:r>
      <w:r w:rsidR="009F071C">
        <w:rPr>
          <w:rFonts w:ascii="Cambria" w:eastAsia="Cambria" w:hAnsi="Cambria" w:cs="Cambria"/>
          <w:lang w:val="fr-CA" w:eastAsia="en-CA"/>
        </w:rPr>
        <w:tab/>
        <w:t xml:space="preserve">           </w:t>
      </w:r>
      <w:r w:rsidRPr="00D774F7">
        <w:rPr>
          <w:rFonts w:ascii="Cambria" w:eastAsia="Cambria" w:hAnsi="Cambria" w:cs="Cambria"/>
          <w:noProof/>
          <w:lang w:val="fr-CA" w:eastAsia="en-CA"/>
        </w:rPr>
        <w:drawing>
          <wp:inline distT="19050" distB="19050" distL="19050" distR="19050" wp14:anchorId="32BED6F9" wp14:editId="5E49D9D5">
            <wp:extent cx="971550" cy="288033"/>
            <wp:effectExtent l="0" t="0" r="0" b="0"/>
            <wp:docPr id="2" name="image2.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black text on a white background&#10;&#10;Description automatically generated"/>
                    <pic:cNvPicPr preferRelativeResize="0"/>
                  </pic:nvPicPr>
                  <pic:blipFill>
                    <a:blip r:embed="rId13"/>
                    <a:srcRect t="14856" b="13623"/>
                    <a:stretch>
                      <a:fillRect/>
                    </a:stretch>
                  </pic:blipFill>
                  <pic:spPr>
                    <a:xfrm>
                      <a:off x="0" y="0"/>
                      <a:ext cx="971550" cy="288033"/>
                    </a:xfrm>
                    <a:prstGeom prst="rect">
                      <a:avLst/>
                    </a:prstGeom>
                    <a:ln/>
                  </pic:spPr>
                </pic:pic>
              </a:graphicData>
            </a:graphic>
          </wp:inline>
        </w:drawing>
      </w:r>
    </w:p>
    <w:p w14:paraId="151A5DBE" w14:textId="77777777" w:rsidR="009F071C" w:rsidRDefault="009F071C" w:rsidP="00D774F7">
      <w:pPr>
        <w:suppressAutoHyphens w:val="0"/>
        <w:spacing w:after="0" w:line="259" w:lineRule="auto"/>
        <w:jc w:val="both"/>
        <w:rPr>
          <w:rFonts w:ascii="Cambria" w:eastAsia="Cambria" w:hAnsi="Cambria" w:cs="Cambria"/>
          <w:i/>
          <w:sz w:val="20"/>
          <w:szCs w:val="20"/>
          <w:lang w:val="fr-CA" w:eastAsia="en-CA"/>
        </w:rPr>
      </w:pPr>
    </w:p>
    <w:p w14:paraId="318D68A6" w14:textId="4B910284" w:rsidR="00D774F7" w:rsidRPr="00D774F7" w:rsidRDefault="00D774F7" w:rsidP="00D774F7">
      <w:pPr>
        <w:suppressAutoHyphens w:val="0"/>
        <w:spacing w:after="0" w:line="259" w:lineRule="auto"/>
        <w:jc w:val="both"/>
        <w:rPr>
          <w:rFonts w:ascii="Cambria" w:eastAsia="Cambria" w:hAnsi="Cambria" w:cs="Cambria"/>
          <w:i/>
          <w:sz w:val="20"/>
          <w:szCs w:val="20"/>
          <w:lang w:val="fr-CA" w:eastAsia="en-CA"/>
        </w:rPr>
      </w:pPr>
      <w:r w:rsidRPr="00D774F7">
        <w:rPr>
          <w:rFonts w:ascii="Cambria" w:eastAsia="Cambria" w:hAnsi="Cambria" w:cs="Cambria"/>
          <w:i/>
          <w:sz w:val="20"/>
          <w:szCs w:val="20"/>
          <w:lang w:val="fr-CA" w:eastAsia="en-CA"/>
        </w:rPr>
        <w:lastRenderedPageBreak/>
        <w:t>CIDOC</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i/>
          <w:sz w:val="20"/>
          <w:szCs w:val="20"/>
          <w:lang w:val="fr-CA" w:eastAsia="en-CA"/>
        </w:rPr>
        <w:t>CRM : Modèle conceptuel de référence du Comité international pour la documentation du Conseil international des musées</w:t>
      </w:r>
    </w:p>
    <w:p w14:paraId="18F48033" w14:textId="77777777" w:rsidR="00D774F7" w:rsidRPr="00D774F7" w:rsidRDefault="00D774F7" w:rsidP="00D774F7">
      <w:pPr>
        <w:pBdr>
          <w:top w:val="nil"/>
          <w:left w:val="nil"/>
          <w:bottom w:val="nil"/>
          <w:right w:val="nil"/>
          <w:between w:val="nil"/>
        </w:pBdr>
        <w:tabs>
          <w:tab w:val="left" w:pos="2550"/>
        </w:tabs>
        <w:suppressAutoHyphens w:val="0"/>
        <w:spacing w:after="0" w:line="259" w:lineRule="auto"/>
        <w:ind w:left="2551" w:hanging="2551"/>
        <w:rPr>
          <w:rFonts w:ascii="Cambria" w:eastAsia="Cambria" w:hAnsi="Cambria" w:cs="Cambria"/>
          <w:sz w:val="20"/>
          <w:szCs w:val="20"/>
          <w:lang w:val="fr-CA" w:eastAsia="en-CA"/>
        </w:rPr>
      </w:pPr>
    </w:p>
    <w:tbl>
      <w:tblPr>
        <w:tblW w:w="1070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2552"/>
        <w:gridCol w:w="8153"/>
      </w:tblGrid>
      <w:tr w:rsidR="00D774F7" w:rsidRPr="00010123" w14:paraId="031C7230" w14:textId="77777777" w:rsidTr="00FE007F">
        <w:tc>
          <w:tcPr>
            <w:tcW w:w="2552" w:type="dxa"/>
          </w:tcPr>
          <w:p w14:paraId="76E6DA79" w14:textId="77777777" w:rsidR="00D774F7" w:rsidRPr="00D774F7" w:rsidRDefault="00D774F7" w:rsidP="00D774F7">
            <w:pPr>
              <w:tabs>
                <w:tab w:val="left" w:pos="2550"/>
              </w:tabs>
              <w:suppressAutoHyphens w:val="0"/>
              <w:spacing w:after="0" w:line="259" w:lineRule="auto"/>
              <w:ind w:left="-111"/>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Application des mises à jour et corrections du texte original :</w:t>
            </w:r>
          </w:p>
          <w:p w14:paraId="11584BC5" w14:textId="77777777" w:rsidR="00D774F7" w:rsidRPr="00D774F7" w:rsidRDefault="00D774F7" w:rsidP="00D774F7">
            <w:pPr>
              <w:tabs>
                <w:tab w:val="left" w:pos="2550"/>
              </w:tabs>
              <w:suppressAutoHyphens w:val="0"/>
              <w:spacing w:after="0" w:line="259" w:lineRule="auto"/>
              <w:ind w:left="-111"/>
              <w:rPr>
                <w:rFonts w:ascii="Cambria" w:eastAsia="Cambria" w:hAnsi="Cambria" w:cs="Cambria"/>
                <w:sz w:val="20"/>
                <w:szCs w:val="20"/>
                <w:lang w:val="fr-CA" w:eastAsia="en-CA"/>
              </w:rPr>
            </w:pPr>
          </w:p>
        </w:tc>
        <w:tc>
          <w:tcPr>
            <w:tcW w:w="8153" w:type="dxa"/>
          </w:tcPr>
          <w:p w14:paraId="035F8921" w14:textId="77777777" w:rsidR="00D774F7" w:rsidRPr="00D774F7" w:rsidRDefault="00D774F7" w:rsidP="00D774F7">
            <w:pPr>
              <w:tabs>
                <w:tab w:val="left" w:pos="2550"/>
              </w:tabs>
              <w:suppressAutoHyphens w:val="0"/>
              <w:spacing w:after="240" w:line="259" w:lineRule="auto"/>
              <w:rPr>
                <w:rFonts w:ascii="Cambria" w:eastAsia="Cambria" w:hAnsi="Cambria" w:cs="Cambria"/>
                <w:sz w:val="20"/>
                <w:szCs w:val="20"/>
                <w:lang w:val="en-CA" w:eastAsia="en-CA"/>
              </w:rPr>
            </w:pPr>
            <w:r w:rsidRPr="00D774F7">
              <w:rPr>
                <w:rFonts w:ascii="Cambria" w:eastAsia="Cambria" w:hAnsi="Cambria" w:cs="Cambria"/>
                <w:sz w:val="20"/>
                <w:szCs w:val="20"/>
                <w:lang w:val="en-CA" w:eastAsia="en-CA"/>
              </w:rPr>
              <w:t>Chryssoula</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sz w:val="20"/>
                <w:szCs w:val="20"/>
                <w:lang w:val="en-CA" w:eastAsia="en-CA"/>
              </w:rPr>
              <w:t>Bekiari, George</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sz w:val="20"/>
                <w:szCs w:val="20"/>
                <w:lang w:val="en-CA" w:eastAsia="en-CA"/>
              </w:rPr>
              <w:t>Bruseker, Erin</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sz w:val="20"/>
                <w:szCs w:val="20"/>
                <w:lang w:val="en-CA" w:eastAsia="en-CA"/>
              </w:rPr>
              <w:t>Canning, Martin</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sz w:val="20"/>
                <w:szCs w:val="20"/>
                <w:lang w:val="en-CA" w:eastAsia="en-CA"/>
              </w:rPr>
              <w:t>Dœrr, Philippe</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sz w:val="20"/>
                <w:szCs w:val="20"/>
                <w:lang w:val="en-CA" w:eastAsia="en-CA"/>
              </w:rPr>
              <w:t>Michon, Christian-Emil</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sz w:val="20"/>
                <w:szCs w:val="20"/>
                <w:lang w:val="en-CA" w:eastAsia="en-CA"/>
              </w:rPr>
              <w:t>Ore, Stephen</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sz w:val="20"/>
                <w:szCs w:val="20"/>
                <w:lang w:val="en-CA" w:eastAsia="en-CA"/>
              </w:rPr>
              <w:t>Stead, Athanasios</w:t>
            </w:r>
            <w:r w:rsidRPr="00D774F7">
              <w:rPr>
                <w:rFonts w:ascii="Times New Roman" w:eastAsia="Times New Roman" w:hAnsi="Times New Roman" w:cs="Times New Roman"/>
                <w:sz w:val="20"/>
                <w:szCs w:val="20"/>
                <w:lang w:val="en-CA" w:eastAsia="en-CA"/>
              </w:rPr>
              <w:t> </w:t>
            </w:r>
            <w:r w:rsidRPr="00D774F7">
              <w:rPr>
                <w:rFonts w:ascii="Cambria" w:eastAsia="Cambria" w:hAnsi="Cambria" w:cs="Cambria"/>
                <w:sz w:val="20"/>
                <w:szCs w:val="20"/>
                <w:lang w:val="en-CA" w:eastAsia="en-CA"/>
              </w:rPr>
              <w:t>Velios</w:t>
            </w:r>
          </w:p>
        </w:tc>
      </w:tr>
      <w:tr w:rsidR="00D774F7" w:rsidRPr="00D774F7" w14:paraId="40B1A3E3" w14:textId="77777777" w:rsidTr="00FE007F">
        <w:tc>
          <w:tcPr>
            <w:tcW w:w="2552" w:type="dxa"/>
          </w:tcPr>
          <w:p w14:paraId="75553B94" w14:textId="77777777" w:rsidR="00D774F7" w:rsidRPr="00D774F7" w:rsidRDefault="00D774F7" w:rsidP="00D774F7">
            <w:pPr>
              <w:tabs>
                <w:tab w:val="left" w:pos="2550"/>
              </w:tabs>
              <w:suppressAutoHyphens w:val="0"/>
              <w:spacing w:after="0" w:line="259" w:lineRule="auto"/>
              <w:ind w:left="-111"/>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Traduction :</w:t>
            </w:r>
          </w:p>
        </w:tc>
        <w:tc>
          <w:tcPr>
            <w:tcW w:w="8153" w:type="dxa"/>
          </w:tcPr>
          <w:p w14:paraId="61DB9A0C" w14:textId="77777777" w:rsidR="00D774F7" w:rsidRPr="00D774F7" w:rsidRDefault="00D774F7" w:rsidP="00D774F7">
            <w:pPr>
              <w:tabs>
                <w:tab w:val="left" w:pos="2550"/>
              </w:tabs>
              <w:suppressAutoHyphens w:val="0"/>
              <w:spacing w:after="240" w:line="259" w:lineRule="auto"/>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Marie-Pier</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Blain, Frédéric</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Bricaud, Camille</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Crevier-Lalonde, Stephen</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Hart, Karine</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Léonard</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Brouillet, Marie-Elaine</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Mathieu, Philippe</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Michon, Marielle</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St-Germain</w:t>
            </w:r>
          </w:p>
        </w:tc>
      </w:tr>
      <w:tr w:rsidR="00D774F7" w:rsidRPr="00D774F7" w14:paraId="3116EC4E" w14:textId="77777777" w:rsidTr="00FE007F">
        <w:tc>
          <w:tcPr>
            <w:tcW w:w="2552" w:type="dxa"/>
          </w:tcPr>
          <w:p w14:paraId="79E91A05" w14:textId="77777777" w:rsidR="00D774F7" w:rsidRPr="00D774F7" w:rsidRDefault="00D774F7" w:rsidP="00D774F7">
            <w:pPr>
              <w:tabs>
                <w:tab w:val="left" w:pos="2550"/>
              </w:tabs>
              <w:suppressAutoHyphens w:val="0"/>
              <w:spacing w:after="0" w:line="259" w:lineRule="auto"/>
              <w:ind w:left="-111"/>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Graphisme :</w:t>
            </w:r>
          </w:p>
        </w:tc>
        <w:tc>
          <w:tcPr>
            <w:tcW w:w="8153" w:type="dxa"/>
          </w:tcPr>
          <w:p w14:paraId="7E983ADB" w14:textId="77777777" w:rsidR="00D774F7" w:rsidRPr="00D774F7" w:rsidRDefault="00D774F7" w:rsidP="00D774F7">
            <w:pPr>
              <w:tabs>
                <w:tab w:val="left" w:pos="2550"/>
              </w:tabs>
              <w:suppressAutoHyphens w:val="0"/>
              <w:spacing w:after="240" w:line="259" w:lineRule="auto"/>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Nguyen Khanh Trang Dang, Stephen Hart, Karine Léonard Brouillet, Philippe Michon</w:t>
            </w:r>
          </w:p>
        </w:tc>
      </w:tr>
      <w:tr w:rsidR="00D774F7" w:rsidRPr="00D774F7" w14:paraId="718B2769" w14:textId="77777777" w:rsidTr="00FE007F">
        <w:tc>
          <w:tcPr>
            <w:tcW w:w="2552" w:type="dxa"/>
          </w:tcPr>
          <w:p w14:paraId="577432D8" w14:textId="77777777" w:rsidR="00D774F7" w:rsidRPr="00D774F7" w:rsidRDefault="00D774F7" w:rsidP="00D774F7">
            <w:pPr>
              <w:tabs>
                <w:tab w:val="left" w:pos="2550"/>
              </w:tabs>
              <w:suppressAutoHyphens w:val="0"/>
              <w:spacing w:after="0" w:line="259" w:lineRule="auto"/>
              <w:ind w:left="-111"/>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Architecture technologique et conception :</w:t>
            </w:r>
          </w:p>
        </w:tc>
        <w:tc>
          <w:tcPr>
            <w:tcW w:w="8153" w:type="dxa"/>
          </w:tcPr>
          <w:p w14:paraId="1FCF5F63" w14:textId="77777777" w:rsidR="00D774F7" w:rsidRPr="00D774F7" w:rsidRDefault="00D774F7" w:rsidP="00D774F7">
            <w:pPr>
              <w:tabs>
                <w:tab w:val="left" w:pos="2550"/>
              </w:tabs>
              <w:suppressAutoHyphens w:val="0"/>
              <w:spacing w:after="0" w:line="259" w:lineRule="auto"/>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Nguyen</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Khanh</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Trang</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Dang</w:t>
            </w:r>
          </w:p>
        </w:tc>
      </w:tr>
    </w:tbl>
    <w:p w14:paraId="0273EE2B" w14:textId="77777777" w:rsidR="00D774F7" w:rsidRPr="00D774F7" w:rsidRDefault="00D774F7" w:rsidP="00D774F7">
      <w:pPr>
        <w:suppressAutoHyphens w:val="0"/>
        <w:spacing w:after="0" w:line="259" w:lineRule="auto"/>
        <w:jc w:val="both"/>
        <w:rPr>
          <w:rFonts w:ascii="Cambria" w:eastAsia="Cambria" w:hAnsi="Cambria" w:cs="Cambria"/>
          <w:sz w:val="20"/>
          <w:szCs w:val="20"/>
          <w:lang w:val="fr-CA" w:eastAsia="en-CA"/>
        </w:rPr>
      </w:pPr>
    </w:p>
    <w:p w14:paraId="3484A763" w14:textId="77777777" w:rsidR="00D774F7" w:rsidRPr="00D774F7" w:rsidRDefault="00D774F7" w:rsidP="00D774F7">
      <w:pPr>
        <w:suppressAutoHyphens w:val="0"/>
        <w:spacing w:after="0" w:line="259" w:lineRule="auto"/>
        <w:jc w:val="both"/>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 xml:space="preserve">La présente version est la traduction de la version originale anglaise 7.1.3 de </w:t>
      </w:r>
      <w:r w:rsidRPr="00D774F7">
        <w:rPr>
          <w:rFonts w:ascii="Cambria" w:eastAsia="Cambria" w:hAnsi="Cambria" w:cs="Cambria"/>
          <w:i/>
          <w:sz w:val="20"/>
          <w:szCs w:val="20"/>
          <w:lang w:val="fr-CA" w:eastAsia="en-CA"/>
        </w:rPr>
        <w:t xml:space="preserve">Volume A: Definition of the CIDOC Conceptual Reference Model, </w:t>
      </w:r>
      <w:r w:rsidRPr="00D774F7">
        <w:rPr>
          <w:rFonts w:ascii="Cambria" w:eastAsia="Cambria" w:hAnsi="Cambria" w:cs="Cambria"/>
          <w:sz w:val="20"/>
          <w:szCs w:val="20"/>
          <w:lang w:val="fr-CA" w:eastAsia="en-CA"/>
        </w:rPr>
        <w:t xml:space="preserve">publiée en février 2024 (© Contributeurs individuels au CIDOC CRM, 2024). Les modifications apportées au document anglais après la publication de cette traduction ne sont pas reflétées dans la traduction. </w:t>
      </w:r>
    </w:p>
    <w:p w14:paraId="60164A8C" w14:textId="77777777" w:rsidR="00D774F7" w:rsidRPr="00D774F7" w:rsidRDefault="00D774F7" w:rsidP="00D774F7">
      <w:pPr>
        <w:suppressAutoHyphens w:val="0"/>
        <w:spacing w:after="0" w:line="259" w:lineRule="auto"/>
        <w:jc w:val="both"/>
        <w:rPr>
          <w:rFonts w:ascii="Cambria" w:eastAsia="Cambria" w:hAnsi="Cambria" w:cs="Cambria"/>
          <w:sz w:val="20"/>
          <w:szCs w:val="20"/>
          <w:lang w:val="fr-CA" w:eastAsia="en-CA"/>
        </w:rPr>
      </w:pPr>
    </w:p>
    <w:p w14:paraId="5236B593" w14:textId="77777777" w:rsidR="00D774F7" w:rsidRPr="00D774F7" w:rsidRDefault="00D774F7" w:rsidP="00D774F7">
      <w:pPr>
        <w:suppressAutoHyphens w:val="0"/>
        <w:spacing w:after="0" w:line="259" w:lineRule="auto"/>
        <w:jc w:val="both"/>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 xml:space="preserve">Cette traduction est accessible en vertu d’une licence CC BY 4.0, ce qui signifie que les utilisateur·trice·s sont autorisé·e·s à distribuer, remixer, transformer et créer à partir du contenu original de cette documentation, dans quelque format que ce soit, du moment que les attributions nécessaires sont effectuées. </w:t>
      </w:r>
    </w:p>
    <w:p w14:paraId="17E0A4A4" w14:textId="77777777" w:rsidR="00D774F7" w:rsidRPr="00D774F7" w:rsidRDefault="00D774F7" w:rsidP="00D774F7">
      <w:pPr>
        <w:suppressAutoHyphens w:val="0"/>
        <w:spacing w:after="0" w:line="259" w:lineRule="auto"/>
        <w:jc w:val="both"/>
        <w:rPr>
          <w:rFonts w:ascii="Cambria" w:eastAsia="Cambria" w:hAnsi="Cambria" w:cs="Cambria"/>
          <w:sz w:val="20"/>
          <w:szCs w:val="20"/>
          <w:lang w:val="fr-CA" w:eastAsia="en-CA"/>
        </w:rPr>
      </w:pPr>
    </w:p>
    <w:p w14:paraId="2018F20F" w14:textId="77777777" w:rsidR="00D774F7" w:rsidRPr="00D774F7" w:rsidRDefault="00D774F7" w:rsidP="00D774F7">
      <w:pPr>
        <w:suppressAutoHyphens w:val="0"/>
        <w:spacing w:after="0" w:line="259" w:lineRule="auto"/>
        <w:jc w:val="both"/>
        <w:rPr>
          <w:rFonts w:ascii="Cambria" w:eastAsia="Cambria" w:hAnsi="Cambria" w:cs="Cambria"/>
          <w:sz w:val="20"/>
          <w:szCs w:val="20"/>
          <w:lang w:val="fr-CA" w:eastAsia="en-CA"/>
        </w:rPr>
      </w:pPr>
    </w:p>
    <w:p w14:paraId="780AF20D" w14:textId="77777777" w:rsidR="00D774F7" w:rsidRPr="00D774F7" w:rsidRDefault="00D774F7" w:rsidP="00D774F7">
      <w:pPr>
        <w:pBdr>
          <w:top w:val="nil"/>
          <w:left w:val="nil"/>
          <w:bottom w:val="nil"/>
          <w:right w:val="nil"/>
          <w:between w:val="nil"/>
        </w:pBdr>
        <w:tabs>
          <w:tab w:val="left" w:pos="2550"/>
        </w:tabs>
        <w:suppressAutoHyphens w:val="0"/>
        <w:spacing w:after="0" w:line="259" w:lineRule="auto"/>
        <w:ind w:left="2551" w:hanging="2551"/>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 xml:space="preserve">Publié par : </w:t>
      </w:r>
      <w:r w:rsidRPr="00D774F7">
        <w:rPr>
          <w:rFonts w:ascii="Cambria" w:eastAsia="Cambria" w:hAnsi="Cambria" w:cs="Cambria"/>
          <w:sz w:val="20"/>
          <w:szCs w:val="20"/>
          <w:lang w:val="fr-CA" w:eastAsia="en-CA"/>
        </w:rPr>
        <w:tab/>
        <w:t>Traduction en français du CIDOC</w:t>
      </w:r>
      <w:r w:rsidRPr="00D774F7">
        <w:rPr>
          <w:rFonts w:ascii="Times New Roman" w:eastAsia="Times New Roman" w:hAnsi="Times New Roman" w:cs="Times New Roman"/>
          <w:sz w:val="20"/>
          <w:szCs w:val="20"/>
          <w:lang w:val="fr-CA" w:eastAsia="en-CA"/>
        </w:rPr>
        <w:t> </w:t>
      </w:r>
      <w:r w:rsidRPr="00D774F7">
        <w:rPr>
          <w:rFonts w:ascii="Cambria" w:eastAsia="Cambria" w:hAnsi="Cambria" w:cs="Cambria"/>
          <w:sz w:val="20"/>
          <w:szCs w:val="20"/>
          <w:lang w:val="fr-CA" w:eastAsia="en-CA"/>
        </w:rPr>
        <w:t>CRM</w:t>
      </w:r>
    </w:p>
    <w:p w14:paraId="56F4DD4C" w14:textId="77777777" w:rsidR="00D774F7" w:rsidRPr="00D774F7" w:rsidRDefault="00D774F7" w:rsidP="00D774F7">
      <w:pPr>
        <w:pBdr>
          <w:top w:val="nil"/>
          <w:left w:val="nil"/>
          <w:bottom w:val="nil"/>
          <w:right w:val="nil"/>
          <w:between w:val="nil"/>
        </w:pBdr>
        <w:suppressAutoHyphens w:val="0"/>
        <w:spacing w:after="0" w:line="259" w:lineRule="auto"/>
        <w:ind w:left="3600" w:hanging="2551"/>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br/>
        <w:t>et</w:t>
      </w:r>
    </w:p>
    <w:p w14:paraId="0ADAA120" w14:textId="77777777" w:rsidR="00D774F7" w:rsidRPr="00D774F7" w:rsidRDefault="00D774F7" w:rsidP="00D774F7">
      <w:pPr>
        <w:pBdr>
          <w:top w:val="nil"/>
          <w:left w:val="nil"/>
          <w:bottom w:val="nil"/>
          <w:right w:val="nil"/>
          <w:between w:val="nil"/>
        </w:pBdr>
        <w:tabs>
          <w:tab w:val="left" w:pos="2550"/>
        </w:tabs>
        <w:suppressAutoHyphens w:val="0"/>
        <w:spacing w:after="0" w:line="259" w:lineRule="auto"/>
        <w:ind w:left="2551" w:hanging="2551"/>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 xml:space="preserve"> </w:t>
      </w:r>
    </w:p>
    <w:p w14:paraId="00640D6A" w14:textId="77777777" w:rsidR="00D774F7" w:rsidRPr="00D774F7" w:rsidRDefault="00D774F7" w:rsidP="00D774F7">
      <w:pPr>
        <w:pBdr>
          <w:top w:val="nil"/>
          <w:left w:val="nil"/>
          <w:bottom w:val="nil"/>
          <w:right w:val="nil"/>
          <w:between w:val="nil"/>
        </w:pBdr>
        <w:tabs>
          <w:tab w:val="left" w:pos="2550"/>
        </w:tabs>
        <w:suppressAutoHyphens w:val="0"/>
        <w:spacing w:after="0" w:line="259" w:lineRule="auto"/>
        <w:ind w:left="2551" w:hanging="2551"/>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ab/>
        <w:t>Réseau canadien d'information sur le patrimoine</w:t>
      </w:r>
    </w:p>
    <w:p w14:paraId="1963453F" w14:textId="77777777" w:rsidR="00D774F7" w:rsidRPr="00D774F7" w:rsidRDefault="00D774F7" w:rsidP="00D774F7">
      <w:pPr>
        <w:pBdr>
          <w:top w:val="nil"/>
          <w:left w:val="nil"/>
          <w:bottom w:val="nil"/>
          <w:right w:val="nil"/>
          <w:between w:val="nil"/>
        </w:pBdr>
        <w:tabs>
          <w:tab w:val="left" w:pos="2550"/>
        </w:tabs>
        <w:suppressAutoHyphens w:val="0"/>
        <w:spacing w:after="0" w:line="259" w:lineRule="auto"/>
        <w:ind w:left="2551" w:hanging="2551"/>
        <w:rPr>
          <w:rFonts w:ascii="Cambria" w:eastAsia="Cambria" w:hAnsi="Cambria" w:cs="Cambria"/>
          <w:sz w:val="20"/>
          <w:szCs w:val="20"/>
          <w:lang w:val="en-CA" w:eastAsia="en-CA"/>
        </w:rPr>
      </w:pPr>
      <w:r w:rsidRPr="00D774F7">
        <w:rPr>
          <w:rFonts w:ascii="Cambria" w:eastAsia="Cambria" w:hAnsi="Cambria" w:cs="Cambria"/>
          <w:sz w:val="20"/>
          <w:szCs w:val="20"/>
          <w:lang w:val="fr-CA" w:eastAsia="en-CA"/>
        </w:rPr>
        <w:tab/>
      </w:r>
      <w:r w:rsidRPr="00D774F7">
        <w:rPr>
          <w:rFonts w:ascii="Cambria" w:eastAsia="Cambria" w:hAnsi="Cambria" w:cs="Cambria"/>
          <w:sz w:val="20"/>
          <w:szCs w:val="20"/>
          <w:lang w:val="en-CA" w:eastAsia="en-CA"/>
        </w:rPr>
        <w:t>1030 rue Innes</w:t>
      </w:r>
    </w:p>
    <w:p w14:paraId="10643C09" w14:textId="77777777" w:rsidR="00D774F7" w:rsidRPr="00010123" w:rsidRDefault="00D774F7" w:rsidP="00D774F7">
      <w:pPr>
        <w:pBdr>
          <w:top w:val="nil"/>
          <w:left w:val="nil"/>
          <w:bottom w:val="nil"/>
          <w:right w:val="nil"/>
          <w:between w:val="nil"/>
        </w:pBdr>
        <w:tabs>
          <w:tab w:val="left" w:pos="2550"/>
        </w:tabs>
        <w:suppressAutoHyphens w:val="0"/>
        <w:spacing w:after="0" w:line="259" w:lineRule="auto"/>
        <w:ind w:left="2551" w:hanging="2551"/>
        <w:rPr>
          <w:rFonts w:ascii="Cambria" w:eastAsia="Cambria" w:hAnsi="Cambria" w:cs="Cambria"/>
          <w:sz w:val="20"/>
          <w:szCs w:val="20"/>
          <w:lang w:val="en-CA" w:eastAsia="en-CA"/>
        </w:rPr>
      </w:pPr>
      <w:r w:rsidRPr="00D774F7">
        <w:rPr>
          <w:rFonts w:ascii="Cambria" w:eastAsia="Cambria" w:hAnsi="Cambria" w:cs="Cambria"/>
          <w:sz w:val="20"/>
          <w:szCs w:val="20"/>
          <w:lang w:val="en-CA" w:eastAsia="en-CA"/>
        </w:rPr>
        <w:tab/>
      </w:r>
      <w:r w:rsidRPr="00010123">
        <w:rPr>
          <w:rFonts w:ascii="Cambria" w:eastAsia="Cambria" w:hAnsi="Cambria" w:cs="Cambria"/>
          <w:sz w:val="20"/>
          <w:szCs w:val="20"/>
          <w:lang w:val="en-CA" w:eastAsia="en-CA"/>
        </w:rPr>
        <w:t>Ottawa (ON) Canada, K1B 4S7</w:t>
      </w:r>
    </w:p>
    <w:p w14:paraId="705FE550" w14:textId="77777777" w:rsidR="00D774F7" w:rsidRPr="00010123" w:rsidRDefault="00D774F7" w:rsidP="00D774F7">
      <w:pPr>
        <w:suppressAutoHyphens w:val="0"/>
        <w:spacing w:after="0" w:line="259" w:lineRule="auto"/>
        <w:jc w:val="both"/>
        <w:rPr>
          <w:rFonts w:ascii="Cambria" w:eastAsia="Cambria" w:hAnsi="Cambria" w:cs="Cambria"/>
          <w:sz w:val="20"/>
          <w:szCs w:val="20"/>
          <w:lang w:val="en-CA" w:eastAsia="en-CA"/>
        </w:rPr>
      </w:pPr>
    </w:p>
    <w:p w14:paraId="29ED1B5E" w14:textId="77777777" w:rsidR="00D774F7" w:rsidRPr="00010123" w:rsidRDefault="00D774F7" w:rsidP="00D774F7">
      <w:pPr>
        <w:suppressAutoHyphens w:val="0"/>
        <w:spacing w:after="0" w:line="259" w:lineRule="auto"/>
        <w:jc w:val="both"/>
        <w:rPr>
          <w:rFonts w:ascii="Cambria" w:eastAsia="Cambria" w:hAnsi="Cambria" w:cs="Cambria"/>
          <w:sz w:val="20"/>
          <w:szCs w:val="20"/>
          <w:lang w:val="en-CA" w:eastAsia="en-CA"/>
        </w:rPr>
      </w:pPr>
    </w:p>
    <w:p w14:paraId="083FA105" w14:textId="77777777" w:rsidR="00D774F7" w:rsidRPr="00D774F7" w:rsidRDefault="00D774F7" w:rsidP="00D774F7">
      <w:pPr>
        <w:suppressAutoHyphens w:val="0"/>
        <w:spacing w:before="240" w:after="240" w:line="259" w:lineRule="auto"/>
        <w:jc w:val="both"/>
        <w:rPr>
          <w:rFonts w:ascii="Cambria" w:eastAsia="Cambria" w:hAnsi="Cambria" w:cs="Cambria"/>
          <w:sz w:val="20"/>
          <w:szCs w:val="20"/>
          <w:lang w:val="fr-CA" w:eastAsia="en-CA"/>
        </w:rPr>
      </w:pPr>
      <w:r w:rsidRPr="00D774F7">
        <w:rPr>
          <w:rFonts w:ascii="Cambria" w:eastAsia="Cambria" w:hAnsi="Cambria" w:cs="Cambria"/>
          <w:sz w:val="20"/>
          <w:szCs w:val="20"/>
          <w:lang w:val="fr-CA" w:eastAsia="en-CA"/>
        </w:rPr>
        <w:t>© Traduction en français du CIDOC CRM et gouvernement du Canada, Réseau canadien d’information sur le patrimoine, 2024</w:t>
      </w:r>
    </w:p>
    <w:p w14:paraId="0C10F551" w14:textId="77777777" w:rsidR="00D774F7" w:rsidRPr="00D774F7" w:rsidRDefault="00D774F7" w:rsidP="00D774F7">
      <w:pPr>
        <w:suppressAutoHyphens w:val="0"/>
        <w:spacing w:after="0" w:line="259" w:lineRule="auto"/>
        <w:jc w:val="both"/>
        <w:rPr>
          <w:rFonts w:ascii="Cambria" w:eastAsia="Cambria" w:hAnsi="Cambria" w:cs="Cambria"/>
          <w:sz w:val="20"/>
          <w:szCs w:val="20"/>
          <w:lang w:val="fr-CA" w:eastAsia="en-CA"/>
        </w:rPr>
      </w:pPr>
    </w:p>
    <w:p w14:paraId="019FD642" w14:textId="708D6B61" w:rsidR="00D774F7" w:rsidRPr="00D774F7" w:rsidRDefault="00D774F7" w:rsidP="00D774F7">
      <w:pPr>
        <w:suppressAutoHyphens w:val="0"/>
        <w:spacing w:after="0" w:line="259" w:lineRule="auto"/>
        <w:jc w:val="both"/>
        <w:rPr>
          <w:rFonts w:ascii="Cambria" w:eastAsia="Cambria" w:hAnsi="Cambria" w:cs="Cambria"/>
          <w:sz w:val="20"/>
          <w:szCs w:val="20"/>
          <w:lang w:val="fr-CA" w:eastAsia="en-CA"/>
        </w:rPr>
      </w:pPr>
    </w:p>
    <w:p w14:paraId="71F4F0A4" w14:textId="794DE8C8" w:rsidR="00D774F7" w:rsidRDefault="1B510771" w:rsidP="00925724">
      <w:pPr>
        <w:spacing w:before="180" w:after="180"/>
        <w:rPr>
          <w:rFonts w:ascii="Cambria" w:eastAsia="Cambria" w:hAnsi="Cambria" w:cs="Cambria"/>
          <w:color w:val="000000" w:themeColor="text1"/>
          <w:sz w:val="20"/>
          <w:szCs w:val="20"/>
          <w:lang w:val="fr-CA"/>
        </w:rPr>
      </w:pPr>
      <w:r w:rsidRPr="584C17E5">
        <w:rPr>
          <w:rFonts w:ascii="Cambria" w:eastAsia="Cambria" w:hAnsi="Cambria" w:cs="Cambria"/>
          <w:color w:val="000000" w:themeColor="text1"/>
          <w:sz w:val="20"/>
          <w:szCs w:val="20"/>
          <w:lang w:val="fr-CA"/>
        </w:rPr>
        <w:t>N</w:t>
      </w:r>
      <w:r w:rsidRPr="584C17E5">
        <w:rPr>
          <w:rFonts w:ascii="Cambria" w:eastAsia="Cambria" w:hAnsi="Cambria" w:cs="Cambria"/>
          <w:color w:val="000000" w:themeColor="text1"/>
          <w:sz w:val="20"/>
          <w:szCs w:val="20"/>
          <w:vertAlign w:val="superscript"/>
          <w:lang w:val="fr-CA"/>
        </w:rPr>
        <w:t>o</w:t>
      </w:r>
      <w:r w:rsidRPr="584C17E5">
        <w:rPr>
          <w:rFonts w:ascii="Cambria" w:eastAsia="Cambria" w:hAnsi="Cambria" w:cs="Cambria"/>
          <w:color w:val="000000" w:themeColor="text1"/>
          <w:sz w:val="20"/>
          <w:szCs w:val="20"/>
          <w:lang w:val="fr-CA"/>
        </w:rPr>
        <w:t xml:space="preserve"> de catalogue (PDF) : </w:t>
      </w:r>
      <w:r w:rsidR="02C4FD8B" w:rsidRPr="584C17E5">
        <w:rPr>
          <w:rFonts w:ascii="Cambria" w:eastAsia="Cambria" w:hAnsi="Cambria" w:cs="Cambria"/>
          <w:color w:val="000000" w:themeColor="text1"/>
          <w:sz w:val="20"/>
          <w:szCs w:val="20"/>
          <w:lang w:val="fr-CA"/>
        </w:rPr>
        <w:t>CH44-185/2024F-PDF</w:t>
      </w:r>
      <w:r w:rsidR="00D774F7">
        <w:br/>
      </w:r>
      <w:r w:rsidRPr="584C17E5">
        <w:rPr>
          <w:rFonts w:ascii="Cambria" w:eastAsia="Cambria" w:hAnsi="Cambria" w:cs="Cambria"/>
          <w:color w:val="000000" w:themeColor="text1"/>
          <w:sz w:val="20"/>
          <w:szCs w:val="20"/>
          <w:lang w:val="fr-CA"/>
        </w:rPr>
        <w:t xml:space="preserve">ISBN (PDF) </w:t>
      </w:r>
      <w:r w:rsidR="350BBDF4" w:rsidRPr="584C17E5">
        <w:rPr>
          <w:rFonts w:ascii="Cambria" w:eastAsia="Cambria" w:hAnsi="Cambria" w:cs="Cambria"/>
          <w:color w:val="000000" w:themeColor="text1"/>
          <w:sz w:val="20"/>
          <w:szCs w:val="20"/>
          <w:lang w:val="fr-CA"/>
        </w:rPr>
        <w:t>978-0-660-74488-9</w:t>
      </w:r>
    </w:p>
    <w:p w14:paraId="708AA1CA" w14:textId="739020BF" w:rsidR="00010123" w:rsidRPr="00010123" w:rsidRDefault="00010123" w:rsidP="00925724">
      <w:pPr>
        <w:spacing w:before="180" w:after="180"/>
        <w:rPr>
          <w:lang w:val="fr-CA"/>
        </w:rPr>
      </w:pPr>
      <w:r>
        <w:rPr>
          <w:sz w:val="20"/>
          <w:szCs w:val="20"/>
        </w:rPr>
        <w:t>Cette publication est également offerte au format EPUB.</w:t>
      </w:r>
    </w:p>
    <w:p w14:paraId="49A4B97B" w14:textId="2409C80A" w:rsidR="00D774F7" w:rsidRPr="00010123" w:rsidRDefault="1B510771" w:rsidP="00925724">
      <w:pPr>
        <w:spacing w:after="0" w:line="259" w:lineRule="auto"/>
        <w:rPr>
          <w:lang w:val="en-CA"/>
        </w:rPr>
      </w:pPr>
      <w:r w:rsidRPr="00010123">
        <w:rPr>
          <w:rFonts w:ascii="Cambria" w:eastAsia="Cambria" w:hAnsi="Cambria" w:cs="Cambria"/>
          <w:color w:val="000000" w:themeColor="text1"/>
          <w:sz w:val="20"/>
          <w:szCs w:val="20"/>
          <w:lang w:val="en-CA"/>
        </w:rPr>
        <w:t>N</w:t>
      </w:r>
      <w:r w:rsidRPr="00010123">
        <w:rPr>
          <w:rFonts w:ascii="Cambria" w:eastAsia="Cambria" w:hAnsi="Cambria" w:cs="Cambria"/>
          <w:color w:val="000000" w:themeColor="text1"/>
          <w:sz w:val="20"/>
          <w:szCs w:val="20"/>
          <w:vertAlign w:val="superscript"/>
          <w:lang w:val="en-CA"/>
        </w:rPr>
        <w:t>o</w:t>
      </w:r>
      <w:r w:rsidRPr="00010123">
        <w:rPr>
          <w:rFonts w:ascii="Cambria" w:eastAsia="Cambria" w:hAnsi="Cambria" w:cs="Cambria"/>
          <w:color w:val="000000" w:themeColor="text1"/>
          <w:sz w:val="20"/>
          <w:szCs w:val="20"/>
          <w:lang w:val="en-CA"/>
        </w:rPr>
        <w:t xml:space="preserve"> de catalogue (EPUB) : </w:t>
      </w:r>
      <w:r w:rsidR="0CA6F02B" w:rsidRPr="00010123">
        <w:rPr>
          <w:rFonts w:ascii="Cambria" w:eastAsia="Cambria" w:hAnsi="Cambria" w:cs="Cambria"/>
          <w:color w:val="000000" w:themeColor="text1"/>
          <w:sz w:val="20"/>
          <w:szCs w:val="20"/>
          <w:lang w:val="en-CA"/>
        </w:rPr>
        <w:t>CH44-185/2024F-EPUB</w:t>
      </w:r>
      <w:r w:rsidR="00D774F7" w:rsidRPr="00010123">
        <w:rPr>
          <w:lang w:val="en-CA"/>
        </w:rPr>
        <w:br/>
      </w:r>
      <w:r w:rsidRPr="00010123">
        <w:rPr>
          <w:rFonts w:ascii="Cambria" w:eastAsia="Cambria" w:hAnsi="Cambria" w:cs="Cambria"/>
          <w:color w:val="000000" w:themeColor="text1"/>
          <w:sz w:val="20"/>
          <w:szCs w:val="20"/>
          <w:lang w:val="en-CA"/>
        </w:rPr>
        <w:t xml:space="preserve">ISBN (EPUB) </w:t>
      </w:r>
      <w:r w:rsidR="4233A0A2" w:rsidRPr="00010123">
        <w:rPr>
          <w:rFonts w:ascii="Cambria" w:eastAsia="Cambria" w:hAnsi="Cambria" w:cs="Cambria"/>
          <w:color w:val="000000" w:themeColor="text1"/>
          <w:sz w:val="20"/>
          <w:szCs w:val="20"/>
          <w:lang w:val="en-CA"/>
        </w:rPr>
        <w:t>978-0-660-74489-6</w:t>
      </w:r>
    </w:p>
    <w:p w14:paraId="65CA01D0" w14:textId="77777777" w:rsidR="009F071C" w:rsidRPr="00010123" w:rsidRDefault="009F071C">
      <w:pPr>
        <w:spacing w:after="0"/>
        <w:rPr>
          <w:lang w:val="en-CA"/>
        </w:rPr>
      </w:pPr>
    </w:p>
    <w:p w14:paraId="1CA44C2C" w14:textId="77777777" w:rsidR="009F071C" w:rsidRPr="00010123" w:rsidRDefault="009F071C">
      <w:pPr>
        <w:spacing w:after="0"/>
        <w:rPr>
          <w:lang w:val="en-CA"/>
        </w:rPr>
      </w:pPr>
    </w:p>
    <w:p w14:paraId="366A4ABB" w14:textId="77777777" w:rsidR="009F071C" w:rsidRPr="00010123" w:rsidRDefault="009F071C">
      <w:pPr>
        <w:spacing w:after="0"/>
        <w:rPr>
          <w:lang w:val="en-CA"/>
        </w:rPr>
      </w:pPr>
    </w:p>
    <w:p w14:paraId="37E3918D" w14:textId="77777777" w:rsidR="009F071C" w:rsidRPr="00010123" w:rsidRDefault="009F071C">
      <w:pPr>
        <w:spacing w:after="0"/>
        <w:rPr>
          <w:lang w:val="en-CA"/>
        </w:rPr>
      </w:pPr>
    </w:p>
    <w:p w14:paraId="4D757C41" w14:textId="77777777" w:rsidR="009F071C" w:rsidRPr="00010123" w:rsidRDefault="009F071C">
      <w:pPr>
        <w:spacing w:after="0"/>
        <w:rPr>
          <w:lang w:val="en-CA"/>
        </w:rPr>
      </w:pPr>
    </w:p>
    <w:p w14:paraId="231F728B" w14:textId="77777777" w:rsidR="009F071C" w:rsidRPr="00010123" w:rsidRDefault="009F071C">
      <w:pPr>
        <w:spacing w:after="0"/>
        <w:rPr>
          <w:lang w:val="en-CA"/>
        </w:rPr>
      </w:pPr>
    </w:p>
    <w:p w14:paraId="13CE7D38" w14:textId="77777777" w:rsidR="009F071C" w:rsidRPr="00010123" w:rsidRDefault="009F071C">
      <w:pPr>
        <w:spacing w:after="0"/>
        <w:rPr>
          <w:lang w:val="en-CA"/>
        </w:rPr>
      </w:pPr>
    </w:p>
    <w:p w14:paraId="56BAEA01" w14:textId="77777777" w:rsidR="009F071C" w:rsidRPr="00010123" w:rsidRDefault="009F071C">
      <w:pPr>
        <w:spacing w:after="0"/>
        <w:rPr>
          <w:lang w:val="en-CA"/>
        </w:rPr>
      </w:pPr>
    </w:p>
    <w:p w14:paraId="40C4424E" w14:textId="4504CC4D" w:rsidR="009F071C" w:rsidRPr="00010123" w:rsidRDefault="00EB6B5D">
      <w:pPr>
        <w:spacing w:after="0"/>
        <w:rPr>
          <w:lang w:val="en-CA"/>
        </w:rPr>
      </w:pPr>
      <w:r w:rsidRPr="00010123">
        <w:rPr>
          <w:lang w:val="en-CA"/>
        </w:rPr>
        <w:br w:type="page"/>
      </w:r>
    </w:p>
    <w:sdt>
      <w:sdtPr>
        <w:rPr>
          <w:rFonts w:eastAsiaTheme="minorEastAsia" w:cstheme="minorBidi"/>
          <w:color w:val="auto"/>
          <w:sz w:val="24"/>
          <w:szCs w:val="24"/>
        </w:rPr>
        <w:id w:val="-1475675877"/>
        <w:docPartObj>
          <w:docPartGallery w:val="Table of Contents"/>
          <w:docPartUnique/>
        </w:docPartObj>
      </w:sdtPr>
      <w:sdtEndPr>
        <w:rPr>
          <w:b/>
          <w:bCs/>
        </w:rPr>
      </w:sdtEndPr>
      <w:sdtContent>
        <w:p w14:paraId="4FD3C34D" w14:textId="354C23C3" w:rsidR="00EB6B5D" w:rsidRDefault="00EB6B5D">
          <w:pPr>
            <w:pStyle w:val="TOCHeading"/>
          </w:pPr>
          <w:r w:rsidRPr="00EB6B5D">
            <w:t>Table des matières</w:t>
          </w:r>
        </w:p>
        <w:p w14:paraId="1AFDBB00" w14:textId="4A950C30" w:rsidR="00EB6B5D" w:rsidRDefault="00EB6B5D">
          <w:pPr>
            <w:pStyle w:val="TOC1"/>
            <w:tabs>
              <w:tab w:val="right" w:leader="dot" w:pos="10790"/>
            </w:tabs>
            <w:rPr>
              <w:noProof/>
            </w:rPr>
          </w:pPr>
          <w:r>
            <w:fldChar w:fldCharType="begin"/>
          </w:r>
          <w:r>
            <w:instrText xml:space="preserve"> TOC \o "1-3" \h \z \u </w:instrText>
          </w:r>
          <w:r>
            <w:fldChar w:fldCharType="separate"/>
          </w:r>
          <w:hyperlink w:anchor="_Toc176864401" w:history="1">
            <w:r w:rsidRPr="00633202">
              <w:rPr>
                <w:rStyle w:val="Hyperlink"/>
                <w:noProof/>
              </w:rPr>
              <w:t>Préface des traducteur·trice·s</w:t>
            </w:r>
            <w:r>
              <w:rPr>
                <w:noProof/>
                <w:webHidden/>
              </w:rPr>
              <w:tab/>
            </w:r>
            <w:r>
              <w:rPr>
                <w:noProof/>
                <w:webHidden/>
              </w:rPr>
              <w:fldChar w:fldCharType="begin"/>
            </w:r>
            <w:r>
              <w:rPr>
                <w:noProof/>
                <w:webHidden/>
              </w:rPr>
              <w:instrText xml:space="preserve"> PAGEREF _Toc176864401 \h </w:instrText>
            </w:r>
            <w:r>
              <w:rPr>
                <w:noProof/>
                <w:webHidden/>
              </w:rPr>
            </w:r>
            <w:r>
              <w:rPr>
                <w:noProof/>
                <w:webHidden/>
              </w:rPr>
              <w:fldChar w:fldCharType="separate"/>
            </w:r>
            <w:r w:rsidR="00010123">
              <w:rPr>
                <w:noProof/>
                <w:webHidden/>
              </w:rPr>
              <w:t>xi</w:t>
            </w:r>
            <w:r>
              <w:rPr>
                <w:noProof/>
                <w:webHidden/>
              </w:rPr>
              <w:fldChar w:fldCharType="end"/>
            </w:r>
          </w:hyperlink>
        </w:p>
        <w:p w14:paraId="12FBA939" w14:textId="206F3EAB" w:rsidR="00EB6B5D" w:rsidRDefault="00000000">
          <w:pPr>
            <w:pStyle w:val="TOC1"/>
            <w:tabs>
              <w:tab w:val="right" w:leader="dot" w:pos="10790"/>
            </w:tabs>
            <w:rPr>
              <w:noProof/>
            </w:rPr>
          </w:pPr>
          <w:hyperlink w:anchor="_Toc176864402" w:history="1">
            <w:r w:rsidR="00EB6B5D" w:rsidRPr="00633202">
              <w:rPr>
                <w:rStyle w:val="Hyperlink"/>
                <w:noProof/>
              </w:rPr>
              <w:t>Comment interpréter les tableaux et les interventions des traducteur·trice·s</w:t>
            </w:r>
            <w:r w:rsidR="00EB6B5D">
              <w:rPr>
                <w:noProof/>
                <w:webHidden/>
              </w:rPr>
              <w:tab/>
            </w:r>
            <w:r w:rsidR="00EB6B5D">
              <w:rPr>
                <w:noProof/>
                <w:webHidden/>
              </w:rPr>
              <w:fldChar w:fldCharType="begin"/>
            </w:r>
            <w:r w:rsidR="00EB6B5D">
              <w:rPr>
                <w:noProof/>
                <w:webHidden/>
              </w:rPr>
              <w:instrText xml:space="preserve"> PAGEREF _Toc176864402 \h </w:instrText>
            </w:r>
            <w:r w:rsidR="00EB6B5D">
              <w:rPr>
                <w:noProof/>
                <w:webHidden/>
              </w:rPr>
            </w:r>
            <w:r w:rsidR="00EB6B5D">
              <w:rPr>
                <w:noProof/>
                <w:webHidden/>
              </w:rPr>
              <w:fldChar w:fldCharType="separate"/>
            </w:r>
            <w:r w:rsidR="00010123">
              <w:rPr>
                <w:noProof/>
                <w:webHidden/>
              </w:rPr>
              <w:t>xii</w:t>
            </w:r>
            <w:r w:rsidR="00EB6B5D">
              <w:rPr>
                <w:noProof/>
                <w:webHidden/>
              </w:rPr>
              <w:fldChar w:fldCharType="end"/>
            </w:r>
          </w:hyperlink>
        </w:p>
        <w:p w14:paraId="5B97A85A" w14:textId="022F17E1" w:rsidR="00EB6B5D" w:rsidRDefault="00000000">
          <w:pPr>
            <w:pStyle w:val="TOC1"/>
            <w:tabs>
              <w:tab w:val="right" w:leader="dot" w:pos="10790"/>
            </w:tabs>
            <w:rPr>
              <w:noProof/>
            </w:rPr>
          </w:pPr>
          <w:hyperlink w:anchor="_Toc176864403" w:history="1">
            <w:r w:rsidR="00EB6B5D" w:rsidRPr="00633202">
              <w:rPr>
                <w:rStyle w:val="Hyperlink"/>
                <w:noProof/>
              </w:rPr>
              <w:t>Contenus traduits</w:t>
            </w:r>
            <w:r w:rsidR="00EB6B5D">
              <w:rPr>
                <w:noProof/>
                <w:webHidden/>
              </w:rPr>
              <w:tab/>
            </w:r>
            <w:r w:rsidR="00EB6B5D">
              <w:rPr>
                <w:noProof/>
                <w:webHidden/>
              </w:rPr>
              <w:fldChar w:fldCharType="begin"/>
            </w:r>
            <w:r w:rsidR="00EB6B5D">
              <w:rPr>
                <w:noProof/>
                <w:webHidden/>
              </w:rPr>
              <w:instrText xml:space="preserve"> PAGEREF _Toc176864403 \h </w:instrText>
            </w:r>
            <w:r w:rsidR="00EB6B5D">
              <w:rPr>
                <w:noProof/>
                <w:webHidden/>
              </w:rPr>
            </w:r>
            <w:r w:rsidR="00EB6B5D">
              <w:rPr>
                <w:noProof/>
                <w:webHidden/>
              </w:rPr>
              <w:fldChar w:fldCharType="separate"/>
            </w:r>
            <w:r w:rsidR="00010123">
              <w:rPr>
                <w:noProof/>
                <w:webHidden/>
              </w:rPr>
              <w:t>1</w:t>
            </w:r>
            <w:r w:rsidR="00EB6B5D">
              <w:rPr>
                <w:noProof/>
                <w:webHidden/>
              </w:rPr>
              <w:fldChar w:fldCharType="end"/>
            </w:r>
          </w:hyperlink>
        </w:p>
        <w:p w14:paraId="64226AD2" w14:textId="02C23DEB" w:rsidR="00EB6B5D" w:rsidRDefault="00000000">
          <w:pPr>
            <w:pStyle w:val="TOC1"/>
            <w:tabs>
              <w:tab w:val="right" w:leader="dot" w:pos="10790"/>
            </w:tabs>
            <w:rPr>
              <w:noProof/>
            </w:rPr>
          </w:pPr>
          <w:hyperlink w:anchor="_Toc176864404" w:history="1">
            <w:r w:rsidR="00EB6B5D" w:rsidRPr="00633202">
              <w:rPr>
                <w:rStyle w:val="Hyperlink"/>
                <w:noProof/>
              </w:rPr>
              <w:t>Introduction</w:t>
            </w:r>
            <w:r w:rsidR="00EB6B5D">
              <w:rPr>
                <w:noProof/>
                <w:webHidden/>
              </w:rPr>
              <w:tab/>
            </w:r>
            <w:r w:rsidR="00EB6B5D">
              <w:rPr>
                <w:noProof/>
                <w:webHidden/>
              </w:rPr>
              <w:fldChar w:fldCharType="begin"/>
            </w:r>
            <w:r w:rsidR="00EB6B5D">
              <w:rPr>
                <w:noProof/>
                <w:webHidden/>
              </w:rPr>
              <w:instrText xml:space="preserve"> PAGEREF _Toc176864404 \h </w:instrText>
            </w:r>
            <w:r w:rsidR="00EB6B5D">
              <w:rPr>
                <w:noProof/>
                <w:webHidden/>
              </w:rPr>
            </w:r>
            <w:r w:rsidR="00EB6B5D">
              <w:rPr>
                <w:noProof/>
                <w:webHidden/>
              </w:rPr>
              <w:fldChar w:fldCharType="separate"/>
            </w:r>
            <w:r w:rsidR="00010123">
              <w:rPr>
                <w:noProof/>
                <w:webHidden/>
              </w:rPr>
              <w:t>1</w:t>
            </w:r>
            <w:r w:rsidR="00EB6B5D">
              <w:rPr>
                <w:noProof/>
                <w:webHidden/>
              </w:rPr>
              <w:fldChar w:fldCharType="end"/>
            </w:r>
          </w:hyperlink>
        </w:p>
        <w:p w14:paraId="1768EA3C" w14:textId="2BB9EA92" w:rsidR="00EB6B5D" w:rsidRDefault="00000000">
          <w:pPr>
            <w:pStyle w:val="TOC2"/>
            <w:tabs>
              <w:tab w:val="right" w:leader="dot" w:pos="10790"/>
            </w:tabs>
            <w:rPr>
              <w:noProof/>
            </w:rPr>
          </w:pPr>
          <w:hyperlink w:anchor="_Toc176864405" w:history="1">
            <w:r w:rsidR="00EB6B5D" w:rsidRPr="00633202">
              <w:rPr>
                <w:rStyle w:val="Hyperlink"/>
                <w:noProof/>
              </w:rPr>
              <w:t>Objectifs du CIDOC CRM</w:t>
            </w:r>
            <w:r w:rsidR="00EB6B5D">
              <w:rPr>
                <w:noProof/>
                <w:webHidden/>
              </w:rPr>
              <w:tab/>
            </w:r>
            <w:r w:rsidR="00EB6B5D">
              <w:rPr>
                <w:noProof/>
                <w:webHidden/>
              </w:rPr>
              <w:fldChar w:fldCharType="begin"/>
            </w:r>
            <w:r w:rsidR="00EB6B5D">
              <w:rPr>
                <w:noProof/>
                <w:webHidden/>
              </w:rPr>
              <w:instrText xml:space="preserve"> PAGEREF _Toc176864405 \h </w:instrText>
            </w:r>
            <w:r w:rsidR="00EB6B5D">
              <w:rPr>
                <w:noProof/>
                <w:webHidden/>
              </w:rPr>
            </w:r>
            <w:r w:rsidR="00EB6B5D">
              <w:rPr>
                <w:noProof/>
                <w:webHidden/>
              </w:rPr>
              <w:fldChar w:fldCharType="separate"/>
            </w:r>
            <w:r w:rsidR="00010123">
              <w:rPr>
                <w:noProof/>
                <w:webHidden/>
              </w:rPr>
              <w:t>1</w:t>
            </w:r>
            <w:r w:rsidR="00EB6B5D">
              <w:rPr>
                <w:noProof/>
                <w:webHidden/>
              </w:rPr>
              <w:fldChar w:fldCharType="end"/>
            </w:r>
          </w:hyperlink>
        </w:p>
        <w:p w14:paraId="2EEEC183" w14:textId="47E6FAA8" w:rsidR="00EB6B5D" w:rsidRDefault="00000000">
          <w:pPr>
            <w:pStyle w:val="TOC2"/>
            <w:tabs>
              <w:tab w:val="right" w:leader="dot" w:pos="10790"/>
            </w:tabs>
            <w:rPr>
              <w:noProof/>
            </w:rPr>
          </w:pPr>
          <w:hyperlink w:anchor="_Toc176864406" w:history="1">
            <w:r w:rsidR="00EB6B5D" w:rsidRPr="00633202">
              <w:rPr>
                <w:rStyle w:val="Hyperlink"/>
                <w:noProof/>
              </w:rPr>
              <w:t>Portée du CIDOC CRM</w:t>
            </w:r>
            <w:r w:rsidR="00EB6B5D">
              <w:rPr>
                <w:noProof/>
                <w:webHidden/>
              </w:rPr>
              <w:tab/>
            </w:r>
            <w:r w:rsidR="00EB6B5D">
              <w:rPr>
                <w:noProof/>
                <w:webHidden/>
              </w:rPr>
              <w:fldChar w:fldCharType="begin"/>
            </w:r>
            <w:r w:rsidR="00EB6B5D">
              <w:rPr>
                <w:noProof/>
                <w:webHidden/>
              </w:rPr>
              <w:instrText xml:space="preserve"> PAGEREF _Toc176864406 \h </w:instrText>
            </w:r>
            <w:r w:rsidR="00EB6B5D">
              <w:rPr>
                <w:noProof/>
                <w:webHidden/>
              </w:rPr>
            </w:r>
            <w:r w:rsidR="00EB6B5D">
              <w:rPr>
                <w:noProof/>
                <w:webHidden/>
              </w:rPr>
              <w:fldChar w:fldCharType="separate"/>
            </w:r>
            <w:r w:rsidR="00010123">
              <w:rPr>
                <w:noProof/>
                <w:webHidden/>
              </w:rPr>
              <w:t>3</w:t>
            </w:r>
            <w:r w:rsidR="00EB6B5D">
              <w:rPr>
                <w:noProof/>
                <w:webHidden/>
              </w:rPr>
              <w:fldChar w:fldCharType="end"/>
            </w:r>
          </w:hyperlink>
        </w:p>
        <w:p w14:paraId="18827D88" w14:textId="1D61799A" w:rsidR="00EB6B5D" w:rsidRDefault="00000000">
          <w:pPr>
            <w:pStyle w:val="TOC2"/>
            <w:tabs>
              <w:tab w:val="right" w:leader="dot" w:pos="10790"/>
            </w:tabs>
            <w:rPr>
              <w:noProof/>
            </w:rPr>
          </w:pPr>
          <w:hyperlink w:anchor="_Toc176864407" w:history="1">
            <w:r w:rsidR="00EB6B5D" w:rsidRPr="00633202">
              <w:rPr>
                <w:rStyle w:val="Hyperlink"/>
                <w:noProof/>
              </w:rPr>
              <w:t>Compatibilité avec le CIDOC CRM</w:t>
            </w:r>
            <w:r w:rsidR="00EB6B5D">
              <w:rPr>
                <w:noProof/>
                <w:webHidden/>
              </w:rPr>
              <w:tab/>
            </w:r>
            <w:r w:rsidR="00EB6B5D">
              <w:rPr>
                <w:noProof/>
                <w:webHidden/>
              </w:rPr>
              <w:fldChar w:fldCharType="begin"/>
            </w:r>
            <w:r w:rsidR="00EB6B5D">
              <w:rPr>
                <w:noProof/>
                <w:webHidden/>
              </w:rPr>
              <w:instrText xml:space="preserve"> PAGEREF _Toc176864407 \h </w:instrText>
            </w:r>
            <w:r w:rsidR="00EB6B5D">
              <w:rPr>
                <w:noProof/>
                <w:webHidden/>
              </w:rPr>
            </w:r>
            <w:r w:rsidR="00EB6B5D">
              <w:rPr>
                <w:noProof/>
                <w:webHidden/>
              </w:rPr>
              <w:fldChar w:fldCharType="separate"/>
            </w:r>
            <w:r w:rsidR="00010123">
              <w:rPr>
                <w:noProof/>
                <w:webHidden/>
              </w:rPr>
              <w:t>4</w:t>
            </w:r>
            <w:r w:rsidR="00EB6B5D">
              <w:rPr>
                <w:noProof/>
                <w:webHidden/>
              </w:rPr>
              <w:fldChar w:fldCharType="end"/>
            </w:r>
          </w:hyperlink>
        </w:p>
        <w:p w14:paraId="6116940F" w14:textId="15EADF42" w:rsidR="00EB6B5D" w:rsidRDefault="00000000">
          <w:pPr>
            <w:pStyle w:val="TOC2"/>
            <w:tabs>
              <w:tab w:val="right" w:leader="dot" w:pos="10790"/>
            </w:tabs>
            <w:rPr>
              <w:noProof/>
            </w:rPr>
          </w:pPr>
          <w:hyperlink w:anchor="_Toc176864408" w:history="1">
            <w:r w:rsidR="00EB6B5D" w:rsidRPr="00633202">
              <w:rPr>
                <w:rStyle w:val="Hyperlink"/>
                <w:noProof/>
              </w:rPr>
              <w:t>Terminologie</w:t>
            </w:r>
            <w:r w:rsidR="00EB6B5D">
              <w:rPr>
                <w:noProof/>
                <w:webHidden/>
              </w:rPr>
              <w:tab/>
            </w:r>
            <w:r w:rsidR="00EB6B5D">
              <w:rPr>
                <w:noProof/>
                <w:webHidden/>
              </w:rPr>
              <w:fldChar w:fldCharType="begin"/>
            </w:r>
            <w:r w:rsidR="00EB6B5D">
              <w:rPr>
                <w:noProof/>
                <w:webHidden/>
              </w:rPr>
              <w:instrText xml:space="preserve"> PAGEREF _Toc176864408 \h </w:instrText>
            </w:r>
            <w:r w:rsidR="00EB6B5D">
              <w:rPr>
                <w:noProof/>
                <w:webHidden/>
              </w:rPr>
            </w:r>
            <w:r w:rsidR="00EB6B5D">
              <w:rPr>
                <w:noProof/>
                <w:webHidden/>
              </w:rPr>
              <w:fldChar w:fldCharType="separate"/>
            </w:r>
            <w:r w:rsidR="00010123">
              <w:rPr>
                <w:noProof/>
                <w:webHidden/>
              </w:rPr>
              <w:t>5</w:t>
            </w:r>
            <w:r w:rsidR="00EB6B5D">
              <w:rPr>
                <w:noProof/>
                <w:webHidden/>
              </w:rPr>
              <w:fldChar w:fldCharType="end"/>
            </w:r>
          </w:hyperlink>
        </w:p>
        <w:p w14:paraId="3A3AF27E" w14:textId="491F8D71" w:rsidR="00EB6B5D" w:rsidRDefault="00000000">
          <w:pPr>
            <w:pStyle w:val="TOC2"/>
            <w:tabs>
              <w:tab w:val="right" w:leader="dot" w:pos="10790"/>
            </w:tabs>
            <w:rPr>
              <w:noProof/>
            </w:rPr>
          </w:pPr>
          <w:hyperlink w:anchor="_Toc176864409" w:history="1">
            <w:r w:rsidR="00EB6B5D" w:rsidRPr="00633202">
              <w:rPr>
                <w:rStyle w:val="Hyperlink"/>
                <w:noProof/>
              </w:rPr>
              <w:t>Application formelle</w:t>
            </w:r>
            <w:r w:rsidR="00EB6B5D">
              <w:rPr>
                <w:noProof/>
                <w:webHidden/>
              </w:rPr>
              <w:tab/>
            </w:r>
            <w:r w:rsidR="00EB6B5D">
              <w:rPr>
                <w:noProof/>
                <w:webHidden/>
              </w:rPr>
              <w:fldChar w:fldCharType="begin"/>
            </w:r>
            <w:r w:rsidR="00EB6B5D">
              <w:rPr>
                <w:noProof/>
                <w:webHidden/>
              </w:rPr>
              <w:instrText xml:space="preserve"> PAGEREF _Toc176864409 \h </w:instrText>
            </w:r>
            <w:r w:rsidR="00EB6B5D">
              <w:rPr>
                <w:noProof/>
                <w:webHidden/>
              </w:rPr>
            </w:r>
            <w:r w:rsidR="00EB6B5D">
              <w:rPr>
                <w:noProof/>
                <w:webHidden/>
              </w:rPr>
              <w:fldChar w:fldCharType="separate"/>
            </w:r>
            <w:r w:rsidR="00010123">
              <w:rPr>
                <w:noProof/>
                <w:webHidden/>
              </w:rPr>
              <w:t>21</w:t>
            </w:r>
            <w:r w:rsidR="00EB6B5D">
              <w:rPr>
                <w:noProof/>
                <w:webHidden/>
              </w:rPr>
              <w:fldChar w:fldCharType="end"/>
            </w:r>
          </w:hyperlink>
        </w:p>
        <w:p w14:paraId="0275ACF6" w14:textId="4A7243C6" w:rsidR="00EB6B5D" w:rsidRDefault="00000000">
          <w:pPr>
            <w:pStyle w:val="TOC3"/>
            <w:tabs>
              <w:tab w:val="right" w:leader="dot" w:pos="10790"/>
            </w:tabs>
            <w:rPr>
              <w:noProof/>
            </w:rPr>
          </w:pPr>
          <w:hyperlink w:anchor="_Toc176864410" w:history="1">
            <w:r w:rsidR="00EB6B5D" w:rsidRPr="00633202">
              <w:rPr>
                <w:rStyle w:val="Hyperlink"/>
                <w:noProof/>
              </w:rPr>
              <w:t>Convention d’appellation</w:t>
            </w:r>
            <w:r w:rsidR="00EB6B5D">
              <w:rPr>
                <w:noProof/>
                <w:webHidden/>
              </w:rPr>
              <w:tab/>
            </w:r>
            <w:r w:rsidR="00EB6B5D">
              <w:rPr>
                <w:noProof/>
                <w:webHidden/>
              </w:rPr>
              <w:fldChar w:fldCharType="begin"/>
            </w:r>
            <w:r w:rsidR="00EB6B5D">
              <w:rPr>
                <w:noProof/>
                <w:webHidden/>
              </w:rPr>
              <w:instrText xml:space="preserve"> PAGEREF _Toc176864410 \h </w:instrText>
            </w:r>
            <w:r w:rsidR="00EB6B5D">
              <w:rPr>
                <w:noProof/>
                <w:webHidden/>
              </w:rPr>
            </w:r>
            <w:r w:rsidR="00EB6B5D">
              <w:rPr>
                <w:noProof/>
                <w:webHidden/>
              </w:rPr>
              <w:fldChar w:fldCharType="separate"/>
            </w:r>
            <w:r w:rsidR="00010123">
              <w:rPr>
                <w:noProof/>
                <w:webHidden/>
              </w:rPr>
              <w:t>22</w:t>
            </w:r>
            <w:r w:rsidR="00EB6B5D">
              <w:rPr>
                <w:noProof/>
                <w:webHidden/>
              </w:rPr>
              <w:fldChar w:fldCharType="end"/>
            </w:r>
          </w:hyperlink>
        </w:p>
        <w:p w14:paraId="7778FD08" w14:textId="1532071F" w:rsidR="00EB6B5D" w:rsidRDefault="00000000">
          <w:pPr>
            <w:pStyle w:val="TOC3"/>
            <w:tabs>
              <w:tab w:val="right" w:leader="dot" w:pos="10790"/>
            </w:tabs>
            <w:rPr>
              <w:noProof/>
            </w:rPr>
          </w:pPr>
          <w:hyperlink w:anchor="_Toc176864411" w:history="1">
            <w:r w:rsidR="00EB6B5D" w:rsidRPr="00633202">
              <w:rPr>
                <w:rStyle w:val="Hyperlink"/>
                <w:noProof/>
              </w:rPr>
              <w:t>De l’héritage et de la transitivité</w:t>
            </w:r>
            <w:r w:rsidR="00EB6B5D">
              <w:rPr>
                <w:noProof/>
                <w:webHidden/>
              </w:rPr>
              <w:tab/>
            </w:r>
            <w:r w:rsidR="00EB6B5D">
              <w:rPr>
                <w:noProof/>
                <w:webHidden/>
              </w:rPr>
              <w:fldChar w:fldCharType="begin"/>
            </w:r>
            <w:r w:rsidR="00EB6B5D">
              <w:rPr>
                <w:noProof/>
                <w:webHidden/>
              </w:rPr>
              <w:instrText xml:space="preserve"> PAGEREF _Toc176864411 \h </w:instrText>
            </w:r>
            <w:r w:rsidR="00EB6B5D">
              <w:rPr>
                <w:noProof/>
                <w:webHidden/>
              </w:rPr>
            </w:r>
            <w:r w:rsidR="00EB6B5D">
              <w:rPr>
                <w:noProof/>
                <w:webHidden/>
              </w:rPr>
              <w:fldChar w:fldCharType="separate"/>
            </w:r>
            <w:r w:rsidR="00010123">
              <w:rPr>
                <w:noProof/>
                <w:webHidden/>
              </w:rPr>
              <w:t>23</w:t>
            </w:r>
            <w:r w:rsidR="00EB6B5D">
              <w:rPr>
                <w:noProof/>
                <w:webHidden/>
              </w:rPr>
              <w:fldChar w:fldCharType="end"/>
            </w:r>
          </w:hyperlink>
        </w:p>
        <w:p w14:paraId="7790076D" w14:textId="512F0D5D" w:rsidR="00EB6B5D" w:rsidRDefault="00000000">
          <w:pPr>
            <w:pStyle w:val="TOC3"/>
            <w:tabs>
              <w:tab w:val="right" w:leader="dot" w:pos="10790"/>
            </w:tabs>
            <w:rPr>
              <w:noProof/>
            </w:rPr>
          </w:pPr>
          <w:hyperlink w:anchor="_Toc176864412" w:history="1">
            <w:r w:rsidR="00EB6B5D" w:rsidRPr="00633202">
              <w:rPr>
                <w:rStyle w:val="Hyperlink"/>
                <w:noProof/>
              </w:rPr>
              <w:t>Des raccourcis</w:t>
            </w:r>
            <w:r w:rsidR="00EB6B5D">
              <w:rPr>
                <w:noProof/>
                <w:webHidden/>
              </w:rPr>
              <w:tab/>
            </w:r>
            <w:r w:rsidR="00EB6B5D">
              <w:rPr>
                <w:noProof/>
                <w:webHidden/>
              </w:rPr>
              <w:fldChar w:fldCharType="begin"/>
            </w:r>
            <w:r w:rsidR="00EB6B5D">
              <w:rPr>
                <w:noProof/>
                <w:webHidden/>
              </w:rPr>
              <w:instrText xml:space="preserve"> PAGEREF _Toc176864412 \h </w:instrText>
            </w:r>
            <w:r w:rsidR="00EB6B5D">
              <w:rPr>
                <w:noProof/>
                <w:webHidden/>
              </w:rPr>
            </w:r>
            <w:r w:rsidR="00EB6B5D">
              <w:rPr>
                <w:noProof/>
                <w:webHidden/>
              </w:rPr>
              <w:fldChar w:fldCharType="separate"/>
            </w:r>
            <w:r w:rsidR="00010123">
              <w:rPr>
                <w:noProof/>
                <w:webHidden/>
              </w:rPr>
              <w:t>23</w:t>
            </w:r>
            <w:r w:rsidR="00EB6B5D">
              <w:rPr>
                <w:noProof/>
                <w:webHidden/>
              </w:rPr>
              <w:fldChar w:fldCharType="end"/>
            </w:r>
          </w:hyperlink>
        </w:p>
        <w:p w14:paraId="6B79EA8A" w14:textId="1D792C31" w:rsidR="00EB6B5D" w:rsidRDefault="00000000">
          <w:pPr>
            <w:pStyle w:val="TOC3"/>
            <w:tabs>
              <w:tab w:val="right" w:leader="dot" w:pos="10790"/>
            </w:tabs>
            <w:rPr>
              <w:noProof/>
            </w:rPr>
          </w:pPr>
          <w:hyperlink w:anchor="_Toc176864413" w:history="1">
            <w:r w:rsidR="00EB6B5D" w:rsidRPr="00633202">
              <w:rPr>
                <w:rStyle w:val="Hyperlink"/>
                <w:noProof/>
              </w:rPr>
              <w:t>Des expressions logiques utilisées dans le CIDOC CRM</w:t>
            </w:r>
            <w:r w:rsidR="00EB6B5D">
              <w:rPr>
                <w:noProof/>
                <w:webHidden/>
              </w:rPr>
              <w:tab/>
            </w:r>
            <w:r w:rsidR="00EB6B5D">
              <w:rPr>
                <w:noProof/>
                <w:webHidden/>
              </w:rPr>
              <w:fldChar w:fldCharType="begin"/>
            </w:r>
            <w:r w:rsidR="00EB6B5D">
              <w:rPr>
                <w:noProof/>
                <w:webHidden/>
              </w:rPr>
              <w:instrText xml:space="preserve"> PAGEREF _Toc176864413 \h </w:instrText>
            </w:r>
            <w:r w:rsidR="00EB6B5D">
              <w:rPr>
                <w:noProof/>
                <w:webHidden/>
              </w:rPr>
            </w:r>
            <w:r w:rsidR="00EB6B5D">
              <w:rPr>
                <w:noProof/>
                <w:webHidden/>
              </w:rPr>
              <w:fldChar w:fldCharType="separate"/>
            </w:r>
            <w:r w:rsidR="00010123">
              <w:rPr>
                <w:noProof/>
                <w:webHidden/>
              </w:rPr>
              <w:t>24</w:t>
            </w:r>
            <w:r w:rsidR="00EB6B5D">
              <w:rPr>
                <w:noProof/>
                <w:webHidden/>
              </w:rPr>
              <w:fldChar w:fldCharType="end"/>
            </w:r>
          </w:hyperlink>
        </w:p>
        <w:p w14:paraId="3F279968" w14:textId="5CC2D0DF" w:rsidR="00EB6B5D" w:rsidRDefault="00000000">
          <w:pPr>
            <w:pStyle w:val="TOC3"/>
            <w:tabs>
              <w:tab w:val="right" w:leader="dot" w:pos="10790"/>
            </w:tabs>
            <w:rPr>
              <w:noProof/>
            </w:rPr>
          </w:pPr>
          <w:hyperlink w:anchor="_Toc176864414" w:history="1">
            <w:r w:rsidR="00EB6B5D" w:rsidRPr="00633202">
              <w:rPr>
                <w:rStyle w:val="Hyperlink"/>
                <w:noProof/>
              </w:rPr>
              <w:t>Quantificateurs de propriétés</w:t>
            </w:r>
            <w:r w:rsidR="00EB6B5D">
              <w:rPr>
                <w:noProof/>
                <w:webHidden/>
              </w:rPr>
              <w:tab/>
            </w:r>
            <w:r w:rsidR="00EB6B5D">
              <w:rPr>
                <w:noProof/>
                <w:webHidden/>
              </w:rPr>
              <w:fldChar w:fldCharType="begin"/>
            </w:r>
            <w:r w:rsidR="00EB6B5D">
              <w:rPr>
                <w:noProof/>
                <w:webHidden/>
              </w:rPr>
              <w:instrText xml:space="preserve"> PAGEREF _Toc176864414 \h </w:instrText>
            </w:r>
            <w:r w:rsidR="00EB6B5D">
              <w:rPr>
                <w:noProof/>
                <w:webHidden/>
              </w:rPr>
            </w:r>
            <w:r w:rsidR="00EB6B5D">
              <w:rPr>
                <w:noProof/>
                <w:webHidden/>
              </w:rPr>
              <w:fldChar w:fldCharType="separate"/>
            </w:r>
            <w:r w:rsidR="00010123">
              <w:rPr>
                <w:noProof/>
                <w:webHidden/>
              </w:rPr>
              <w:t>26</w:t>
            </w:r>
            <w:r w:rsidR="00EB6B5D">
              <w:rPr>
                <w:noProof/>
                <w:webHidden/>
              </w:rPr>
              <w:fldChar w:fldCharType="end"/>
            </w:r>
          </w:hyperlink>
        </w:p>
        <w:p w14:paraId="6D350C8F" w14:textId="343A229B" w:rsidR="00EB6B5D" w:rsidRDefault="00000000">
          <w:pPr>
            <w:pStyle w:val="TOC1"/>
            <w:tabs>
              <w:tab w:val="right" w:leader="dot" w:pos="10790"/>
            </w:tabs>
            <w:rPr>
              <w:noProof/>
            </w:rPr>
          </w:pPr>
          <w:hyperlink w:anchor="_Toc176864415" w:history="1">
            <w:r w:rsidR="00EB6B5D" w:rsidRPr="00633202">
              <w:rPr>
                <w:rStyle w:val="Hyperlink"/>
                <w:noProof/>
              </w:rPr>
              <w:t>Principes de modélisation</w:t>
            </w:r>
            <w:r w:rsidR="00EB6B5D">
              <w:rPr>
                <w:noProof/>
                <w:webHidden/>
              </w:rPr>
              <w:tab/>
            </w:r>
            <w:r w:rsidR="00EB6B5D">
              <w:rPr>
                <w:noProof/>
                <w:webHidden/>
              </w:rPr>
              <w:fldChar w:fldCharType="begin"/>
            </w:r>
            <w:r w:rsidR="00EB6B5D">
              <w:rPr>
                <w:noProof/>
                <w:webHidden/>
              </w:rPr>
              <w:instrText xml:space="preserve"> PAGEREF _Toc176864415 \h </w:instrText>
            </w:r>
            <w:r w:rsidR="00EB6B5D">
              <w:rPr>
                <w:noProof/>
                <w:webHidden/>
              </w:rPr>
            </w:r>
            <w:r w:rsidR="00EB6B5D">
              <w:rPr>
                <w:noProof/>
                <w:webHidden/>
              </w:rPr>
              <w:fldChar w:fldCharType="separate"/>
            </w:r>
            <w:r w:rsidR="00010123">
              <w:rPr>
                <w:noProof/>
                <w:webHidden/>
              </w:rPr>
              <w:t>33</w:t>
            </w:r>
            <w:r w:rsidR="00EB6B5D">
              <w:rPr>
                <w:noProof/>
                <w:webHidden/>
              </w:rPr>
              <w:fldChar w:fldCharType="end"/>
            </w:r>
          </w:hyperlink>
        </w:p>
        <w:p w14:paraId="272FCBBA" w14:textId="1C0A034F" w:rsidR="00EB6B5D" w:rsidRDefault="00000000">
          <w:pPr>
            <w:pStyle w:val="TOC2"/>
            <w:tabs>
              <w:tab w:val="right" w:leader="dot" w:pos="10790"/>
            </w:tabs>
            <w:rPr>
              <w:noProof/>
            </w:rPr>
          </w:pPr>
          <w:hyperlink w:anchor="_Toc176864416" w:history="1">
            <w:r w:rsidR="00EB6B5D" w:rsidRPr="00633202">
              <w:rPr>
                <w:rStyle w:val="Hyperlink"/>
                <w:noProof/>
              </w:rPr>
              <w:t>De la réalité, des bases de connaissance et du CIDOC CRM</w:t>
            </w:r>
            <w:r w:rsidR="00EB6B5D">
              <w:rPr>
                <w:noProof/>
                <w:webHidden/>
              </w:rPr>
              <w:tab/>
            </w:r>
            <w:r w:rsidR="00EB6B5D">
              <w:rPr>
                <w:noProof/>
                <w:webHidden/>
              </w:rPr>
              <w:fldChar w:fldCharType="begin"/>
            </w:r>
            <w:r w:rsidR="00EB6B5D">
              <w:rPr>
                <w:noProof/>
                <w:webHidden/>
              </w:rPr>
              <w:instrText xml:space="preserve"> PAGEREF _Toc176864416 \h </w:instrText>
            </w:r>
            <w:r w:rsidR="00EB6B5D">
              <w:rPr>
                <w:noProof/>
                <w:webHidden/>
              </w:rPr>
            </w:r>
            <w:r w:rsidR="00EB6B5D">
              <w:rPr>
                <w:noProof/>
                <w:webHidden/>
              </w:rPr>
              <w:fldChar w:fldCharType="separate"/>
            </w:r>
            <w:r w:rsidR="00010123">
              <w:rPr>
                <w:noProof/>
                <w:webHidden/>
              </w:rPr>
              <w:t>33</w:t>
            </w:r>
            <w:r w:rsidR="00EB6B5D">
              <w:rPr>
                <w:noProof/>
                <w:webHidden/>
              </w:rPr>
              <w:fldChar w:fldCharType="end"/>
            </w:r>
          </w:hyperlink>
        </w:p>
        <w:p w14:paraId="6FA7691F" w14:textId="3D6D42EF" w:rsidR="00EB6B5D" w:rsidRDefault="00000000">
          <w:pPr>
            <w:pStyle w:val="TOC2"/>
            <w:tabs>
              <w:tab w:val="right" w:leader="dot" w:pos="10790"/>
            </w:tabs>
            <w:rPr>
              <w:noProof/>
            </w:rPr>
          </w:pPr>
          <w:hyperlink w:anchor="_Toc176864417" w:history="1">
            <w:r w:rsidR="00EB6B5D" w:rsidRPr="00633202">
              <w:rPr>
                <w:rStyle w:val="Hyperlink"/>
                <w:noProof/>
              </w:rPr>
              <w:t>De l’auctorialité des contenus d’une base de connaissances</w:t>
            </w:r>
            <w:r w:rsidR="00EB6B5D">
              <w:rPr>
                <w:noProof/>
                <w:webHidden/>
              </w:rPr>
              <w:tab/>
            </w:r>
            <w:r w:rsidR="00EB6B5D">
              <w:rPr>
                <w:noProof/>
                <w:webHidden/>
              </w:rPr>
              <w:fldChar w:fldCharType="begin"/>
            </w:r>
            <w:r w:rsidR="00EB6B5D">
              <w:rPr>
                <w:noProof/>
                <w:webHidden/>
              </w:rPr>
              <w:instrText xml:space="preserve"> PAGEREF _Toc176864417 \h </w:instrText>
            </w:r>
            <w:r w:rsidR="00EB6B5D">
              <w:rPr>
                <w:noProof/>
                <w:webHidden/>
              </w:rPr>
            </w:r>
            <w:r w:rsidR="00EB6B5D">
              <w:rPr>
                <w:noProof/>
                <w:webHidden/>
              </w:rPr>
              <w:fldChar w:fldCharType="separate"/>
            </w:r>
            <w:r w:rsidR="00010123">
              <w:rPr>
                <w:noProof/>
                <w:webHidden/>
              </w:rPr>
              <w:t>35</w:t>
            </w:r>
            <w:r w:rsidR="00EB6B5D">
              <w:rPr>
                <w:noProof/>
                <w:webHidden/>
              </w:rPr>
              <w:fldChar w:fldCharType="end"/>
            </w:r>
          </w:hyperlink>
        </w:p>
        <w:p w14:paraId="0478C034" w14:textId="5553F94B" w:rsidR="00EB6B5D" w:rsidRDefault="00000000">
          <w:pPr>
            <w:pStyle w:val="TOC2"/>
            <w:tabs>
              <w:tab w:val="right" w:leader="dot" w:pos="10790"/>
            </w:tabs>
            <w:rPr>
              <w:noProof/>
            </w:rPr>
          </w:pPr>
          <w:hyperlink w:anchor="_Toc176864418" w:history="1">
            <w:r w:rsidR="00EB6B5D" w:rsidRPr="00633202">
              <w:rPr>
                <w:rStyle w:val="Hyperlink"/>
                <w:noProof/>
              </w:rPr>
              <w:t>Des extensions de CIDOC CRM</w:t>
            </w:r>
            <w:r w:rsidR="00EB6B5D">
              <w:rPr>
                <w:noProof/>
                <w:webHidden/>
              </w:rPr>
              <w:tab/>
            </w:r>
            <w:r w:rsidR="00EB6B5D">
              <w:rPr>
                <w:noProof/>
                <w:webHidden/>
              </w:rPr>
              <w:fldChar w:fldCharType="begin"/>
            </w:r>
            <w:r w:rsidR="00EB6B5D">
              <w:rPr>
                <w:noProof/>
                <w:webHidden/>
              </w:rPr>
              <w:instrText xml:space="preserve"> PAGEREF _Toc176864418 \h </w:instrText>
            </w:r>
            <w:r w:rsidR="00EB6B5D">
              <w:rPr>
                <w:noProof/>
                <w:webHidden/>
              </w:rPr>
            </w:r>
            <w:r w:rsidR="00EB6B5D">
              <w:rPr>
                <w:noProof/>
                <w:webHidden/>
              </w:rPr>
              <w:fldChar w:fldCharType="separate"/>
            </w:r>
            <w:r w:rsidR="00010123">
              <w:rPr>
                <w:noProof/>
                <w:webHidden/>
              </w:rPr>
              <w:t>36</w:t>
            </w:r>
            <w:r w:rsidR="00EB6B5D">
              <w:rPr>
                <w:noProof/>
                <w:webHidden/>
              </w:rPr>
              <w:fldChar w:fldCharType="end"/>
            </w:r>
          </w:hyperlink>
        </w:p>
        <w:p w14:paraId="27723AC6" w14:textId="4DB59A5E" w:rsidR="00EB6B5D" w:rsidRDefault="00000000">
          <w:pPr>
            <w:pStyle w:val="TOC2"/>
            <w:tabs>
              <w:tab w:val="right" w:leader="dot" w:pos="10790"/>
            </w:tabs>
            <w:rPr>
              <w:noProof/>
            </w:rPr>
          </w:pPr>
          <w:hyperlink w:anchor="_Toc176864419" w:history="1">
            <w:r w:rsidR="00EB6B5D" w:rsidRPr="00633202">
              <w:rPr>
                <w:rStyle w:val="Hyperlink"/>
                <w:noProof/>
              </w:rPr>
              <w:t>De la minimalité</w:t>
            </w:r>
            <w:r w:rsidR="00EB6B5D">
              <w:rPr>
                <w:noProof/>
                <w:webHidden/>
              </w:rPr>
              <w:tab/>
            </w:r>
            <w:r w:rsidR="00EB6B5D">
              <w:rPr>
                <w:noProof/>
                <w:webHidden/>
              </w:rPr>
              <w:fldChar w:fldCharType="begin"/>
            </w:r>
            <w:r w:rsidR="00EB6B5D">
              <w:rPr>
                <w:noProof/>
                <w:webHidden/>
              </w:rPr>
              <w:instrText xml:space="preserve"> PAGEREF _Toc176864419 \h </w:instrText>
            </w:r>
            <w:r w:rsidR="00EB6B5D">
              <w:rPr>
                <w:noProof/>
                <w:webHidden/>
              </w:rPr>
            </w:r>
            <w:r w:rsidR="00EB6B5D">
              <w:rPr>
                <w:noProof/>
                <w:webHidden/>
              </w:rPr>
              <w:fldChar w:fldCharType="separate"/>
            </w:r>
            <w:r w:rsidR="00010123">
              <w:rPr>
                <w:noProof/>
                <w:webHidden/>
              </w:rPr>
              <w:t>39</w:t>
            </w:r>
            <w:r w:rsidR="00EB6B5D">
              <w:rPr>
                <w:noProof/>
                <w:webHidden/>
              </w:rPr>
              <w:fldChar w:fldCharType="end"/>
            </w:r>
          </w:hyperlink>
        </w:p>
        <w:p w14:paraId="64457407" w14:textId="6FB1F919" w:rsidR="00EB6B5D" w:rsidRDefault="00000000">
          <w:pPr>
            <w:pStyle w:val="TOC2"/>
            <w:tabs>
              <w:tab w:val="right" w:leader="dot" w:pos="10790"/>
            </w:tabs>
            <w:rPr>
              <w:noProof/>
            </w:rPr>
          </w:pPr>
          <w:hyperlink w:anchor="_Toc176864420" w:history="1">
            <w:r w:rsidR="00EB6B5D" w:rsidRPr="00633202">
              <w:rPr>
                <w:rStyle w:val="Hyperlink"/>
                <w:noProof/>
              </w:rPr>
              <w:t>De la monotonicité</w:t>
            </w:r>
            <w:r w:rsidR="00EB6B5D">
              <w:rPr>
                <w:noProof/>
                <w:webHidden/>
              </w:rPr>
              <w:tab/>
            </w:r>
            <w:r w:rsidR="00EB6B5D">
              <w:rPr>
                <w:noProof/>
                <w:webHidden/>
              </w:rPr>
              <w:fldChar w:fldCharType="begin"/>
            </w:r>
            <w:r w:rsidR="00EB6B5D">
              <w:rPr>
                <w:noProof/>
                <w:webHidden/>
              </w:rPr>
              <w:instrText xml:space="preserve"> PAGEREF _Toc176864420 \h </w:instrText>
            </w:r>
            <w:r w:rsidR="00EB6B5D">
              <w:rPr>
                <w:noProof/>
                <w:webHidden/>
              </w:rPr>
            </w:r>
            <w:r w:rsidR="00EB6B5D">
              <w:rPr>
                <w:noProof/>
                <w:webHidden/>
              </w:rPr>
              <w:fldChar w:fldCharType="separate"/>
            </w:r>
            <w:r w:rsidR="00010123">
              <w:rPr>
                <w:noProof/>
                <w:webHidden/>
              </w:rPr>
              <w:t>39</w:t>
            </w:r>
            <w:r w:rsidR="00EB6B5D">
              <w:rPr>
                <w:noProof/>
                <w:webHidden/>
              </w:rPr>
              <w:fldChar w:fldCharType="end"/>
            </w:r>
          </w:hyperlink>
        </w:p>
        <w:p w14:paraId="57810FED" w14:textId="47C00CCE" w:rsidR="00EB6B5D" w:rsidRDefault="00000000">
          <w:pPr>
            <w:pStyle w:val="TOC2"/>
            <w:tabs>
              <w:tab w:val="right" w:leader="dot" w:pos="10790"/>
            </w:tabs>
            <w:rPr>
              <w:noProof/>
            </w:rPr>
          </w:pPr>
          <w:hyperlink w:anchor="_Toc176864421" w:history="1">
            <w:r w:rsidR="00EB6B5D" w:rsidRPr="00633202">
              <w:rPr>
                <w:rStyle w:val="Hyperlink"/>
                <w:noProof/>
              </w:rPr>
              <w:t>De la disjonction</w:t>
            </w:r>
            <w:r w:rsidR="00EB6B5D">
              <w:rPr>
                <w:noProof/>
                <w:webHidden/>
              </w:rPr>
              <w:tab/>
            </w:r>
            <w:r w:rsidR="00EB6B5D">
              <w:rPr>
                <w:noProof/>
                <w:webHidden/>
              </w:rPr>
              <w:fldChar w:fldCharType="begin"/>
            </w:r>
            <w:r w:rsidR="00EB6B5D">
              <w:rPr>
                <w:noProof/>
                <w:webHidden/>
              </w:rPr>
              <w:instrText xml:space="preserve"> PAGEREF _Toc176864421 \h </w:instrText>
            </w:r>
            <w:r w:rsidR="00EB6B5D">
              <w:rPr>
                <w:noProof/>
                <w:webHidden/>
              </w:rPr>
            </w:r>
            <w:r w:rsidR="00EB6B5D">
              <w:rPr>
                <w:noProof/>
                <w:webHidden/>
              </w:rPr>
              <w:fldChar w:fldCharType="separate"/>
            </w:r>
            <w:r w:rsidR="00010123">
              <w:rPr>
                <w:noProof/>
                <w:webHidden/>
              </w:rPr>
              <w:t>42</w:t>
            </w:r>
            <w:r w:rsidR="00EB6B5D">
              <w:rPr>
                <w:noProof/>
                <w:webHidden/>
              </w:rPr>
              <w:fldChar w:fldCharType="end"/>
            </w:r>
          </w:hyperlink>
        </w:p>
        <w:p w14:paraId="0D4CD9B5" w14:textId="0B09567F" w:rsidR="00EB6B5D" w:rsidRDefault="00000000">
          <w:pPr>
            <w:pStyle w:val="TOC1"/>
            <w:tabs>
              <w:tab w:val="right" w:leader="dot" w:pos="10790"/>
            </w:tabs>
            <w:rPr>
              <w:noProof/>
            </w:rPr>
          </w:pPr>
          <w:hyperlink w:anchor="_Toc176864422" w:history="1">
            <w:r w:rsidR="00EB6B5D" w:rsidRPr="00633202">
              <w:rPr>
                <w:rStyle w:val="Hyperlink"/>
                <w:noProof/>
              </w:rPr>
              <w:t>Introduction aux concepts fondamentaux</w:t>
            </w:r>
            <w:r w:rsidR="00EB6B5D">
              <w:rPr>
                <w:noProof/>
                <w:webHidden/>
              </w:rPr>
              <w:tab/>
            </w:r>
            <w:r w:rsidR="00EB6B5D">
              <w:rPr>
                <w:noProof/>
                <w:webHidden/>
              </w:rPr>
              <w:fldChar w:fldCharType="begin"/>
            </w:r>
            <w:r w:rsidR="00EB6B5D">
              <w:rPr>
                <w:noProof/>
                <w:webHidden/>
              </w:rPr>
              <w:instrText xml:space="preserve"> PAGEREF _Toc176864422 \h </w:instrText>
            </w:r>
            <w:r w:rsidR="00EB6B5D">
              <w:rPr>
                <w:noProof/>
                <w:webHidden/>
              </w:rPr>
            </w:r>
            <w:r w:rsidR="00EB6B5D">
              <w:rPr>
                <w:noProof/>
                <w:webHidden/>
              </w:rPr>
              <w:fldChar w:fldCharType="separate"/>
            </w:r>
            <w:r w:rsidR="00010123">
              <w:rPr>
                <w:noProof/>
                <w:webHidden/>
              </w:rPr>
              <w:t>43</w:t>
            </w:r>
            <w:r w:rsidR="00EB6B5D">
              <w:rPr>
                <w:noProof/>
                <w:webHidden/>
              </w:rPr>
              <w:fldChar w:fldCharType="end"/>
            </w:r>
          </w:hyperlink>
        </w:p>
        <w:p w14:paraId="5848A9BA" w14:textId="643CEDD6" w:rsidR="00EB6B5D" w:rsidRDefault="00000000">
          <w:pPr>
            <w:pStyle w:val="TOC2"/>
            <w:tabs>
              <w:tab w:val="right" w:leader="dot" w:pos="10790"/>
            </w:tabs>
            <w:rPr>
              <w:noProof/>
            </w:rPr>
          </w:pPr>
          <w:hyperlink w:anchor="_Toc176864423" w:history="1">
            <w:r w:rsidR="00EB6B5D" w:rsidRPr="00633202">
              <w:rPr>
                <w:rStyle w:val="Hyperlink"/>
                <w:noProof/>
              </w:rPr>
              <w:t>Des relations évènementielles</w:t>
            </w:r>
            <w:r w:rsidR="00EB6B5D">
              <w:rPr>
                <w:noProof/>
                <w:webHidden/>
              </w:rPr>
              <w:tab/>
            </w:r>
            <w:r w:rsidR="00EB6B5D">
              <w:rPr>
                <w:noProof/>
                <w:webHidden/>
              </w:rPr>
              <w:fldChar w:fldCharType="begin"/>
            </w:r>
            <w:r w:rsidR="00EB6B5D">
              <w:rPr>
                <w:noProof/>
                <w:webHidden/>
              </w:rPr>
              <w:instrText xml:space="preserve"> PAGEREF _Toc176864423 \h </w:instrText>
            </w:r>
            <w:r w:rsidR="00EB6B5D">
              <w:rPr>
                <w:noProof/>
                <w:webHidden/>
              </w:rPr>
            </w:r>
            <w:r w:rsidR="00EB6B5D">
              <w:rPr>
                <w:noProof/>
                <w:webHidden/>
              </w:rPr>
              <w:fldChar w:fldCharType="separate"/>
            </w:r>
            <w:r w:rsidR="00010123">
              <w:rPr>
                <w:noProof/>
                <w:webHidden/>
              </w:rPr>
              <w:t>46</w:t>
            </w:r>
            <w:r w:rsidR="00EB6B5D">
              <w:rPr>
                <w:noProof/>
                <w:webHidden/>
              </w:rPr>
              <w:fldChar w:fldCharType="end"/>
            </w:r>
          </w:hyperlink>
        </w:p>
        <w:p w14:paraId="76A42E84" w14:textId="27B281DA" w:rsidR="00EB6B5D" w:rsidRDefault="00000000">
          <w:pPr>
            <w:pStyle w:val="TOC3"/>
            <w:tabs>
              <w:tab w:val="right" w:leader="dot" w:pos="10790"/>
            </w:tabs>
            <w:rPr>
              <w:noProof/>
            </w:rPr>
          </w:pPr>
          <w:hyperlink w:anchor="_Toc176864424" w:history="1">
            <w:r w:rsidR="00EB6B5D" w:rsidRPr="00633202">
              <w:rPr>
                <w:rStyle w:val="Hyperlink"/>
                <w:noProof/>
              </w:rPr>
              <w:t>Des relations spatiales</w:t>
            </w:r>
            <w:r w:rsidR="00EB6B5D">
              <w:rPr>
                <w:noProof/>
                <w:webHidden/>
              </w:rPr>
              <w:tab/>
            </w:r>
            <w:r w:rsidR="00EB6B5D">
              <w:rPr>
                <w:noProof/>
                <w:webHidden/>
              </w:rPr>
              <w:fldChar w:fldCharType="begin"/>
            </w:r>
            <w:r w:rsidR="00EB6B5D">
              <w:rPr>
                <w:noProof/>
                <w:webHidden/>
              </w:rPr>
              <w:instrText xml:space="preserve"> PAGEREF _Toc176864424 \h </w:instrText>
            </w:r>
            <w:r w:rsidR="00EB6B5D">
              <w:rPr>
                <w:noProof/>
                <w:webHidden/>
              </w:rPr>
            </w:r>
            <w:r w:rsidR="00EB6B5D">
              <w:rPr>
                <w:noProof/>
                <w:webHidden/>
              </w:rPr>
              <w:fldChar w:fldCharType="separate"/>
            </w:r>
            <w:r w:rsidR="00010123">
              <w:rPr>
                <w:noProof/>
                <w:webHidden/>
              </w:rPr>
              <w:t>52</w:t>
            </w:r>
            <w:r w:rsidR="00EB6B5D">
              <w:rPr>
                <w:noProof/>
                <w:webHidden/>
              </w:rPr>
              <w:fldChar w:fldCharType="end"/>
            </w:r>
          </w:hyperlink>
        </w:p>
        <w:p w14:paraId="13997804" w14:textId="6D6C7F73" w:rsidR="00EB6B5D" w:rsidRDefault="00000000">
          <w:pPr>
            <w:pStyle w:val="TOC3"/>
            <w:tabs>
              <w:tab w:val="right" w:leader="dot" w:pos="10790"/>
            </w:tabs>
            <w:rPr>
              <w:noProof/>
            </w:rPr>
          </w:pPr>
          <w:hyperlink w:anchor="_Toc176864425" w:history="1">
            <w:r w:rsidR="00EB6B5D" w:rsidRPr="00633202">
              <w:rPr>
                <w:rStyle w:val="Hyperlink"/>
                <w:noProof/>
              </w:rPr>
              <w:t>Des relations temporelles</w:t>
            </w:r>
            <w:r w:rsidR="00EB6B5D">
              <w:rPr>
                <w:noProof/>
                <w:webHidden/>
              </w:rPr>
              <w:tab/>
            </w:r>
            <w:r w:rsidR="00EB6B5D">
              <w:rPr>
                <w:noProof/>
                <w:webHidden/>
              </w:rPr>
              <w:fldChar w:fldCharType="begin"/>
            </w:r>
            <w:r w:rsidR="00EB6B5D">
              <w:rPr>
                <w:noProof/>
                <w:webHidden/>
              </w:rPr>
              <w:instrText xml:space="preserve"> PAGEREF _Toc176864425 \h </w:instrText>
            </w:r>
            <w:r w:rsidR="00EB6B5D">
              <w:rPr>
                <w:noProof/>
                <w:webHidden/>
              </w:rPr>
            </w:r>
            <w:r w:rsidR="00EB6B5D">
              <w:rPr>
                <w:noProof/>
                <w:webHidden/>
              </w:rPr>
              <w:fldChar w:fldCharType="separate"/>
            </w:r>
            <w:r w:rsidR="00010123">
              <w:rPr>
                <w:noProof/>
                <w:webHidden/>
              </w:rPr>
              <w:t>54</w:t>
            </w:r>
            <w:r w:rsidR="00EB6B5D">
              <w:rPr>
                <w:noProof/>
                <w:webHidden/>
              </w:rPr>
              <w:fldChar w:fldCharType="end"/>
            </w:r>
          </w:hyperlink>
        </w:p>
        <w:p w14:paraId="019DE0E3" w14:textId="36F0F436" w:rsidR="00EB6B5D" w:rsidRDefault="00000000">
          <w:pPr>
            <w:pStyle w:val="TOC3"/>
            <w:tabs>
              <w:tab w:val="right" w:leader="dot" w:pos="10790"/>
            </w:tabs>
            <w:rPr>
              <w:noProof/>
            </w:rPr>
          </w:pPr>
          <w:hyperlink w:anchor="_Toc176864426" w:history="1">
            <w:r w:rsidR="00EB6B5D" w:rsidRPr="00633202">
              <w:rPr>
                <w:rStyle w:val="Hyperlink"/>
                <w:noProof/>
              </w:rPr>
              <w:t>Des relations spatio-temporelles</w:t>
            </w:r>
            <w:r w:rsidR="00EB6B5D">
              <w:rPr>
                <w:noProof/>
                <w:webHidden/>
              </w:rPr>
              <w:tab/>
            </w:r>
            <w:r w:rsidR="00EB6B5D">
              <w:rPr>
                <w:noProof/>
                <w:webHidden/>
              </w:rPr>
              <w:fldChar w:fldCharType="begin"/>
            </w:r>
            <w:r w:rsidR="00EB6B5D">
              <w:rPr>
                <w:noProof/>
                <w:webHidden/>
              </w:rPr>
              <w:instrText xml:space="preserve"> PAGEREF _Toc176864426 \h </w:instrText>
            </w:r>
            <w:r w:rsidR="00EB6B5D">
              <w:rPr>
                <w:noProof/>
                <w:webHidden/>
              </w:rPr>
            </w:r>
            <w:r w:rsidR="00EB6B5D">
              <w:rPr>
                <w:noProof/>
                <w:webHidden/>
              </w:rPr>
              <w:fldChar w:fldCharType="separate"/>
            </w:r>
            <w:r w:rsidR="00010123">
              <w:rPr>
                <w:noProof/>
                <w:webHidden/>
              </w:rPr>
              <w:t>57</w:t>
            </w:r>
            <w:r w:rsidR="00EB6B5D">
              <w:rPr>
                <w:noProof/>
                <w:webHidden/>
              </w:rPr>
              <w:fldChar w:fldCharType="end"/>
            </w:r>
          </w:hyperlink>
        </w:p>
        <w:p w14:paraId="20C9171E" w14:textId="1DAE9F64" w:rsidR="00EB6B5D" w:rsidRDefault="00000000">
          <w:pPr>
            <w:pStyle w:val="TOC2"/>
            <w:tabs>
              <w:tab w:val="right" w:leader="dot" w:pos="10790"/>
            </w:tabs>
            <w:rPr>
              <w:noProof/>
            </w:rPr>
          </w:pPr>
          <w:hyperlink w:anchor="_Toc176864427" w:history="1">
            <w:r w:rsidR="00EB6B5D" w:rsidRPr="00633202">
              <w:rPr>
                <w:rStyle w:val="Hyperlink"/>
                <w:noProof/>
              </w:rPr>
              <w:t>Construits spécifiques de modélisation</w:t>
            </w:r>
            <w:r w:rsidR="00EB6B5D">
              <w:rPr>
                <w:noProof/>
                <w:webHidden/>
              </w:rPr>
              <w:tab/>
            </w:r>
            <w:r w:rsidR="00EB6B5D">
              <w:rPr>
                <w:noProof/>
                <w:webHidden/>
              </w:rPr>
              <w:fldChar w:fldCharType="begin"/>
            </w:r>
            <w:r w:rsidR="00EB6B5D">
              <w:rPr>
                <w:noProof/>
                <w:webHidden/>
              </w:rPr>
              <w:instrText xml:space="preserve"> PAGEREF _Toc176864427 \h </w:instrText>
            </w:r>
            <w:r w:rsidR="00EB6B5D">
              <w:rPr>
                <w:noProof/>
                <w:webHidden/>
              </w:rPr>
            </w:r>
            <w:r w:rsidR="00EB6B5D">
              <w:rPr>
                <w:noProof/>
                <w:webHidden/>
              </w:rPr>
              <w:fldChar w:fldCharType="separate"/>
            </w:r>
            <w:r w:rsidR="00010123">
              <w:rPr>
                <w:noProof/>
                <w:webHidden/>
              </w:rPr>
              <w:t>61</w:t>
            </w:r>
            <w:r w:rsidR="00EB6B5D">
              <w:rPr>
                <w:noProof/>
                <w:webHidden/>
              </w:rPr>
              <w:fldChar w:fldCharType="end"/>
            </w:r>
          </w:hyperlink>
        </w:p>
        <w:p w14:paraId="5D88ABA5" w14:textId="6B13D61C" w:rsidR="00EB6B5D" w:rsidRDefault="00000000">
          <w:pPr>
            <w:pStyle w:val="TOC3"/>
            <w:tabs>
              <w:tab w:val="right" w:leader="dot" w:pos="10790"/>
            </w:tabs>
            <w:rPr>
              <w:noProof/>
            </w:rPr>
          </w:pPr>
          <w:hyperlink w:anchor="_Toc176864428" w:history="1">
            <w:r w:rsidR="00EB6B5D" w:rsidRPr="00633202">
              <w:rPr>
                <w:rStyle w:val="Hyperlink"/>
                <w:noProof/>
              </w:rPr>
              <w:t>Des types</w:t>
            </w:r>
            <w:r w:rsidR="00EB6B5D">
              <w:rPr>
                <w:noProof/>
                <w:webHidden/>
              </w:rPr>
              <w:tab/>
            </w:r>
            <w:r w:rsidR="00EB6B5D">
              <w:rPr>
                <w:noProof/>
                <w:webHidden/>
              </w:rPr>
              <w:fldChar w:fldCharType="begin"/>
            </w:r>
            <w:r w:rsidR="00EB6B5D">
              <w:rPr>
                <w:noProof/>
                <w:webHidden/>
              </w:rPr>
              <w:instrText xml:space="preserve"> PAGEREF _Toc176864428 \h </w:instrText>
            </w:r>
            <w:r w:rsidR="00EB6B5D">
              <w:rPr>
                <w:noProof/>
                <w:webHidden/>
              </w:rPr>
            </w:r>
            <w:r w:rsidR="00EB6B5D">
              <w:rPr>
                <w:noProof/>
                <w:webHidden/>
              </w:rPr>
              <w:fldChar w:fldCharType="separate"/>
            </w:r>
            <w:r w:rsidR="00010123">
              <w:rPr>
                <w:noProof/>
                <w:webHidden/>
              </w:rPr>
              <w:t>61</w:t>
            </w:r>
            <w:r w:rsidR="00EB6B5D">
              <w:rPr>
                <w:noProof/>
                <w:webHidden/>
              </w:rPr>
              <w:fldChar w:fldCharType="end"/>
            </w:r>
          </w:hyperlink>
        </w:p>
        <w:p w14:paraId="5F2DC4CD" w14:textId="5B861097" w:rsidR="00EB6B5D" w:rsidRDefault="00000000">
          <w:pPr>
            <w:pStyle w:val="TOC3"/>
            <w:tabs>
              <w:tab w:val="right" w:leader="dot" w:pos="10790"/>
            </w:tabs>
            <w:rPr>
              <w:noProof/>
            </w:rPr>
          </w:pPr>
          <w:hyperlink w:anchor="_Toc176864429" w:history="1">
            <w:r w:rsidR="00EB6B5D" w:rsidRPr="00633202">
              <w:rPr>
                <w:rStyle w:val="Hyperlink"/>
                <w:noProof/>
              </w:rPr>
              <w:t>Des relations temporelles primitives fondées sur des frontières floues</w:t>
            </w:r>
            <w:r w:rsidR="00EB6B5D">
              <w:rPr>
                <w:noProof/>
                <w:webHidden/>
              </w:rPr>
              <w:tab/>
            </w:r>
            <w:r w:rsidR="00EB6B5D">
              <w:rPr>
                <w:noProof/>
                <w:webHidden/>
              </w:rPr>
              <w:fldChar w:fldCharType="begin"/>
            </w:r>
            <w:r w:rsidR="00EB6B5D">
              <w:rPr>
                <w:noProof/>
                <w:webHidden/>
              </w:rPr>
              <w:instrText xml:space="preserve"> PAGEREF _Toc176864429 \h </w:instrText>
            </w:r>
            <w:r w:rsidR="00EB6B5D">
              <w:rPr>
                <w:noProof/>
                <w:webHidden/>
              </w:rPr>
            </w:r>
            <w:r w:rsidR="00EB6B5D">
              <w:rPr>
                <w:noProof/>
                <w:webHidden/>
              </w:rPr>
              <w:fldChar w:fldCharType="separate"/>
            </w:r>
            <w:r w:rsidR="00010123">
              <w:rPr>
                <w:noProof/>
                <w:webHidden/>
              </w:rPr>
              <w:t>62</w:t>
            </w:r>
            <w:r w:rsidR="00EB6B5D">
              <w:rPr>
                <w:noProof/>
                <w:webHidden/>
              </w:rPr>
              <w:fldChar w:fldCharType="end"/>
            </w:r>
          </w:hyperlink>
        </w:p>
        <w:p w14:paraId="79E3C52F" w14:textId="0538B24D" w:rsidR="00EB6B5D" w:rsidRDefault="00000000">
          <w:pPr>
            <w:pStyle w:val="TOC1"/>
            <w:tabs>
              <w:tab w:val="right" w:leader="dot" w:pos="10790"/>
            </w:tabs>
            <w:rPr>
              <w:noProof/>
            </w:rPr>
          </w:pPr>
          <w:hyperlink w:anchor="_Toc176864430" w:history="1">
            <w:r w:rsidR="00EB6B5D" w:rsidRPr="00633202">
              <w:rPr>
                <w:rStyle w:val="Hyperlink"/>
                <w:noProof/>
              </w:rPr>
              <w:t>Hiérarchies de classes et de propriétés</w:t>
            </w:r>
            <w:r w:rsidR="00EB6B5D">
              <w:rPr>
                <w:noProof/>
                <w:webHidden/>
              </w:rPr>
              <w:tab/>
            </w:r>
            <w:r w:rsidR="00EB6B5D">
              <w:rPr>
                <w:noProof/>
                <w:webHidden/>
              </w:rPr>
              <w:fldChar w:fldCharType="begin"/>
            </w:r>
            <w:r w:rsidR="00EB6B5D">
              <w:rPr>
                <w:noProof/>
                <w:webHidden/>
              </w:rPr>
              <w:instrText xml:space="preserve"> PAGEREF _Toc176864430 \h </w:instrText>
            </w:r>
            <w:r w:rsidR="00EB6B5D">
              <w:rPr>
                <w:noProof/>
                <w:webHidden/>
              </w:rPr>
            </w:r>
            <w:r w:rsidR="00EB6B5D">
              <w:rPr>
                <w:noProof/>
                <w:webHidden/>
              </w:rPr>
              <w:fldChar w:fldCharType="separate"/>
            </w:r>
            <w:r w:rsidR="00010123">
              <w:rPr>
                <w:noProof/>
                <w:webHidden/>
              </w:rPr>
              <w:t>67</w:t>
            </w:r>
            <w:r w:rsidR="00EB6B5D">
              <w:rPr>
                <w:noProof/>
                <w:webHidden/>
              </w:rPr>
              <w:fldChar w:fldCharType="end"/>
            </w:r>
          </w:hyperlink>
        </w:p>
        <w:p w14:paraId="32109EAD" w14:textId="4D724943" w:rsidR="00EB6B5D" w:rsidRDefault="00000000">
          <w:pPr>
            <w:pStyle w:val="TOC2"/>
            <w:tabs>
              <w:tab w:val="right" w:leader="dot" w:pos="10790"/>
            </w:tabs>
            <w:rPr>
              <w:noProof/>
            </w:rPr>
          </w:pPr>
          <w:hyperlink w:anchor="_Toc176864431" w:history="1">
            <w:r w:rsidR="00EB6B5D" w:rsidRPr="00633202">
              <w:rPr>
                <w:rStyle w:val="Hyperlink"/>
                <w:noProof/>
              </w:rPr>
              <w:t>Liste hiérarchisée des classes du CIDOC CRM</w:t>
            </w:r>
            <w:r w:rsidR="00EB6B5D">
              <w:rPr>
                <w:noProof/>
                <w:webHidden/>
              </w:rPr>
              <w:tab/>
            </w:r>
            <w:r w:rsidR="00EB6B5D">
              <w:rPr>
                <w:noProof/>
                <w:webHidden/>
              </w:rPr>
              <w:fldChar w:fldCharType="begin"/>
            </w:r>
            <w:r w:rsidR="00EB6B5D">
              <w:rPr>
                <w:noProof/>
                <w:webHidden/>
              </w:rPr>
              <w:instrText xml:space="preserve"> PAGEREF _Toc176864431 \h </w:instrText>
            </w:r>
            <w:r w:rsidR="00EB6B5D">
              <w:rPr>
                <w:noProof/>
                <w:webHidden/>
              </w:rPr>
            </w:r>
            <w:r w:rsidR="00EB6B5D">
              <w:rPr>
                <w:noProof/>
                <w:webHidden/>
              </w:rPr>
              <w:fldChar w:fldCharType="separate"/>
            </w:r>
            <w:r w:rsidR="00010123">
              <w:rPr>
                <w:noProof/>
                <w:webHidden/>
              </w:rPr>
              <w:t>68</w:t>
            </w:r>
            <w:r w:rsidR="00EB6B5D">
              <w:rPr>
                <w:noProof/>
                <w:webHidden/>
              </w:rPr>
              <w:fldChar w:fldCharType="end"/>
            </w:r>
          </w:hyperlink>
        </w:p>
        <w:p w14:paraId="42A41D67" w14:textId="7D97DE7C" w:rsidR="00EB6B5D" w:rsidRDefault="00000000">
          <w:pPr>
            <w:pStyle w:val="TOC2"/>
            <w:tabs>
              <w:tab w:val="right" w:leader="dot" w:pos="10790"/>
            </w:tabs>
            <w:rPr>
              <w:noProof/>
            </w:rPr>
          </w:pPr>
          <w:hyperlink w:anchor="_Toc176864432" w:history="1">
            <w:r w:rsidR="00EB6B5D" w:rsidRPr="00633202">
              <w:rPr>
                <w:rStyle w:val="Hyperlink"/>
                <w:noProof/>
              </w:rPr>
              <w:t>Liste hiérarchisée des propriétés du CIDOC CRM</w:t>
            </w:r>
            <w:r w:rsidR="00EB6B5D">
              <w:rPr>
                <w:noProof/>
                <w:webHidden/>
              </w:rPr>
              <w:tab/>
            </w:r>
            <w:r w:rsidR="00EB6B5D">
              <w:rPr>
                <w:noProof/>
                <w:webHidden/>
              </w:rPr>
              <w:fldChar w:fldCharType="begin"/>
            </w:r>
            <w:r w:rsidR="00EB6B5D">
              <w:rPr>
                <w:noProof/>
                <w:webHidden/>
              </w:rPr>
              <w:instrText xml:space="preserve"> PAGEREF _Toc176864432 \h </w:instrText>
            </w:r>
            <w:r w:rsidR="00EB6B5D">
              <w:rPr>
                <w:noProof/>
                <w:webHidden/>
              </w:rPr>
            </w:r>
            <w:r w:rsidR="00EB6B5D">
              <w:rPr>
                <w:noProof/>
                <w:webHidden/>
              </w:rPr>
              <w:fldChar w:fldCharType="separate"/>
            </w:r>
            <w:r w:rsidR="00010123">
              <w:rPr>
                <w:noProof/>
                <w:webHidden/>
              </w:rPr>
              <w:t>74</w:t>
            </w:r>
            <w:r w:rsidR="00EB6B5D">
              <w:rPr>
                <w:noProof/>
                <w:webHidden/>
              </w:rPr>
              <w:fldChar w:fldCharType="end"/>
            </w:r>
          </w:hyperlink>
        </w:p>
        <w:p w14:paraId="2D08C7FE" w14:textId="0052B4B6" w:rsidR="00EB6B5D" w:rsidRDefault="00000000">
          <w:pPr>
            <w:pStyle w:val="TOC3"/>
            <w:tabs>
              <w:tab w:val="right" w:leader="dot" w:pos="10790"/>
            </w:tabs>
            <w:rPr>
              <w:noProof/>
            </w:rPr>
          </w:pPr>
          <w:hyperlink w:anchor="_Toc176864433" w:history="1">
            <w:r w:rsidR="00EB6B5D" w:rsidRPr="00633202">
              <w:rPr>
                <w:rStyle w:val="Hyperlink"/>
                <w:noProof/>
              </w:rPr>
              <w:t>Propriétés de propriétés du CIDOC CRM (propriétés .1)</w:t>
            </w:r>
            <w:r w:rsidR="00EB6B5D">
              <w:rPr>
                <w:noProof/>
                <w:webHidden/>
              </w:rPr>
              <w:tab/>
            </w:r>
            <w:r w:rsidR="00EB6B5D">
              <w:rPr>
                <w:noProof/>
                <w:webHidden/>
              </w:rPr>
              <w:fldChar w:fldCharType="begin"/>
            </w:r>
            <w:r w:rsidR="00EB6B5D">
              <w:rPr>
                <w:noProof/>
                <w:webHidden/>
              </w:rPr>
              <w:instrText xml:space="preserve"> PAGEREF _Toc176864433 \h </w:instrText>
            </w:r>
            <w:r w:rsidR="00EB6B5D">
              <w:rPr>
                <w:noProof/>
                <w:webHidden/>
              </w:rPr>
            </w:r>
            <w:r w:rsidR="00EB6B5D">
              <w:rPr>
                <w:noProof/>
                <w:webHidden/>
              </w:rPr>
              <w:fldChar w:fldCharType="separate"/>
            </w:r>
            <w:r w:rsidR="00010123">
              <w:rPr>
                <w:noProof/>
                <w:webHidden/>
              </w:rPr>
              <w:t>86</w:t>
            </w:r>
            <w:r w:rsidR="00EB6B5D">
              <w:rPr>
                <w:noProof/>
                <w:webHidden/>
              </w:rPr>
              <w:fldChar w:fldCharType="end"/>
            </w:r>
          </w:hyperlink>
        </w:p>
        <w:p w14:paraId="44ED315E" w14:textId="038C40BB" w:rsidR="00EB6B5D" w:rsidRDefault="00000000">
          <w:pPr>
            <w:pStyle w:val="TOC1"/>
            <w:tabs>
              <w:tab w:val="right" w:leader="dot" w:pos="10790"/>
            </w:tabs>
            <w:rPr>
              <w:noProof/>
            </w:rPr>
          </w:pPr>
          <w:hyperlink w:anchor="_Toc176864434" w:history="1">
            <w:r w:rsidR="00EB6B5D" w:rsidRPr="00633202">
              <w:rPr>
                <w:rStyle w:val="Hyperlink"/>
                <w:noProof/>
              </w:rPr>
              <w:t>Déclaration des classes du CIDOC CRM</w:t>
            </w:r>
            <w:r w:rsidR="00EB6B5D">
              <w:rPr>
                <w:noProof/>
                <w:webHidden/>
              </w:rPr>
              <w:tab/>
            </w:r>
            <w:r w:rsidR="00EB6B5D">
              <w:rPr>
                <w:noProof/>
                <w:webHidden/>
              </w:rPr>
              <w:fldChar w:fldCharType="begin"/>
            </w:r>
            <w:r w:rsidR="00EB6B5D">
              <w:rPr>
                <w:noProof/>
                <w:webHidden/>
              </w:rPr>
              <w:instrText xml:space="preserve"> PAGEREF _Toc176864434 \h </w:instrText>
            </w:r>
            <w:r w:rsidR="00EB6B5D">
              <w:rPr>
                <w:noProof/>
                <w:webHidden/>
              </w:rPr>
            </w:r>
            <w:r w:rsidR="00EB6B5D">
              <w:rPr>
                <w:noProof/>
                <w:webHidden/>
              </w:rPr>
              <w:fldChar w:fldCharType="separate"/>
            </w:r>
            <w:r w:rsidR="00010123">
              <w:rPr>
                <w:noProof/>
                <w:webHidden/>
              </w:rPr>
              <w:t>88</w:t>
            </w:r>
            <w:r w:rsidR="00EB6B5D">
              <w:rPr>
                <w:noProof/>
                <w:webHidden/>
              </w:rPr>
              <w:fldChar w:fldCharType="end"/>
            </w:r>
          </w:hyperlink>
        </w:p>
        <w:p w14:paraId="5A8BB1AC" w14:textId="1B066870" w:rsidR="00EB6B5D" w:rsidRDefault="00000000">
          <w:pPr>
            <w:pStyle w:val="TOC2"/>
            <w:tabs>
              <w:tab w:val="right" w:leader="dot" w:pos="10790"/>
            </w:tabs>
            <w:rPr>
              <w:noProof/>
            </w:rPr>
          </w:pPr>
          <w:hyperlink w:anchor="_Toc176864435" w:history="1">
            <w:r w:rsidR="00EB6B5D" w:rsidRPr="00633202">
              <w:rPr>
                <w:rStyle w:val="Hyperlink"/>
                <w:noProof/>
              </w:rPr>
              <w:t>E1 Entité CRM</w:t>
            </w:r>
            <w:r w:rsidR="00EB6B5D">
              <w:rPr>
                <w:noProof/>
                <w:webHidden/>
              </w:rPr>
              <w:tab/>
            </w:r>
            <w:r w:rsidR="00EB6B5D">
              <w:rPr>
                <w:noProof/>
                <w:webHidden/>
              </w:rPr>
              <w:fldChar w:fldCharType="begin"/>
            </w:r>
            <w:r w:rsidR="00EB6B5D">
              <w:rPr>
                <w:noProof/>
                <w:webHidden/>
              </w:rPr>
              <w:instrText xml:space="preserve"> PAGEREF _Toc176864435 \h </w:instrText>
            </w:r>
            <w:r w:rsidR="00EB6B5D">
              <w:rPr>
                <w:noProof/>
                <w:webHidden/>
              </w:rPr>
            </w:r>
            <w:r w:rsidR="00EB6B5D">
              <w:rPr>
                <w:noProof/>
                <w:webHidden/>
              </w:rPr>
              <w:fldChar w:fldCharType="separate"/>
            </w:r>
            <w:r w:rsidR="00010123">
              <w:rPr>
                <w:noProof/>
                <w:webHidden/>
              </w:rPr>
              <w:t>88</w:t>
            </w:r>
            <w:r w:rsidR="00EB6B5D">
              <w:rPr>
                <w:noProof/>
                <w:webHidden/>
              </w:rPr>
              <w:fldChar w:fldCharType="end"/>
            </w:r>
          </w:hyperlink>
        </w:p>
        <w:p w14:paraId="3C2BFB1C" w14:textId="606E0C03" w:rsidR="00EB6B5D" w:rsidRDefault="00000000">
          <w:pPr>
            <w:pStyle w:val="TOC2"/>
            <w:tabs>
              <w:tab w:val="right" w:leader="dot" w:pos="10790"/>
            </w:tabs>
            <w:rPr>
              <w:noProof/>
            </w:rPr>
          </w:pPr>
          <w:hyperlink w:anchor="_Toc176864436" w:history="1">
            <w:r w:rsidR="00EB6B5D" w:rsidRPr="00633202">
              <w:rPr>
                <w:rStyle w:val="Hyperlink"/>
                <w:noProof/>
              </w:rPr>
              <w:t>E2 Entité temporelle</w:t>
            </w:r>
            <w:r w:rsidR="00EB6B5D">
              <w:rPr>
                <w:noProof/>
                <w:webHidden/>
              </w:rPr>
              <w:tab/>
            </w:r>
            <w:r w:rsidR="00EB6B5D">
              <w:rPr>
                <w:noProof/>
                <w:webHidden/>
              </w:rPr>
              <w:fldChar w:fldCharType="begin"/>
            </w:r>
            <w:r w:rsidR="00EB6B5D">
              <w:rPr>
                <w:noProof/>
                <w:webHidden/>
              </w:rPr>
              <w:instrText xml:space="preserve"> PAGEREF _Toc176864436 \h </w:instrText>
            </w:r>
            <w:r w:rsidR="00EB6B5D">
              <w:rPr>
                <w:noProof/>
                <w:webHidden/>
              </w:rPr>
            </w:r>
            <w:r w:rsidR="00EB6B5D">
              <w:rPr>
                <w:noProof/>
                <w:webHidden/>
              </w:rPr>
              <w:fldChar w:fldCharType="separate"/>
            </w:r>
            <w:r w:rsidR="00010123">
              <w:rPr>
                <w:noProof/>
                <w:webHidden/>
              </w:rPr>
              <w:t>89</w:t>
            </w:r>
            <w:r w:rsidR="00EB6B5D">
              <w:rPr>
                <w:noProof/>
                <w:webHidden/>
              </w:rPr>
              <w:fldChar w:fldCharType="end"/>
            </w:r>
          </w:hyperlink>
        </w:p>
        <w:p w14:paraId="7E4D4306" w14:textId="56C64820" w:rsidR="00EB6B5D" w:rsidRDefault="00000000">
          <w:pPr>
            <w:pStyle w:val="TOC2"/>
            <w:tabs>
              <w:tab w:val="right" w:leader="dot" w:pos="10790"/>
            </w:tabs>
            <w:rPr>
              <w:noProof/>
            </w:rPr>
          </w:pPr>
          <w:hyperlink w:anchor="_Toc176864437" w:history="1">
            <w:r w:rsidR="00EB6B5D" w:rsidRPr="00633202">
              <w:rPr>
                <w:rStyle w:val="Hyperlink"/>
                <w:noProof/>
              </w:rPr>
              <w:t>E3 État matériel</w:t>
            </w:r>
            <w:r w:rsidR="00EB6B5D">
              <w:rPr>
                <w:noProof/>
                <w:webHidden/>
              </w:rPr>
              <w:tab/>
            </w:r>
            <w:r w:rsidR="00EB6B5D">
              <w:rPr>
                <w:noProof/>
                <w:webHidden/>
              </w:rPr>
              <w:fldChar w:fldCharType="begin"/>
            </w:r>
            <w:r w:rsidR="00EB6B5D">
              <w:rPr>
                <w:noProof/>
                <w:webHidden/>
              </w:rPr>
              <w:instrText xml:space="preserve"> PAGEREF _Toc176864437 \h </w:instrText>
            </w:r>
            <w:r w:rsidR="00EB6B5D">
              <w:rPr>
                <w:noProof/>
                <w:webHidden/>
              </w:rPr>
            </w:r>
            <w:r w:rsidR="00EB6B5D">
              <w:rPr>
                <w:noProof/>
                <w:webHidden/>
              </w:rPr>
              <w:fldChar w:fldCharType="separate"/>
            </w:r>
            <w:r w:rsidR="00010123">
              <w:rPr>
                <w:noProof/>
                <w:webHidden/>
              </w:rPr>
              <w:t>91</w:t>
            </w:r>
            <w:r w:rsidR="00EB6B5D">
              <w:rPr>
                <w:noProof/>
                <w:webHidden/>
              </w:rPr>
              <w:fldChar w:fldCharType="end"/>
            </w:r>
          </w:hyperlink>
        </w:p>
        <w:p w14:paraId="751145EC" w14:textId="4CB69613" w:rsidR="00EB6B5D" w:rsidRDefault="00000000">
          <w:pPr>
            <w:pStyle w:val="TOC2"/>
            <w:tabs>
              <w:tab w:val="right" w:leader="dot" w:pos="10790"/>
            </w:tabs>
            <w:rPr>
              <w:noProof/>
            </w:rPr>
          </w:pPr>
          <w:hyperlink w:anchor="_Toc176864438" w:history="1">
            <w:r w:rsidR="00EB6B5D" w:rsidRPr="00633202">
              <w:rPr>
                <w:rStyle w:val="Hyperlink"/>
                <w:noProof/>
              </w:rPr>
              <w:t>E4 Période</w:t>
            </w:r>
            <w:r w:rsidR="00EB6B5D">
              <w:rPr>
                <w:noProof/>
                <w:webHidden/>
              </w:rPr>
              <w:tab/>
            </w:r>
            <w:r w:rsidR="00EB6B5D">
              <w:rPr>
                <w:noProof/>
                <w:webHidden/>
              </w:rPr>
              <w:fldChar w:fldCharType="begin"/>
            </w:r>
            <w:r w:rsidR="00EB6B5D">
              <w:rPr>
                <w:noProof/>
                <w:webHidden/>
              </w:rPr>
              <w:instrText xml:space="preserve"> PAGEREF _Toc176864438 \h </w:instrText>
            </w:r>
            <w:r w:rsidR="00EB6B5D">
              <w:rPr>
                <w:noProof/>
                <w:webHidden/>
              </w:rPr>
            </w:r>
            <w:r w:rsidR="00EB6B5D">
              <w:rPr>
                <w:noProof/>
                <w:webHidden/>
              </w:rPr>
              <w:fldChar w:fldCharType="separate"/>
            </w:r>
            <w:r w:rsidR="00010123">
              <w:rPr>
                <w:noProof/>
                <w:webHidden/>
              </w:rPr>
              <w:t>92</w:t>
            </w:r>
            <w:r w:rsidR="00EB6B5D">
              <w:rPr>
                <w:noProof/>
                <w:webHidden/>
              </w:rPr>
              <w:fldChar w:fldCharType="end"/>
            </w:r>
          </w:hyperlink>
        </w:p>
        <w:p w14:paraId="32B45B9B" w14:textId="35600656" w:rsidR="00EB6B5D" w:rsidRDefault="00000000">
          <w:pPr>
            <w:pStyle w:val="TOC2"/>
            <w:tabs>
              <w:tab w:val="right" w:leader="dot" w:pos="10790"/>
            </w:tabs>
            <w:rPr>
              <w:noProof/>
            </w:rPr>
          </w:pPr>
          <w:hyperlink w:anchor="_Toc176864439" w:history="1">
            <w:r w:rsidR="00EB6B5D" w:rsidRPr="00633202">
              <w:rPr>
                <w:rStyle w:val="Hyperlink"/>
                <w:noProof/>
              </w:rPr>
              <w:t>E5 Évènement</w:t>
            </w:r>
            <w:r w:rsidR="00EB6B5D">
              <w:rPr>
                <w:noProof/>
                <w:webHidden/>
              </w:rPr>
              <w:tab/>
            </w:r>
            <w:r w:rsidR="00EB6B5D">
              <w:rPr>
                <w:noProof/>
                <w:webHidden/>
              </w:rPr>
              <w:fldChar w:fldCharType="begin"/>
            </w:r>
            <w:r w:rsidR="00EB6B5D">
              <w:rPr>
                <w:noProof/>
                <w:webHidden/>
              </w:rPr>
              <w:instrText xml:space="preserve"> PAGEREF _Toc176864439 \h </w:instrText>
            </w:r>
            <w:r w:rsidR="00EB6B5D">
              <w:rPr>
                <w:noProof/>
                <w:webHidden/>
              </w:rPr>
            </w:r>
            <w:r w:rsidR="00EB6B5D">
              <w:rPr>
                <w:noProof/>
                <w:webHidden/>
              </w:rPr>
              <w:fldChar w:fldCharType="separate"/>
            </w:r>
            <w:r w:rsidR="00010123">
              <w:rPr>
                <w:noProof/>
                <w:webHidden/>
              </w:rPr>
              <w:t>95</w:t>
            </w:r>
            <w:r w:rsidR="00EB6B5D">
              <w:rPr>
                <w:noProof/>
                <w:webHidden/>
              </w:rPr>
              <w:fldChar w:fldCharType="end"/>
            </w:r>
          </w:hyperlink>
        </w:p>
        <w:p w14:paraId="4C2B204D" w14:textId="0A506D11" w:rsidR="00EB6B5D" w:rsidRDefault="00000000">
          <w:pPr>
            <w:pStyle w:val="TOC2"/>
            <w:tabs>
              <w:tab w:val="right" w:leader="dot" w:pos="10790"/>
            </w:tabs>
            <w:rPr>
              <w:noProof/>
            </w:rPr>
          </w:pPr>
          <w:hyperlink w:anchor="_Toc176864440" w:history="1">
            <w:r w:rsidR="00EB6B5D" w:rsidRPr="00633202">
              <w:rPr>
                <w:rStyle w:val="Hyperlink"/>
                <w:noProof/>
              </w:rPr>
              <w:t>E6 Destruction</w:t>
            </w:r>
            <w:r w:rsidR="00EB6B5D">
              <w:rPr>
                <w:noProof/>
                <w:webHidden/>
              </w:rPr>
              <w:tab/>
            </w:r>
            <w:r w:rsidR="00EB6B5D">
              <w:rPr>
                <w:noProof/>
                <w:webHidden/>
              </w:rPr>
              <w:fldChar w:fldCharType="begin"/>
            </w:r>
            <w:r w:rsidR="00EB6B5D">
              <w:rPr>
                <w:noProof/>
                <w:webHidden/>
              </w:rPr>
              <w:instrText xml:space="preserve"> PAGEREF _Toc176864440 \h </w:instrText>
            </w:r>
            <w:r w:rsidR="00EB6B5D">
              <w:rPr>
                <w:noProof/>
                <w:webHidden/>
              </w:rPr>
            </w:r>
            <w:r w:rsidR="00EB6B5D">
              <w:rPr>
                <w:noProof/>
                <w:webHidden/>
              </w:rPr>
              <w:fldChar w:fldCharType="separate"/>
            </w:r>
            <w:r w:rsidR="00010123">
              <w:rPr>
                <w:noProof/>
                <w:webHidden/>
              </w:rPr>
              <w:t>96</w:t>
            </w:r>
            <w:r w:rsidR="00EB6B5D">
              <w:rPr>
                <w:noProof/>
                <w:webHidden/>
              </w:rPr>
              <w:fldChar w:fldCharType="end"/>
            </w:r>
          </w:hyperlink>
        </w:p>
        <w:p w14:paraId="2D82FF64" w14:textId="7F0D1752" w:rsidR="00EB6B5D" w:rsidRDefault="00000000">
          <w:pPr>
            <w:pStyle w:val="TOC2"/>
            <w:tabs>
              <w:tab w:val="right" w:leader="dot" w:pos="10790"/>
            </w:tabs>
            <w:rPr>
              <w:noProof/>
            </w:rPr>
          </w:pPr>
          <w:hyperlink w:anchor="_Toc176864441" w:history="1">
            <w:r w:rsidR="00EB6B5D" w:rsidRPr="00633202">
              <w:rPr>
                <w:rStyle w:val="Hyperlink"/>
                <w:noProof/>
              </w:rPr>
              <w:t>E7 Activité</w:t>
            </w:r>
            <w:r w:rsidR="00EB6B5D">
              <w:rPr>
                <w:noProof/>
                <w:webHidden/>
              </w:rPr>
              <w:tab/>
            </w:r>
            <w:r w:rsidR="00EB6B5D">
              <w:rPr>
                <w:noProof/>
                <w:webHidden/>
              </w:rPr>
              <w:fldChar w:fldCharType="begin"/>
            </w:r>
            <w:r w:rsidR="00EB6B5D">
              <w:rPr>
                <w:noProof/>
                <w:webHidden/>
              </w:rPr>
              <w:instrText xml:space="preserve"> PAGEREF _Toc176864441 \h </w:instrText>
            </w:r>
            <w:r w:rsidR="00EB6B5D">
              <w:rPr>
                <w:noProof/>
                <w:webHidden/>
              </w:rPr>
            </w:r>
            <w:r w:rsidR="00EB6B5D">
              <w:rPr>
                <w:noProof/>
                <w:webHidden/>
              </w:rPr>
              <w:fldChar w:fldCharType="separate"/>
            </w:r>
            <w:r w:rsidR="00010123">
              <w:rPr>
                <w:noProof/>
                <w:webHidden/>
              </w:rPr>
              <w:t>97</w:t>
            </w:r>
            <w:r w:rsidR="00EB6B5D">
              <w:rPr>
                <w:noProof/>
                <w:webHidden/>
              </w:rPr>
              <w:fldChar w:fldCharType="end"/>
            </w:r>
          </w:hyperlink>
        </w:p>
        <w:p w14:paraId="158C7BDE" w14:textId="474403FD" w:rsidR="00EB6B5D" w:rsidRDefault="00000000">
          <w:pPr>
            <w:pStyle w:val="TOC2"/>
            <w:tabs>
              <w:tab w:val="right" w:leader="dot" w:pos="10790"/>
            </w:tabs>
            <w:rPr>
              <w:noProof/>
            </w:rPr>
          </w:pPr>
          <w:hyperlink w:anchor="_Toc176864442" w:history="1">
            <w:r w:rsidR="00EB6B5D" w:rsidRPr="00633202">
              <w:rPr>
                <w:rStyle w:val="Hyperlink"/>
                <w:noProof/>
              </w:rPr>
              <w:t>E8 Acquisition</w:t>
            </w:r>
            <w:r w:rsidR="00EB6B5D">
              <w:rPr>
                <w:noProof/>
                <w:webHidden/>
              </w:rPr>
              <w:tab/>
            </w:r>
            <w:r w:rsidR="00EB6B5D">
              <w:rPr>
                <w:noProof/>
                <w:webHidden/>
              </w:rPr>
              <w:fldChar w:fldCharType="begin"/>
            </w:r>
            <w:r w:rsidR="00EB6B5D">
              <w:rPr>
                <w:noProof/>
                <w:webHidden/>
              </w:rPr>
              <w:instrText xml:space="preserve"> PAGEREF _Toc176864442 \h </w:instrText>
            </w:r>
            <w:r w:rsidR="00EB6B5D">
              <w:rPr>
                <w:noProof/>
                <w:webHidden/>
              </w:rPr>
            </w:r>
            <w:r w:rsidR="00EB6B5D">
              <w:rPr>
                <w:noProof/>
                <w:webHidden/>
              </w:rPr>
              <w:fldChar w:fldCharType="separate"/>
            </w:r>
            <w:r w:rsidR="00010123">
              <w:rPr>
                <w:noProof/>
                <w:webHidden/>
              </w:rPr>
              <w:t>99</w:t>
            </w:r>
            <w:r w:rsidR="00EB6B5D">
              <w:rPr>
                <w:noProof/>
                <w:webHidden/>
              </w:rPr>
              <w:fldChar w:fldCharType="end"/>
            </w:r>
          </w:hyperlink>
        </w:p>
        <w:p w14:paraId="4978B3A3" w14:textId="6BD9788D" w:rsidR="00EB6B5D" w:rsidRDefault="00000000">
          <w:pPr>
            <w:pStyle w:val="TOC2"/>
            <w:tabs>
              <w:tab w:val="right" w:leader="dot" w:pos="10790"/>
            </w:tabs>
            <w:rPr>
              <w:noProof/>
            </w:rPr>
          </w:pPr>
          <w:hyperlink w:anchor="_Toc176864443" w:history="1">
            <w:r w:rsidR="00EB6B5D" w:rsidRPr="00633202">
              <w:rPr>
                <w:rStyle w:val="Hyperlink"/>
                <w:noProof/>
              </w:rPr>
              <w:t>E9 Déplacement</w:t>
            </w:r>
            <w:r w:rsidR="00EB6B5D">
              <w:rPr>
                <w:noProof/>
                <w:webHidden/>
              </w:rPr>
              <w:tab/>
            </w:r>
            <w:r w:rsidR="00EB6B5D">
              <w:rPr>
                <w:noProof/>
                <w:webHidden/>
              </w:rPr>
              <w:fldChar w:fldCharType="begin"/>
            </w:r>
            <w:r w:rsidR="00EB6B5D">
              <w:rPr>
                <w:noProof/>
                <w:webHidden/>
              </w:rPr>
              <w:instrText xml:space="preserve"> PAGEREF _Toc176864443 \h </w:instrText>
            </w:r>
            <w:r w:rsidR="00EB6B5D">
              <w:rPr>
                <w:noProof/>
                <w:webHidden/>
              </w:rPr>
            </w:r>
            <w:r w:rsidR="00EB6B5D">
              <w:rPr>
                <w:noProof/>
                <w:webHidden/>
              </w:rPr>
              <w:fldChar w:fldCharType="separate"/>
            </w:r>
            <w:r w:rsidR="00010123">
              <w:rPr>
                <w:noProof/>
                <w:webHidden/>
              </w:rPr>
              <w:t>100</w:t>
            </w:r>
            <w:r w:rsidR="00EB6B5D">
              <w:rPr>
                <w:noProof/>
                <w:webHidden/>
              </w:rPr>
              <w:fldChar w:fldCharType="end"/>
            </w:r>
          </w:hyperlink>
        </w:p>
        <w:p w14:paraId="369052B3" w14:textId="4833D9A0" w:rsidR="00EB6B5D" w:rsidRDefault="00000000">
          <w:pPr>
            <w:pStyle w:val="TOC2"/>
            <w:tabs>
              <w:tab w:val="right" w:leader="dot" w:pos="10790"/>
            </w:tabs>
            <w:rPr>
              <w:noProof/>
            </w:rPr>
          </w:pPr>
          <w:hyperlink w:anchor="_Toc176864444" w:history="1">
            <w:r w:rsidR="00EB6B5D" w:rsidRPr="00633202">
              <w:rPr>
                <w:rStyle w:val="Hyperlink"/>
                <w:noProof/>
              </w:rPr>
              <w:t>E10 Transfert de la garde</w:t>
            </w:r>
            <w:r w:rsidR="00EB6B5D">
              <w:rPr>
                <w:noProof/>
                <w:webHidden/>
              </w:rPr>
              <w:tab/>
            </w:r>
            <w:r w:rsidR="00EB6B5D">
              <w:rPr>
                <w:noProof/>
                <w:webHidden/>
              </w:rPr>
              <w:fldChar w:fldCharType="begin"/>
            </w:r>
            <w:r w:rsidR="00EB6B5D">
              <w:rPr>
                <w:noProof/>
                <w:webHidden/>
              </w:rPr>
              <w:instrText xml:space="preserve"> PAGEREF _Toc176864444 \h </w:instrText>
            </w:r>
            <w:r w:rsidR="00EB6B5D">
              <w:rPr>
                <w:noProof/>
                <w:webHidden/>
              </w:rPr>
            </w:r>
            <w:r w:rsidR="00EB6B5D">
              <w:rPr>
                <w:noProof/>
                <w:webHidden/>
              </w:rPr>
              <w:fldChar w:fldCharType="separate"/>
            </w:r>
            <w:r w:rsidR="00010123">
              <w:rPr>
                <w:noProof/>
                <w:webHidden/>
              </w:rPr>
              <w:t>101</w:t>
            </w:r>
            <w:r w:rsidR="00EB6B5D">
              <w:rPr>
                <w:noProof/>
                <w:webHidden/>
              </w:rPr>
              <w:fldChar w:fldCharType="end"/>
            </w:r>
          </w:hyperlink>
        </w:p>
        <w:p w14:paraId="59C178BD" w14:textId="4FF3E4B3" w:rsidR="00EB6B5D" w:rsidRDefault="00000000">
          <w:pPr>
            <w:pStyle w:val="TOC2"/>
            <w:tabs>
              <w:tab w:val="right" w:leader="dot" w:pos="10790"/>
            </w:tabs>
            <w:rPr>
              <w:noProof/>
            </w:rPr>
          </w:pPr>
          <w:hyperlink w:anchor="_Toc176864445" w:history="1">
            <w:r w:rsidR="00EB6B5D" w:rsidRPr="00633202">
              <w:rPr>
                <w:rStyle w:val="Hyperlink"/>
                <w:noProof/>
              </w:rPr>
              <w:t>E11 Modification</w:t>
            </w:r>
            <w:r w:rsidR="00EB6B5D">
              <w:rPr>
                <w:noProof/>
                <w:webHidden/>
              </w:rPr>
              <w:tab/>
            </w:r>
            <w:r w:rsidR="00EB6B5D">
              <w:rPr>
                <w:noProof/>
                <w:webHidden/>
              </w:rPr>
              <w:fldChar w:fldCharType="begin"/>
            </w:r>
            <w:r w:rsidR="00EB6B5D">
              <w:rPr>
                <w:noProof/>
                <w:webHidden/>
              </w:rPr>
              <w:instrText xml:space="preserve"> PAGEREF _Toc176864445 \h </w:instrText>
            </w:r>
            <w:r w:rsidR="00EB6B5D">
              <w:rPr>
                <w:noProof/>
                <w:webHidden/>
              </w:rPr>
            </w:r>
            <w:r w:rsidR="00EB6B5D">
              <w:rPr>
                <w:noProof/>
                <w:webHidden/>
              </w:rPr>
              <w:fldChar w:fldCharType="separate"/>
            </w:r>
            <w:r w:rsidR="00010123">
              <w:rPr>
                <w:noProof/>
                <w:webHidden/>
              </w:rPr>
              <w:t>102</w:t>
            </w:r>
            <w:r w:rsidR="00EB6B5D">
              <w:rPr>
                <w:noProof/>
                <w:webHidden/>
              </w:rPr>
              <w:fldChar w:fldCharType="end"/>
            </w:r>
          </w:hyperlink>
        </w:p>
        <w:p w14:paraId="6E41D116" w14:textId="50A65727" w:rsidR="00EB6B5D" w:rsidRDefault="00000000">
          <w:pPr>
            <w:pStyle w:val="TOC2"/>
            <w:tabs>
              <w:tab w:val="right" w:leader="dot" w:pos="10790"/>
            </w:tabs>
            <w:rPr>
              <w:noProof/>
            </w:rPr>
          </w:pPr>
          <w:hyperlink w:anchor="_Toc176864446" w:history="1">
            <w:r w:rsidR="00EB6B5D" w:rsidRPr="00633202">
              <w:rPr>
                <w:rStyle w:val="Hyperlink"/>
                <w:noProof/>
              </w:rPr>
              <w:t>E12 Production</w:t>
            </w:r>
            <w:r w:rsidR="00EB6B5D">
              <w:rPr>
                <w:noProof/>
                <w:webHidden/>
              </w:rPr>
              <w:tab/>
            </w:r>
            <w:r w:rsidR="00EB6B5D">
              <w:rPr>
                <w:noProof/>
                <w:webHidden/>
              </w:rPr>
              <w:fldChar w:fldCharType="begin"/>
            </w:r>
            <w:r w:rsidR="00EB6B5D">
              <w:rPr>
                <w:noProof/>
                <w:webHidden/>
              </w:rPr>
              <w:instrText xml:space="preserve"> PAGEREF _Toc176864446 \h </w:instrText>
            </w:r>
            <w:r w:rsidR="00EB6B5D">
              <w:rPr>
                <w:noProof/>
                <w:webHidden/>
              </w:rPr>
            </w:r>
            <w:r w:rsidR="00EB6B5D">
              <w:rPr>
                <w:noProof/>
                <w:webHidden/>
              </w:rPr>
              <w:fldChar w:fldCharType="separate"/>
            </w:r>
            <w:r w:rsidR="00010123">
              <w:rPr>
                <w:noProof/>
                <w:webHidden/>
              </w:rPr>
              <w:t>104</w:t>
            </w:r>
            <w:r w:rsidR="00EB6B5D">
              <w:rPr>
                <w:noProof/>
                <w:webHidden/>
              </w:rPr>
              <w:fldChar w:fldCharType="end"/>
            </w:r>
          </w:hyperlink>
        </w:p>
        <w:p w14:paraId="6DFF1E71" w14:textId="41ABB0CE" w:rsidR="00EB6B5D" w:rsidRDefault="00000000">
          <w:pPr>
            <w:pStyle w:val="TOC2"/>
            <w:tabs>
              <w:tab w:val="right" w:leader="dot" w:pos="10790"/>
            </w:tabs>
            <w:rPr>
              <w:noProof/>
            </w:rPr>
          </w:pPr>
          <w:hyperlink w:anchor="_Toc176864447" w:history="1">
            <w:r w:rsidR="00EB6B5D" w:rsidRPr="00633202">
              <w:rPr>
                <w:rStyle w:val="Hyperlink"/>
                <w:noProof/>
              </w:rPr>
              <w:t>E13 Assignation d’attribut</w:t>
            </w:r>
            <w:r w:rsidR="00EB6B5D">
              <w:rPr>
                <w:noProof/>
                <w:webHidden/>
              </w:rPr>
              <w:tab/>
            </w:r>
            <w:r w:rsidR="00EB6B5D">
              <w:rPr>
                <w:noProof/>
                <w:webHidden/>
              </w:rPr>
              <w:fldChar w:fldCharType="begin"/>
            </w:r>
            <w:r w:rsidR="00EB6B5D">
              <w:rPr>
                <w:noProof/>
                <w:webHidden/>
              </w:rPr>
              <w:instrText xml:space="preserve"> PAGEREF _Toc176864447 \h </w:instrText>
            </w:r>
            <w:r w:rsidR="00EB6B5D">
              <w:rPr>
                <w:noProof/>
                <w:webHidden/>
              </w:rPr>
            </w:r>
            <w:r w:rsidR="00EB6B5D">
              <w:rPr>
                <w:noProof/>
                <w:webHidden/>
              </w:rPr>
              <w:fldChar w:fldCharType="separate"/>
            </w:r>
            <w:r w:rsidR="00010123">
              <w:rPr>
                <w:noProof/>
                <w:webHidden/>
              </w:rPr>
              <w:t>105</w:t>
            </w:r>
            <w:r w:rsidR="00EB6B5D">
              <w:rPr>
                <w:noProof/>
                <w:webHidden/>
              </w:rPr>
              <w:fldChar w:fldCharType="end"/>
            </w:r>
          </w:hyperlink>
        </w:p>
        <w:p w14:paraId="6F3FD327" w14:textId="154446FC" w:rsidR="00EB6B5D" w:rsidRDefault="00000000">
          <w:pPr>
            <w:pStyle w:val="TOC2"/>
            <w:tabs>
              <w:tab w:val="right" w:leader="dot" w:pos="10790"/>
            </w:tabs>
            <w:rPr>
              <w:noProof/>
            </w:rPr>
          </w:pPr>
          <w:hyperlink w:anchor="_Toc176864448" w:history="1">
            <w:r w:rsidR="00EB6B5D" w:rsidRPr="00633202">
              <w:rPr>
                <w:rStyle w:val="Hyperlink"/>
                <w:noProof/>
              </w:rPr>
              <w:t>E14 Évaluation d’état matériel</w:t>
            </w:r>
            <w:r w:rsidR="00EB6B5D">
              <w:rPr>
                <w:noProof/>
                <w:webHidden/>
              </w:rPr>
              <w:tab/>
            </w:r>
            <w:r w:rsidR="00EB6B5D">
              <w:rPr>
                <w:noProof/>
                <w:webHidden/>
              </w:rPr>
              <w:fldChar w:fldCharType="begin"/>
            </w:r>
            <w:r w:rsidR="00EB6B5D">
              <w:rPr>
                <w:noProof/>
                <w:webHidden/>
              </w:rPr>
              <w:instrText xml:space="preserve"> PAGEREF _Toc176864448 \h </w:instrText>
            </w:r>
            <w:r w:rsidR="00EB6B5D">
              <w:rPr>
                <w:noProof/>
                <w:webHidden/>
              </w:rPr>
            </w:r>
            <w:r w:rsidR="00EB6B5D">
              <w:rPr>
                <w:noProof/>
                <w:webHidden/>
              </w:rPr>
              <w:fldChar w:fldCharType="separate"/>
            </w:r>
            <w:r w:rsidR="00010123">
              <w:rPr>
                <w:noProof/>
                <w:webHidden/>
              </w:rPr>
              <w:t>106</w:t>
            </w:r>
            <w:r w:rsidR="00EB6B5D">
              <w:rPr>
                <w:noProof/>
                <w:webHidden/>
              </w:rPr>
              <w:fldChar w:fldCharType="end"/>
            </w:r>
          </w:hyperlink>
        </w:p>
        <w:p w14:paraId="7E9473FA" w14:textId="4E10EBF4" w:rsidR="00EB6B5D" w:rsidRDefault="00000000">
          <w:pPr>
            <w:pStyle w:val="TOC2"/>
            <w:tabs>
              <w:tab w:val="right" w:leader="dot" w:pos="10790"/>
            </w:tabs>
            <w:rPr>
              <w:noProof/>
            </w:rPr>
          </w:pPr>
          <w:hyperlink w:anchor="_Toc176864449" w:history="1">
            <w:r w:rsidR="00EB6B5D" w:rsidRPr="00633202">
              <w:rPr>
                <w:rStyle w:val="Hyperlink"/>
                <w:noProof/>
              </w:rPr>
              <w:t>E15 Assignation d’identifiant</w:t>
            </w:r>
            <w:r w:rsidR="00EB6B5D">
              <w:rPr>
                <w:noProof/>
                <w:webHidden/>
              </w:rPr>
              <w:tab/>
            </w:r>
            <w:r w:rsidR="00EB6B5D">
              <w:rPr>
                <w:noProof/>
                <w:webHidden/>
              </w:rPr>
              <w:fldChar w:fldCharType="begin"/>
            </w:r>
            <w:r w:rsidR="00EB6B5D">
              <w:rPr>
                <w:noProof/>
                <w:webHidden/>
              </w:rPr>
              <w:instrText xml:space="preserve"> PAGEREF _Toc176864449 \h </w:instrText>
            </w:r>
            <w:r w:rsidR="00EB6B5D">
              <w:rPr>
                <w:noProof/>
                <w:webHidden/>
              </w:rPr>
            </w:r>
            <w:r w:rsidR="00EB6B5D">
              <w:rPr>
                <w:noProof/>
                <w:webHidden/>
              </w:rPr>
              <w:fldChar w:fldCharType="separate"/>
            </w:r>
            <w:r w:rsidR="00010123">
              <w:rPr>
                <w:noProof/>
                <w:webHidden/>
              </w:rPr>
              <w:t>107</w:t>
            </w:r>
            <w:r w:rsidR="00EB6B5D">
              <w:rPr>
                <w:noProof/>
                <w:webHidden/>
              </w:rPr>
              <w:fldChar w:fldCharType="end"/>
            </w:r>
          </w:hyperlink>
        </w:p>
        <w:p w14:paraId="203244EB" w14:textId="72DD9F97" w:rsidR="00EB6B5D" w:rsidRDefault="00000000">
          <w:pPr>
            <w:pStyle w:val="TOC2"/>
            <w:tabs>
              <w:tab w:val="right" w:leader="dot" w:pos="10790"/>
            </w:tabs>
            <w:rPr>
              <w:noProof/>
            </w:rPr>
          </w:pPr>
          <w:hyperlink w:anchor="_Toc176864450" w:history="1">
            <w:r w:rsidR="00EB6B5D" w:rsidRPr="00633202">
              <w:rPr>
                <w:rStyle w:val="Hyperlink"/>
                <w:noProof/>
              </w:rPr>
              <w:t>E16 Mesurage</w:t>
            </w:r>
            <w:r w:rsidR="00EB6B5D">
              <w:rPr>
                <w:noProof/>
                <w:webHidden/>
              </w:rPr>
              <w:tab/>
            </w:r>
            <w:r w:rsidR="00EB6B5D">
              <w:rPr>
                <w:noProof/>
                <w:webHidden/>
              </w:rPr>
              <w:fldChar w:fldCharType="begin"/>
            </w:r>
            <w:r w:rsidR="00EB6B5D">
              <w:rPr>
                <w:noProof/>
                <w:webHidden/>
              </w:rPr>
              <w:instrText xml:space="preserve"> PAGEREF _Toc176864450 \h </w:instrText>
            </w:r>
            <w:r w:rsidR="00EB6B5D">
              <w:rPr>
                <w:noProof/>
                <w:webHidden/>
              </w:rPr>
            </w:r>
            <w:r w:rsidR="00EB6B5D">
              <w:rPr>
                <w:noProof/>
                <w:webHidden/>
              </w:rPr>
              <w:fldChar w:fldCharType="separate"/>
            </w:r>
            <w:r w:rsidR="00010123">
              <w:rPr>
                <w:noProof/>
                <w:webHidden/>
              </w:rPr>
              <w:t>108</w:t>
            </w:r>
            <w:r w:rsidR="00EB6B5D">
              <w:rPr>
                <w:noProof/>
                <w:webHidden/>
              </w:rPr>
              <w:fldChar w:fldCharType="end"/>
            </w:r>
          </w:hyperlink>
        </w:p>
        <w:p w14:paraId="438AB207" w14:textId="2E237E07" w:rsidR="00EB6B5D" w:rsidRDefault="00000000">
          <w:pPr>
            <w:pStyle w:val="TOC2"/>
            <w:tabs>
              <w:tab w:val="right" w:leader="dot" w:pos="10790"/>
            </w:tabs>
            <w:rPr>
              <w:noProof/>
            </w:rPr>
          </w:pPr>
          <w:hyperlink w:anchor="_Toc176864451" w:history="1">
            <w:r w:rsidR="00EB6B5D" w:rsidRPr="00633202">
              <w:rPr>
                <w:rStyle w:val="Hyperlink"/>
                <w:noProof/>
              </w:rPr>
              <w:t>E17 Assignation de type</w:t>
            </w:r>
            <w:r w:rsidR="00EB6B5D">
              <w:rPr>
                <w:noProof/>
                <w:webHidden/>
              </w:rPr>
              <w:tab/>
            </w:r>
            <w:r w:rsidR="00EB6B5D">
              <w:rPr>
                <w:noProof/>
                <w:webHidden/>
              </w:rPr>
              <w:fldChar w:fldCharType="begin"/>
            </w:r>
            <w:r w:rsidR="00EB6B5D">
              <w:rPr>
                <w:noProof/>
                <w:webHidden/>
              </w:rPr>
              <w:instrText xml:space="preserve"> PAGEREF _Toc176864451 \h </w:instrText>
            </w:r>
            <w:r w:rsidR="00EB6B5D">
              <w:rPr>
                <w:noProof/>
                <w:webHidden/>
              </w:rPr>
            </w:r>
            <w:r w:rsidR="00EB6B5D">
              <w:rPr>
                <w:noProof/>
                <w:webHidden/>
              </w:rPr>
              <w:fldChar w:fldCharType="separate"/>
            </w:r>
            <w:r w:rsidR="00010123">
              <w:rPr>
                <w:noProof/>
                <w:webHidden/>
              </w:rPr>
              <w:t>109</w:t>
            </w:r>
            <w:r w:rsidR="00EB6B5D">
              <w:rPr>
                <w:noProof/>
                <w:webHidden/>
              </w:rPr>
              <w:fldChar w:fldCharType="end"/>
            </w:r>
          </w:hyperlink>
        </w:p>
        <w:p w14:paraId="3ADC9B66" w14:textId="6E022ADA" w:rsidR="00EB6B5D" w:rsidRDefault="00000000">
          <w:pPr>
            <w:pStyle w:val="TOC2"/>
            <w:tabs>
              <w:tab w:val="right" w:leader="dot" w:pos="10790"/>
            </w:tabs>
            <w:rPr>
              <w:noProof/>
            </w:rPr>
          </w:pPr>
          <w:hyperlink w:anchor="_Toc176864452" w:history="1">
            <w:r w:rsidR="00EB6B5D" w:rsidRPr="00633202">
              <w:rPr>
                <w:rStyle w:val="Hyperlink"/>
                <w:noProof/>
              </w:rPr>
              <w:t>E18 Chose matérielle</w:t>
            </w:r>
            <w:r w:rsidR="00EB6B5D">
              <w:rPr>
                <w:noProof/>
                <w:webHidden/>
              </w:rPr>
              <w:tab/>
            </w:r>
            <w:r w:rsidR="00EB6B5D">
              <w:rPr>
                <w:noProof/>
                <w:webHidden/>
              </w:rPr>
              <w:fldChar w:fldCharType="begin"/>
            </w:r>
            <w:r w:rsidR="00EB6B5D">
              <w:rPr>
                <w:noProof/>
                <w:webHidden/>
              </w:rPr>
              <w:instrText xml:space="preserve"> PAGEREF _Toc176864452 \h </w:instrText>
            </w:r>
            <w:r w:rsidR="00EB6B5D">
              <w:rPr>
                <w:noProof/>
                <w:webHidden/>
              </w:rPr>
            </w:r>
            <w:r w:rsidR="00EB6B5D">
              <w:rPr>
                <w:noProof/>
                <w:webHidden/>
              </w:rPr>
              <w:fldChar w:fldCharType="separate"/>
            </w:r>
            <w:r w:rsidR="00010123">
              <w:rPr>
                <w:noProof/>
                <w:webHidden/>
              </w:rPr>
              <w:t>110</w:t>
            </w:r>
            <w:r w:rsidR="00EB6B5D">
              <w:rPr>
                <w:noProof/>
                <w:webHidden/>
              </w:rPr>
              <w:fldChar w:fldCharType="end"/>
            </w:r>
          </w:hyperlink>
        </w:p>
        <w:p w14:paraId="3C425E43" w14:textId="0C94443A" w:rsidR="00EB6B5D" w:rsidRDefault="00000000">
          <w:pPr>
            <w:pStyle w:val="TOC2"/>
            <w:tabs>
              <w:tab w:val="right" w:leader="dot" w:pos="10790"/>
            </w:tabs>
            <w:rPr>
              <w:noProof/>
            </w:rPr>
          </w:pPr>
          <w:hyperlink w:anchor="_Toc176864453" w:history="1">
            <w:r w:rsidR="00EB6B5D" w:rsidRPr="00633202">
              <w:rPr>
                <w:rStyle w:val="Hyperlink"/>
                <w:noProof/>
              </w:rPr>
              <w:t>E19 Objet matériel</w:t>
            </w:r>
            <w:r w:rsidR="00EB6B5D">
              <w:rPr>
                <w:noProof/>
                <w:webHidden/>
              </w:rPr>
              <w:tab/>
            </w:r>
            <w:r w:rsidR="00EB6B5D">
              <w:rPr>
                <w:noProof/>
                <w:webHidden/>
              </w:rPr>
              <w:fldChar w:fldCharType="begin"/>
            </w:r>
            <w:r w:rsidR="00EB6B5D">
              <w:rPr>
                <w:noProof/>
                <w:webHidden/>
              </w:rPr>
              <w:instrText xml:space="preserve"> PAGEREF _Toc176864453 \h </w:instrText>
            </w:r>
            <w:r w:rsidR="00EB6B5D">
              <w:rPr>
                <w:noProof/>
                <w:webHidden/>
              </w:rPr>
            </w:r>
            <w:r w:rsidR="00EB6B5D">
              <w:rPr>
                <w:noProof/>
                <w:webHidden/>
              </w:rPr>
              <w:fldChar w:fldCharType="separate"/>
            </w:r>
            <w:r w:rsidR="00010123">
              <w:rPr>
                <w:noProof/>
                <w:webHidden/>
              </w:rPr>
              <w:t>112</w:t>
            </w:r>
            <w:r w:rsidR="00EB6B5D">
              <w:rPr>
                <w:noProof/>
                <w:webHidden/>
              </w:rPr>
              <w:fldChar w:fldCharType="end"/>
            </w:r>
          </w:hyperlink>
        </w:p>
        <w:p w14:paraId="592711BF" w14:textId="32EC128E" w:rsidR="00EB6B5D" w:rsidRDefault="00000000">
          <w:pPr>
            <w:pStyle w:val="TOC2"/>
            <w:tabs>
              <w:tab w:val="right" w:leader="dot" w:pos="10790"/>
            </w:tabs>
            <w:rPr>
              <w:noProof/>
            </w:rPr>
          </w:pPr>
          <w:hyperlink w:anchor="_Toc176864454" w:history="1">
            <w:r w:rsidR="00EB6B5D" w:rsidRPr="00633202">
              <w:rPr>
                <w:rStyle w:val="Hyperlink"/>
                <w:noProof/>
              </w:rPr>
              <w:t>E20 Objet biologique</w:t>
            </w:r>
            <w:r w:rsidR="00EB6B5D">
              <w:rPr>
                <w:noProof/>
                <w:webHidden/>
              </w:rPr>
              <w:tab/>
            </w:r>
            <w:r w:rsidR="00EB6B5D">
              <w:rPr>
                <w:noProof/>
                <w:webHidden/>
              </w:rPr>
              <w:fldChar w:fldCharType="begin"/>
            </w:r>
            <w:r w:rsidR="00EB6B5D">
              <w:rPr>
                <w:noProof/>
                <w:webHidden/>
              </w:rPr>
              <w:instrText xml:space="preserve"> PAGEREF _Toc176864454 \h </w:instrText>
            </w:r>
            <w:r w:rsidR="00EB6B5D">
              <w:rPr>
                <w:noProof/>
                <w:webHidden/>
              </w:rPr>
            </w:r>
            <w:r w:rsidR="00EB6B5D">
              <w:rPr>
                <w:noProof/>
                <w:webHidden/>
              </w:rPr>
              <w:fldChar w:fldCharType="separate"/>
            </w:r>
            <w:r w:rsidR="00010123">
              <w:rPr>
                <w:noProof/>
                <w:webHidden/>
              </w:rPr>
              <w:t>113</w:t>
            </w:r>
            <w:r w:rsidR="00EB6B5D">
              <w:rPr>
                <w:noProof/>
                <w:webHidden/>
              </w:rPr>
              <w:fldChar w:fldCharType="end"/>
            </w:r>
          </w:hyperlink>
        </w:p>
        <w:p w14:paraId="4AE0AB52" w14:textId="3A60A285" w:rsidR="00EB6B5D" w:rsidRDefault="00000000">
          <w:pPr>
            <w:pStyle w:val="TOC2"/>
            <w:tabs>
              <w:tab w:val="right" w:leader="dot" w:pos="10790"/>
            </w:tabs>
            <w:rPr>
              <w:noProof/>
            </w:rPr>
          </w:pPr>
          <w:hyperlink w:anchor="_Toc176864455" w:history="1">
            <w:r w:rsidR="00EB6B5D" w:rsidRPr="00633202">
              <w:rPr>
                <w:rStyle w:val="Hyperlink"/>
                <w:noProof/>
              </w:rPr>
              <w:t>E21 Personne</w:t>
            </w:r>
            <w:r w:rsidR="00EB6B5D">
              <w:rPr>
                <w:noProof/>
                <w:webHidden/>
              </w:rPr>
              <w:tab/>
            </w:r>
            <w:r w:rsidR="00EB6B5D">
              <w:rPr>
                <w:noProof/>
                <w:webHidden/>
              </w:rPr>
              <w:fldChar w:fldCharType="begin"/>
            </w:r>
            <w:r w:rsidR="00EB6B5D">
              <w:rPr>
                <w:noProof/>
                <w:webHidden/>
              </w:rPr>
              <w:instrText xml:space="preserve"> PAGEREF _Toc176864455 \h </w:instrText>
            </w:r>
            <w:r w:rsidR="00EB6B5D">
              <w:rPr>
                <w:noProof/>
                <w:webHidden/>
              </w:rPr>
            </w:r>
            <w:r w:rsidR="00EB6B5D">
              <w:rPr>
                <w:noProof/>
                <w:webHidden/>
              </w:rPr>
              <w:fldChar w:fldCharType="separate"/>
            </w:r>
            <w:r w:rsidR="00010123">
              <w:rPr>
                <w:noProof/>
                <w:webHidden/>
              </w:rPr>
              <w:t>114</w:t>
            </w:r>
            <w:r w:rsidR="00EB6B5D">
              <w:rPr>
                <w:noProof/>
                <w:webHidden/>
              </w:rPr>
              <w:fldChar w:fldCharType="end"/>
            </w:r>
          </w:hyperlink>
        </w:p>
        <w:p w14:paraId="281947F3" w14:textId="5E69D29C" w:rsidR="00EB6B5D" w:rsidRDefault="00000000">
          <w:pPr>
            <w:pStyle w:val="TOC2"/>
            <w:tabs>
              <w:tab w:val="right" w:leader="dot" w:pos="10790"/>
            </w:tabs>
            <w:rPr>
              <w:noProof/>
            </w:rPr>
          </w:pPr>
          <w:hyperlink w:anchor="_Toc176864456" w:history="1">
            <w:r w:rsidR="00EB6B5D" w:rsidRPr="00633202">
              <w:rPr>
                <w:rStyle w:val="Hyperlink"/>
                <w:noProof/>
              </w:rPr>
              <w:t>E22 Objet élaboré par l’humain</w:t>
            </w:r>
            <w:r w:rsidR="00EB6B5D">
              <w:rPr>
                <w:noProof/>
                <w:webHidden/>
              </w:rPr>
              <w:tab/>
            </w:r>
            <w:r w:rsidR="00EB6B5D">
              <w:rPr>
                <w:noProof/>
                <w:webHidden/>
              </w:rPr>
              <w:fldChar w:fldCharType="begin"/>
            </w:r>
            <w:r w:rsidR="00EB6B5D">
              <w:rPr>
                <w:noProof/>
                <w:webHidden/>
              </w:rPr>
              <w:instrText xml:space="preserve"> PAGEREF _Toc176864456 \h </w:instrText>
            </w:r>
            <w:r w:rsidR="00EB6B5D">
              <w:rPr>
                <w:noProof/>
                <w:webHidden/>
              </w:rPr>
            </w:r>
            <w:r w:rsidR="00EB6B5D">
              <w:rPr>
                <w:noProof/>
                <w:webHidden/>
              </w:rPr>
              <w:fldChar w:fldCharType="separate"/>
            </w:r>
            <w:r w:rsidR="00010123">
              <w:rPr>
                <w:noProof/>
                <w:webHidden/>
              </w:rPr>
              <w:t>115</w:t>
            </w:r>
            <w:r w:rsidR="00EB6B5D">
              <w:rPr>
                <w:noProof/>
                <w:webHidden/>
              </w:rPr>
              <w:fldChar w:fldCharType="end"/>
            </w:r>
          </w:hyperlink>
        </w:p>
        <w:p w14:paraId="6CEA02FA" w14:textId="46DA4934" w:rsidR="00EB6B5D" w:rsidRDefault="00000000">
          <w:pPr>
            <w:pStyle w:val="TOC2"/>
            <w:tabs>
              <w:tab w:val="right" w:leader="dot" w:pos="10790"/>
            </w:tabs>
            <w:rPr>
              <w:noProof/>
            </w:rPr>
          </w:pPr>
          <w:hyperlink w:anchor="_Toc176864457" w:history="1">
            <w:r w:rsidR="00EB6B5D" w:rsidRPr="00633202">
              <w:rPr>
                <w:rStyle w:val="Hyperlink"/>
                <w:noProof/>
              </w:rPr>
              <w:t>E24 Chose matérielle élaborée par l’humain</w:t>
            </w:r>
            <w:r w:rsidR="00EB6B5D">
              <w:rPr>
                <w:noProof/>
                <w:webHidden/>
              </w:rPr>
              <w:tab/>
            </w:r>
            <w:r w:rsidR="00EB6B5D">
              <w:rPr>
                <w:noProof/>
                <w:webHidden/>
              </w:rPr>
              <w:fldChar w:fldCharType="begin"/>
            </w:r>
            <w:r w:rsidR="00EB6B5D">
              <w:rPr>
                <w:noProof/>
                <w:webHidden/>
              </w:rPr>
              <w:instrText xml:space="preserve"> PAGEREF _Toc176864457 \h </w:instrText>
            </w:r>
            <w:r w:rsidR="00EB6B5D">
              <w:rPr>
                <w:noProof/>
                <w:webHidden/>
              </w:rPr>
            </w:r>
            <w:r w:rsidR="00EB6B5D">
              <w:rPr>
                <w:noProof/>
                <w:webHidden/>
              </w:rPr>
              <w:fldChar w:fldCharType="separate"/>
            </w:r>
            <w:r w:rsidR="00010123">
              <w:rPr>
                <w:noProof/>
                <w:webHidden/>
              </w:rPr>
              <w:t>115</w:t>
            </w:r>
            <w:r w:rsidR="00EB6B5D">
              <w:rPr>
                <w:noProof/>
                <w:webHidden/>
              </w:rPr>
              <w:fldChar w:fldCharType="end"/>
            </w:r>
          </w:hyperlink>
        </w:p>
        <w:p w14:paraId="68811885" w14:textId="3FFB771E" w:rsidR="00EB6B5D" w:rsidRDefault="00000000">
          <w:pPr>
            <w:pStyle w:val="TOC2"/>
            <w:tabs>
              <w:tab w:val="right" w:leader="dot" w:pos="10790"/>
            </w:tabs>
            <w:rPr>
              <w:noProof/>
            </w:rPr>
          </w:pPr>
          <w:hyperlink w:anchor="_Toc176864458" w:history="1">
            <w:r w:rsidR="00EB6B5D" w:rsidRPr="00633202">
              <w:rPr>
                <w:rStyle w:val="Hyperlink"/>
                <w:noProof/>
              </w:rPr>
              <w:t>E25 Caractéristique élaborée par l'humain</w:t>
            </w:r>
            <w:r w:rsidR="00EB6B5D">
              <w:rPr>
                <w:noProof/>
                <w:webHidden/>
              </w:rPr>
              <w:tab/>
            </w:r>
            <w:r w:rsidR="00EB6B5D">
              <w:rPr>
                <w:noProof/>
                <w:webHidden/>
              </w:rPr>
              <w:fldChar w:fldCharType="begin"/>
            </w:r>
            <w:r w:rsidR="00EB6B5D">
              <w:rPr>
                <w:noProof/>
                <w:webHidden/>
              </w:rPr>
              <w:instrText xml:space="preserve"> PAGEREF _Toc176864458 \h </w:instrText>
            </w:r>
            <w:r w:rsidR="00EB6B5D">
              <w:rPr>
                <w:noProof/>
                <w:webHidden/>
              </w:rPr>
            </w:r>
            <w:r w:rsidR="00EB6B5D">
              <w:rPr>
                <w:noProof/>
                <w:webHidden/>
              </w:rPr>
              <w:fldChar w:fldCharType="separate"/>
            </w:r>
            <w:r w:rsidR="00010123">
              <w:rPr>
                <w:noProof/>
                <w:webHidden/>
              </w:rPr>
              <w:t>117</w:t>
            </w:r>
            <w:r w:rsidR="00EB6B5D">
              <w:rPr>
                <w:noProof/>
                <w:webHidden/>
              </w:rPr>
              <w:fldChar w:fldCharType="end"/>
            </w:r>
          </w:hyperlink>
        </w:p>
        <w:p w14:paraId="3B968F24" w14:textId="2FDFEAB0" w:rsidR="00EB6B5D" w:rsidRDefault="00000000">
          <w:pPr>
            <w:pStyle w:val="TOC2"/>
            <w:tabs>
              <w:tab w:val="right" w:leader="dot" w:pos="10790"/>
            </w:tabs>
            <w:rPr>
              <w:noProof/>
            </w:rPr>
          </w:pPr>
          <w:hyperlink w:anchor="_Toc176864459" w:history="1">
            <w:r w:rsidR="00EB6B5D" w:rsidRPr="00633202">
              <w:rPr>
                <w:rStyle w:val="Hyperlink"/>
                <w:noProof/>
              </w:rPr>
              <w:t>E26 Caractéristique physique</w:t>
            </w:r>
            <w:r w:rsidR="00EB6B5D">
              <w:rPr>
                <w:noProof/>
                <w:webHidden/>
              </w:rPr>
              <w:tab/>
            </w:r>
            <w:r w:rsidR="00EB6B5D">
              <w:rPr>
                <w:noProof/>
                <w:webHidden/>
              </w:rPr>
              <w:fldChar w:fldCharType="begin"/>
            </w:r>
            <w:r w:rsidR="00EB6B5D">
              <w:rPr>
                <w:noProof/>
                <w:webHidden/>
              </w:rPr>
              <w:instrText xml:space="preserve"> PAGEREF _Toc176864459 \h </w:instrText>
            </w:r>
            <w:r w:rsidR="00EB6B5D">
              <w:rPr>
                <w:noProof/>
                <w:webHidden/>
              </w:rPr>
            </w:r>
            <w:r w:rsidR="00EB6B5D">
              <w:rPr>
                <w:noProof/>
                <w:webHidden/>
              </w:rPr>
              <w:fldChar w:fldCharType="separate"/>
            </w:r>
            <w:r w:rsidR="00010123">
              <w:rPr>
                <w:noProof/>
                <w:webHidden/>
              </w:rPr>
              <w:t>117</w:t>
            </w:r>
            <w:r w:rsidR="00EB6B5D">
              <w:rPr>
                <w:noProof/>
                <w:webHidden/>
              </w:rPr>
              <w:fldChar w:fldCharType="end"/>
            </w:r>
          </w:hyperlink>
        </w:p>
        <w:p w14:paraId="19FE3657" w14:textId="4449574E" w:rsidR="00EB6B5D" w:rsidRDefault="00000000">
          <w:pPr>
            <w:pStyle w:val="TOC2"/>
            <w:tabs>
              <w:tab w:val="right" w:leader="dot" w:pos="10790"/>
            </w:tabs>
            <w:rPr>
              <w:noProof/>
            </w:rPr>
          </w:pPr>
          <w:hyperlink w:anchor="_Toc176864460" w:history="1">
            <w:r w:rsidR="00EB6B5D" w:rsidRPr="00633202">
              <w:rPr>
                <w:rStyle w:val="Hyperlink"/>
                <w:noProof/>
              </w:rPr>
              <w:t>E27 Site</w:t>
            </w:r>
            <w:r w:rsidR="00EB6B5D">
              <w:rPr>
                <w:noProof/>
                <w:webHidden/>
              </w:rPr>
              <w:tab/>
            </w:r>
            <w:r w:rsidR="00EB6B5D">
              <w:rPr>
                <w:noProof/>
                <w:webHidden/>
              </w:rPr>
              <w:fldChar w:fldCharType="begin"/>
            </w:r>
            <w:r w:rsidR="00EB6B5D">
              <w:rPr>
                <w:noProof/>
                <w:webHidden/>
              </w:rPr>
              <w:instrText xml:space="preserve"> PAGEREF _Toc176864460 \h </w:instrText>
            </w:r>
            <w:r w:rsidR="00EB6B5D">
              <w:rPr>
                <w:noProof/>
                <w:webHidden/>
              </w:rPr>
            </w:r>
            <w:r w:rsidR="00EB6B5D">
              <w:rPr>
                <w:noProof/>
                <w:webHidden/>
              </w:rPr>
              <w:fldChar w:fldCharType="separate"/>
            </w:r>
            <w:r w:rsidR="00010123">
              <w:rPr>
                <w:noProof/>
                <w:webHidden/>
              </w:rPr>
              <w:t>119</w:t>
            </w:r>
            <w:r w:rsidR="00EB6B5D">
              <w:rPr>
                <w:noProof/>
                <w:webHidden/>
              </w:rPr>
              <w:fldChar w:fldCharType="end"/>
            </w:r>
          </w:hyperlink>
        </w:p>
        <w:p w14:paraId="48776E6A" w14:textId="4449D582" w:rsidR="00EB6B5D" w:rsidRDefault="00000000">
          <w:pPr>
            <w:pStyle w:val="TOC2"/>
            <w:tabs>
              <w:tab w:val="right" w:leader="dot" w:pos="10790"/>
            </w:tabs>
            <w:rPr>
              <w:noProof/>
            </w:rPr>
          </w:pPr>
          <w:hyperlink w:anchor="_Toc176864461" w:history="1">
            <w:r w:rsidR="00EB6B5D" w:rsidRPr="00633202">
              <w:rPr>
                <w:rStyle w:val="Hyperlink"/>
                <w:noProof/>
              </w:rPr>
              <w:t>E28 Objet conceptuel</w:t>
            </w:r>
            <w:r w:rsidR="00EB6B5D">
              <w:rPr>
                <w:noProof/>
                <w:webHidden/>
              </w:rPr>
              <w:tab/>
            </w:r>
            <w:r w:rsidR="00EB6B5D">
              <w:rPr>
                <w:noProof/>
                <w:webHidden/>
              </w:rPr>
              <w:fldChar w:fldCharType="begin"/>
            </w:r>
            <w:r w:rsidR="00EB6B5D">
              <w:rPr>
                <w:noProof/>
                <w:webHidden/>
              </w:rPr>
              <w:instrText xml:space="preserve"> PAGEREF _Toc176864461 \h </w:instrText>
            </w:r>
            <w:r w:rsidR="00EB6B5D">
              <w:rPr>
                <w:noProof/>
                <w:webHidden/>
              </w:rPr>
            </w:r>
            <w:r w:rsidR="00EB6B5D">
              <w:rPr>
                <w:noProof/>
                <w:webHidden/>
              </w:rPr>
              <w:fldChar w:fldCharType="separate"/>
            </w:r>
            <w:r w:rsidR="00010123">
              <w:rPr>
                <w:noProof/>
                <w:webHidden/>
              </w:rPr>
              <w:t>119</w:t>
            </w:r>
            <w:r w:rsidR="00EB6B5D">
              <w:rPr>
                <w:noProof/>
                <w:webHidden/>
              </w:rPr>
              <w:fldChar w:fldCharType="end"/>
            </w:r>
          </w:hyperlink>
        </w:p>
        <w:p w14:paraId="28D3A4F0" w14:textId="501AFF86" w:rsidR="00EB6B5D" w:rsidRDefault="00000000">
          <w:pPr>
            <w:pStyle w:val="TOC2"/>
            <w:tabs>
              <w:tab w:val="right" w:leader="dot" w:pos="10790"/>
            </w:tabs>
            <w:rPr>
              <w:noProof/>
            </w:rPr>
          </w:pPr>
          <w:hyperlink w:anchor="_Toc176864462" w:history="1">
            <w:r w:rsidR="00EB6B5D" w:rsidRPr="00633202">
              <w:rPr>
                <w:rStyle w:val="Hyperlink"/>
                <w:noProof/>
              </w:rPr>
              <w:t>E29 Conceptualisation ou procédure</w:t>
            </w:r>
            <w:r w:rsidR="00EB6B5D">
              <w:rPr>
                <w:noProof/>
                <w:webHidden/>
              </w:rPr>
              <w:tab/>
            </w:r>
            <w:r w:rsidR="00EB6B5D">
              <w:rPr>
                <w:noProof/>
                <w:webHidden/>
              </w:rPr>
              <w:fldChar w:fldCharType="begin"/>
            </w:r>
            <w:r w:rsidR="00EB6B5D">
              <w:rPr>
                <w:noProof/>
                <w:webHidden/>
              </w:rPr>
              <w:instrText xml:space="preserve"> PAGEREF _Toc176864462 \h </w:instrText>
            </w:r>
            <w:r w:rsidR="00EB6B5D">
              <w:rPr>
                <w:noProof/>
                <w:webHidden/>
              </w:rPr>
            </w:r>
            <w:r w:rsidR="00EB6B5D">
              <w:rPr>
                <w:noProof/>
                <w:webHidden/>
              </w:rPr>
              <w:fldChar w:fldCharType="separate"/>
            </w:r>
            <w:r w:rsidR="00010123">
              <w:rPr>
                <w:noProof/>
                <w:webHidden/>
              </w:rPr>
              <w:t>121</w:t>
            </w:r>
            <w:r w:rsidR="00EB6B5D">
              <w:rPr>
                <w:noProof/>
                <w:webHidden/>
              </w:rPr>
              <w:fldChar w:fldCharType="end"/>
            </w:r>
          </w:hyperlink>
        </w:p>
        <w:p w14:paraId="5A6B4927" w14:textId="7089AE56" w:rsidR="00EB6B5D" w:rsidRDefault="00000000">
          <w:pPr>
            <w:pStyle w:val="TOC2"/>
            <w:tabs>
              <w:tab w:val="right" w:leader="dot" w:pos="10790"/>
            </w:tabs>
            <w:rPr>
              <w:noProof/>
            </w:rPr>
          </w:pPr>
          <w:hyperlink w:anchor="_Toc176864463" w:history="1">
            <w:r w:rsidR="00EB6B5D" w:rsidRPr="00633202">
              <w:rPr>
                <w:rStyle w:val="Hyperlink"/>
                <w:noProof/>
              </w:rPr>
              <w:t>E30 Droit</w:t>
            </w:r>
            <w:r w:rsidR="00EB6B5D">
              <w:rPr>
                <w:noProof/>
                <w:webHidden/>
              </w:rPr>
              <w:tab/>
            </w:r>
            <w:r w:rsidR="00EB6B5D">
              <w:rPr>
                <w:noProof/>
                <w:webHidden/>
              </w:rPr>
              <w:fldChar w:fldCharType="begin"/>
            </w:r>
            <w:r w:rsidR="00EB6B5D">
              <w:rPr>
                <w:noProof/>
                <w:webHidden/>
              </w:rPr>
              <w:instrText xml:space="preserve"> PAGEREF _Toc176864463 \h </w:instrText>
            </w:r>
            <w:r w:rsidR="00EB6B5D">
              <w:rPr>
                <w:noProof/>
                <w:webHidden/>
              </w:rPr>
            </w:r>
            <w:r w:rsidR="00EB6B5D">
              <w:rPr>
                <w:noProof/>
                <w:webHidden/>
              </w:rPr>
              <w:fldChar w:fldCharType="separate"/>
            </w:r>
            <w:r w:rsidR="00010123">
              <w:rPr>
                <w:noProof/>
                <w:webHidden/>
              </w:rPr>
              <w:t>122</w:t>
            </w:r>
            <w:r w:rsidR="00EB6B5D">
              <w:rPr>
                <w:noProof/>
                <w:webHidden/>
              </w:rPr>
              <w:fldChar w:fldCharType="end"/>
            </w:r>
          </w:hyperlink>
        </w:p>
        <w:p w14:paraId="60E23F53" w14:textId="1C123B68" w:rsidR="00EB6B5D" w:rsidRDefault="00000000">
          <w:pPr>
            <w:pStyle w:val="TOC2"/>
            <w:tabs>
              <w:tab w:val="right" w:leader="dot" w:pos="10790"/>
            </w:tabs>
            <w:rPr>
              <w:noProof/>
            </w:rPr>
          </w:pPr>
          <w:hyperlink w:anchor="_Toc176864464" w:history="1">
            <w:r w:rsidR="00EB6B5D" w:rsidRPr="00633202">
              <w:rPr>
                <w:rStyle w:val="Hyperlink"/>
                <w:noProof/>
              </w:rPr>
              <w:t>E31 Document</w:t>
            </w:r>
            <w:r w:rsidR="00EB6B5D">
              <w:rPr>
                <w:noProof/>
                <w:webHidden/>
              </w:rPr>
              <w:tab/>
            </w:r>
            <w:r w:rsidR="00EB6B5D">
              <w:rPr>
                <w:noProof/>
                <w:webHidden/>
              </w:rPr>
              <w:fldChar w:fldCharType="begin"/>
            </w:r>
            <w:r w:rsidR="00EB6B5D">
              <w:rPr>
                <w:noProof/>
                <w:webHidden/>
              </w:rPr>
              <w:instrText xml:space="preserve"> PAGEREF _Toc176864464 \h </w:instrText>
            </w:r>
            <w:r w:rsidR="00EB6B5D">
              <w:rPr>
                <w:noProof/>
                <w:webHidden/>
              </w:rPr>
            </w:r>
            <w:r w:rsidR="00EB6B5D">
              <w:rPr>
                <w:noProof/>
                <w:webHidden/>
              </w:rPr>
              <w:fldChar w:fldCharType="separate"/>
            </w:r>
            <w:r w:rsidR="00010123">
              <w:rPr>
                <w:noProof/>
                <w:webHidden/>
              </w:rPr>
              <w:t>122</w:t>
            </w:r>
            <w:r w:rsidR="00EB6B5D">
              <w:rPr>
                <w:noProof/>
                <w:webHidden/>
              </w:rPr>
              <w:fldChar w:fldCharType="end"/>
            </w:r>
          </w:hyperlink>
        </w:p>
        <w:p w14:paraId="62A42B0B" w14:textId="2D76FD9D" w:rsidR="00EB6B5D" w:rsidRDefault="00000000">
          <w:pPr>
            <w:pStyle w:val="TOC2"/>
            <w:tabs>
              <w:tab w:val="right" w:leader="dot" w:pos="10790"/>
            </w:tabs>
            <w:rPr>
              <w:noProof/>
            </w:rPr>
          </w:pPr>
          <w:hyperlink w:anchor="_Toc176864465" w:history="1">
            <w:r w:rsidR="00EB6B5D" w:rsidRPr="00633202">
              <w:rPr>
                <w:rStyle w:val="Hyperlink"/>
                <w:noProof/>
              </w:rPr>
              <w:t>E32 Document de référence</w:t>
            </w:r>
            <w:r w:rsidR="00EB6B5D">
              <w:rPr>
                <w:noProof/>
                <w:webHidden/>
              </w:rPr>
              <w:tab/>
            </w:r>
            <w:r w:rsidR="00EB6B5D">
              <w:rPr>
                <w:noProof/>
                <w:webHidden/>
              </w:rPr>
              <w:fldChar w:fldCharType="begin"/>
            </w:r>
            <w:r w:rsidR="00EB6B5D">
              <w:rPr>
                <w:noProof/>
                <w:webHidden/>
              </w:rPr>
              <w:instrText xml:space="preserve"> PAGEREF _Toc176864465 \h </w:instrText>
            </w:r>
            <w:r w:rsidR="00EB6B5D">
              <w:rPr>
                <w:noProof/>
                <w:webHidden/>
              </w:rPr>
            </w:r>
            <w:r w:rsidR="00EB6B5D">
              <w:rPr>
                <w:noProof/>
                <w:webHidden/>
              </w:rPr>
              <w:fldChar w:fldCharType="separate"/>
            </w:r>
            <w:r w:rsidR="00010123">
              <w:rPr>
                <w:noProof/>
                <w:webHidden/>
              </w:rPr>
              <w:t>123</w:t>
            </w:r>
            <w:r w:rsidR="00EB6B5D">
              <w:rPr>
                <w:noProof/>
                <w:webHidden/>
              </w:rPr>
              <w:fldChar w:fldCharType="end"/>
            </w:r>
          </w:hyperlink>
        </w:p>
        <w:p w14:paraId="4F14214F" w14:textId="29F25509" w:rsidR="00EB6B5D" w:rsidRDefault="00000000">
          <w:pPr>
            <w:pStyle w:val="TOC2"/>
            <w:tabs>
              <w:tab w:val="right" w:leader="dot" w:pos="10790"/>
            </w:tabs>
            <w:rPr>
              <w:noProof/>
            </w:rPr>
          </w:pPr>
          <w:hyperlink w:anchor="_Toc176864466" w:history="1">
            <w:r w:rsidR="00EB6B5D" w:rsidRPr="00633202">
              <w:rPr>
                <w:rStyle w:val="Hyperlink"/>
                <w:noProof/>
              </w:rPr>
              <w:t>E33 Objet linguistique</w:t>
            </w:r>
            <w:r w:rsidR="00EB6B5D">
              <w:rPr>
                <w:noProof/>
                <w:webHidden/>
              </w:rPr>
              <w:tab/>
            </w:r>
            <w:r w:rsidR="00EB6B5D">
              <w:rPr>
                <w:noProof/>
                <w:webHidden/>
              </w:rPr>
              <w:fldChar w:fldCharType="begin"/>
            </w:r>
            <w:r w:rsidR="00EB6B5D">
              <w:rPr>
                <w:noProof/>
                <w:webHidden/>
              </w:rPr>
              <w:instrText xml:space="preserve"> PAGEREF _Toc176864466 \h </w:instrText>
            </w:r>
            <w:r w:rsidR="00EB6B5D">
              <w:rPr>
                <w:noProof/>
                <w:webHidden/>
              </w:rPr>
            </w:r>
            <w:r w:rsidR="00EB6B5D">
              <w:rPr>
                <w:noProof/>
                <w:webHidden/>
              </w:rPr>
              <w:fldChar w:fldCharType="separate"/>
            </w:r>
            <w:r w:rsidR="00010123">
              <w:rPr>
                <w:noProof/>
                <w:webHidden/>
              </w:rPr>
              <w:t>124</w:t>
            </w:r>
            <w:r w:rsidR="00EB6B5D">
              <w:rPr>
                <w:noProof/>
                <w:webHidden/>
              </w:rPr>
              <w:fldChar w:fldCharType="end"/>
            </w:r>
          </w:hyperlink>
        </w:p>
        <w:p w14:paraId="524EA525" w14:textId="4DE566F0" w:rsidR="00EB6B5D" w:rsidRDefault="00000000">
          <w:pPr>
            <w:pStyle w:val="TOC2"/>
            <w:tabs>
              <w:tab w:val="right" w:leader="dot" w:pos="10790"/>
            </w:tabs>
            <w:rPr>
              <w:noProof/>
            </w:rPr>
          </w:pPr>
          <w:hyperlink w:anchor="_Toc176864467" w:history="1">
            <w:r w:rsidR="00EB6B5D" w:rsidRPr="00633202">
              <w:rPr>
                <w:rStyle w:val="Hyperlink"/>
                <w:noProof/>
              </w:rPr>
              <w:t>E34 Inscription</w:t>
            </w:r>
            <w:r w:rsidR="00EB6B5D">
              <w:rPr>
                <w:noProof/>
                <w:webHidden/>
              </w:rPr>
              <w:tab/>
            </w:r>
            <w:r w:rsidR="00EB6B5D">
              <w:rPr>
                <w:noProof/>
                <w:webHidden/>
              </w:rPr>
              <w:fldChar w:fldCharType="begin"/>
            </w:r>
            <w:r w:rsidR="00EB6B5D">
              <w:rPr>
                <w:noProof/>
                <w:webHidden/>
              </w:rPr>
              <w:instrText xml:space="preserve"> PAGEREF _Toc176864467 \h </w:instrText>
            </w:r>
            <w:r w:rsidR="00EB6B5D">
              <w:rPr>
                <w:noProof/>
                <w:webHidden/>
              </w:rPr>
            </w:r>
            <w:r w:rsidR="00EB6B5D">
              <w:rPr>
                <w:noProof/>
                <w:webHidden/>
              </w:rPr>
              <w:fldChar w:fldCharType="separate"/>
            </w:r>
            <w:r w:rsidR="00010123">
              <w:rPr>
                <w:noProof/>
                <w:webHidden/>
              </w:rPr>
              <w:t>125</w:t>
            </w:r>
            <w:r w:rsidR="00EB6B5D">
              <w:rPr>
                <w:noProof/>
                <w:webHidden/>
              </w:rPr>
              <w:fldChar w:fldCharType="end"/>
            </w:r>
          </w:hyperlink>
        </w:p>
        <w:p w14:paraId="2E22674A" w14:textId="5B96B191" w:rsidR="00EB6B5D" w:rsidRDefault="00000000">
          <w:pPr>
            <w:pStyle w:val="TOC2"/>
            <w:tabs>
              <w:tab w:val="right" w:leader="dot" w:pos="10790"/>
            </w:tabs>
            <w:rPr>
              <w:noProof/>
            </w:rPr>
          </w:pPr>
          <w:hyperlink w:anchor="_Toc176864468" w:history="1">
            <w:r w:rsidR="00EB6B5D" w:rsidRPr="00633202">
              <w:rPr>
                <w:rStyle w:val="Hyperlink"/>
                <w:noProof/>
              </w:rPr>
              <w:t>E35 Titre</w:t>
            </w:r>
            <w:r w:rsidR="00EB6B5D">
              <w:rPr>
                <w:noProof/>
                <w:webHidden/>
              </w:rPr>
              <w:tab/>
            </w:r>
            <w:r w:rsidR="00EB6B5D">
              <w:rPr>
                <w:noProof/>
                <w:webHidden/>
              </w:rPr>
              <w:fldChar w:fldCharType="begin"/>
            </w:r>
            <w:r w:rsidR="00EB6B5D">
              <w:rPr>
                <w:noProof/>
                <w:webHidden/>
              </w:rPr>
              <w:instrText xml:space="preserve"> PAGEREF _Toc176864468 \h </w:instrText>
            </w:r>
            <w:r w:rsidR="00EB6B5D">
              <w:rPr>
                <w:noProof/>
                <w:webHidden/>
              </w:rPr>
            </w:r>
            <w:r w:rsidR="00EB6B5D">
              <w:rPr>
                <w:noProof/>
                <w:webHidden/>
              </w:rPr>
              <w:fldChar w:fldCharType="separate"/>
            </w:r>
            <w:r w:rsidR="00010123">
              <w:rPr>
                <w:noProof/>
                <w:webHidden/>
              </w:rPr>
              <w:t>126</w:t>
            </w:r>
            <w:r w:rsidR="00EB6B5D">
              <w:rPr>
                <w:noProof/>
                <w:webHidden/>
              </w:rPr>
              <w:fldChar w:fldCharType="end"/>
            </w:r>
          </w:hyperlink>
        </w:p>
        <w:p w14:paraId="78E15C78" w14:textId="519AD724" w:rsidR="00EB6B5D" w:rsidRDefault="00000000">
          <w:pPr>
            <w:pStyle w:val="TOC2"/>
            <w:tabs>
              <w:tab w:val="right" w:leader="dot" w:pos="10790"/>
            </w:tabs>
            <w:rPr>
              <w:noProof/>
            </w:rPr>
          </w:pPr>
          <w:hyperlink w:anchor="_Toc176864469" w:history="1">
            <w:r w:rsidR="00EB6B5D" w:rsidRPr="00633202">
              <w:rPr>
                <w:rStyle w:val="Hyperlink"/>
                <w:noProof/>
              </w:rPr>
              <w:t>E36 Entité visuelle</w:t>
            </w:r>
            <w:r w:rsidR="00EB6B5D">
              <w:rPr>
                <w:noProof/>
                <w:webHidden/>
              </w:rPr>
              <w:tab/>
            </w:r>
            <w:r w:rsidR="00EB6B5D">
              <w:rPr>
                <w:noProof/>
                <w:webHidden/>
              </w:rPr>
              <w:fldChar w:fldCharType="begin"/>
            </w:r>
            <w:r w:rsidR="00EB6B5D">
              <w:rPr>
                <w:noProof/>
                <w:webHidden/>
              </w:rPr>
              <w:instrText xml:space="preserve"> PAGEREF _Toc176864469 \h </w:instrText>
            </w:r>
            <w:r w:rsidR="00EB6B5D">
              <w:rPr>
                <w:noProof/>
                <w:webHidden/>
              </w:rPr>
            </w:r>
            <w:r w:rsidR="00EB6B5D">
              <w:rPr>
                <w:noProof/>
                <w:webHidden/>
              </w:rPr>
              <w:fldChar w:fldCharType="separate"/>
            </w:r>
            <w:r w:rsidR="00010123">
              <w:rPr>
                <w:noProof/>
                <w:webHidden/>
              </w:rPr>
              <w:t>127</w:t>
            </w:r>
            <w:r w:rsidR="00EB6B5D">
              <w:rPr>
                <w:noProof/>
                <w:webHidden/>
              </w:rPr>
              <w:fldChar w:fldCharType="end"/>
            </w:r>
          </w:hyperlink>
        </w:p>
        <w:p w14:paraId="78A55895" w14:textId="74B9825D" w:rsidR="00EB6B5D" w:rsidRDefault="00000000">
          <w:pPr>
            <w:pStyle w:val="TOC2"/>
            <w:tabs>
              <w:tab w:val="right" w:leader="dot" w:pos="10790"/>
            </w:tabs>
            <w:rPr>
              <w:noProof/>
            </w:rPr>
          </w:pPr>
          <w:hyperlink w:anchor="_Toc176864470" w:history="1">
            <w:r w:rsidR="00EB6B5D" w:rsidRPr="00633202">
              <w:rPr>
                <w:rStyle w:val="Hyperlink"/>
                <w:noProof/>
              </w:rPr>
              <w:t>E37 Marque</w:t>
            </w:r>
            <w:r w:rsidR="00EB6B5D">
              <w:rPr>
                <w:noProof/>
                <w:webHidden/>
              </w:rPr>
              <w:tab/>
            </w:r>
            <w:r w:rsidR="00EB6B5D">
              <w:rPr>
                <w:noProof/>
                <w:webHidden/>
              </w:rPr>
              <w:fldChar w:fldCharType="begin"/>
            </w:r>
            <w:r w:rsidR="00EB6B5D">
              <w:rPr>
                <w:noProof/>
                <w:webHidden/>
              </w:rPr>
              <w:instrText xml:space="preserve"> PAGEREF _Toc176864470 \h </w:instrText>
            </w:r>
            <w:r w:rsidR="00EB6B5D">
              <w:rPr>
                <w:noProof/>
                <w:webHidden/>
              </w:rPr>
            </w:r>
            <w:r w:rsidR="00EB6B5D">
              <w:rPr>
                <w:noProof/>
                <w:webHidden/>
              </w:rPr>
              <w:fldChar w:fldCharType="separate"/>
            </w:r>
            <w:r w:rsidR="00010123">
              <w:rPr>
                <w:noProof/>
                <w:webHidden/>
              </w:rPr>
              <w:t>128</w:t>
            </w:r>
            <w:r w:rsidR="00EB6B5D">
              <w:rPr>
                <w:noProof/>
                <w:webHidden/>
              </w:rPr>
              <w:fldChar w:fldCharType="end"/>
            </w:r>
          </w:hyperlink>
        </w:p>
        <w:p w14:paraId="7A444908" w14:textId="0C16A0A9" w:rsidR="00EB6B5D" w:rsidRDefault="00000000">
          <w:pPr>
            <w:pStyle w:val="TOC2"/>
            <w:tabs>
              <w:tab w:val="right" w:leader="dot" w:pos="10790"/>
            </w:tabs>
            <w:rPr>
              <w:noProof/>
            </w:rPr>
          </w:pPr>
          <w:hyperlink w:anchor="_Toc176864471" w:history="1">
            <w:r w:rsidR="00EB6B5D" w:rsidRPr="00633202">
              <w:rPr>
                <w:rStyle w:val="Hyperlink"/>
                <w:noProof/>
              </w:rPr>
              <w:t>E39 Actant</w:t>
            </w:r>
            <w:r w:rsidR="00EB6B5D">
              <w:rPr>
                <w:noProof/>
                <w:webHidden/>
              </w:rPr>
              <w:tab/>
            </w:r>
            <w:r w:rsidR="00EB6B5D">
              <w:rPr>
                <w:noProof/>
                <w:webHidden/>
              </w:rPr>
              <w:fldChar w:fldCharType="begin"/>
            </w:r>
            <w:r w:rsidR="00EB6B5D">
              <w:rPr>
                <w:noProof/>
                <w:webHidden/>
              </w:rPr>
              <w:instrText xml:space="preserve"> PAGEREF _Toc176864471 \h </w:instrText>
            </w:r>
            <w:r w:rsidR="00EB6B5D">
              <w:rPr>
                <w:noProof/>
                <w:webHidden/>
              </w:rPr>
            </w:r>
            <w:r w:rsidR="00EB6B5D">
              <w:rPr>
                <w:noProof/>
                <w:webHidden/>
              </w:rPr>
              <w:fldChar w:fldCharType="separate"/>
            </w:r>
            <w:r w:rsidR="00010123">
              <w:rPr>
                <w:noProof/>
                <w:webHidden/>
              </w:rPr>
              <w:t>129</w:t>
            </w:r>
            <w:r w:rsidR="00EB6B5D">
              <w:rPr>
                <w:noProof/>
                <w:webHidden/>
              </w:rPr>
              <w:fldChar w:fldCharType="end"/>
            </w:r>
          </w:hyperlink>
        </w:p>
        <w:p w14:paraId="28B2B051" w14:textId="2FC01F6F" w:rsidR="00EB6B5D" w:rsidRDefault="00000000">
          <w:pPr>
            <w:pStyle w:val="TOC2"/>
            <w:tabs>
              <w:tab w:val="right" w:leader="dot" w:pos="10790"/>
            </w:tabs>
            <w:rPr>
              <w:noProof/>
            </w:rPr>
          </w:pPr>
          <w:hyperlink w:anchor="_Toc176864472" w:history="1">
            <w:r w:rsidR="00EB6B5D" w:rsidRPr="00633202">
              <w:rPr>
                <w:rStyle w:val="Hyperlink"/>
                <w:noProof/>
              </w:rPr>
              <w:t>E41 Appellation</w:t>
            </w:r>
            <w:r w:rsidR="00EB6B5D">
              <w:rPr>
                <w:noProof/>
                <w:webHidden/>
              </w:rPr>
              <w:tab/>
            </w:r>
            <w:r w:rsidR="00EB6B5D">
              <w:rPr>
                <w:noProof/>
                <w:webHidden/>
              </w:rPr>
              <w:fldChar w:fldCharType="begin"/>
            </w:r>
            <w:r w:rsidR="00EB6B5D">
              <w:rPr>
                <w:noProof/>
                <w:webHidden/>
              </w:rPr>
              <w:instrText xml:space="preserve"> PAGEREF _Toc176864472 \h </w:instrText>
            </w:r>
            <w:r w:rsidR="00EB6B5D">
              <w:rPr>
                <w:noProof/>
                <w:webHidden/>
              </w:rPr>
            </w:r>
            <w:r w:rsidR="00EB6B5D">
              <w:rPr>
                <w:noProof/>
                <w:webHidden/>
              </w:rPr>
              <w:fldChar w:fldCharType="separate"/>
            </w:r>
            <w:r w:rsidR="00010123">
              <w:rPr>
                <w:noProof/>
                <w:webHidden/>
              </w:rPr>
              <w:t>129</w:t>
            </w:r>
            <w:r w:rsidR="00EB6B5D">
              <w:rPr>
                <w:noProof/>
                <w:webHidden/>
              </w:rPr>
              <w:fldChar w:fldCharType="end"/>
            </w:r>
          </w:hyperlink>
        </w:p>
        <w:p w14:paraId="6A22E95E" w14:textId="48DE7799" w:rsidR="00EB6B5D" w:rsidRDefault="00000000">
          <w:pPr>
            <w:pStyle w:val="TOC2"/>
            <w:tabs>
              <w:tab w:val="right" w:leader="dot" w:pos="10790"/>
            </w:tabs>
            <w:rPr>
              <w:noProof/>
            </w:rPr>
          </w:pPr>
          <w:hyperlink w:anchor="_Toc176864473" w:history="1">
            <w:r w:rsidR="00EB6B5D" w:rsidRPr="00633202">
              <w:rPr>
                <w:rStyle w:val="Hyperlink"/>
                <w:noProof/>
              </w:rPr>
              <w:t>E42 Identifiant</w:t>
            </w:r>
            <w:r w:rsidR="00EB6B5D">
              <w:rPr>
                <w:noProof/>
                <w:webHidden/>
              </w:rPr>
              <w:tab/>
            </w:r>
            <w:r w:rsidR="00EB6B5D">
              <w:rPr>
                <w:noProof/>
                <w:webHidden/>
              </w:rPr>
              <w:fldChar w:fldCharType="begin"/>
            </w:r>
            <w:r w:rsidR="00EB6B5D">
              <w:rPr>
                <w:noProof/>
                <w:webHidden/>
              </w:rPr>
              <w:instrText xml:space="preserve"> PAGEREF _Toc176864473 \h </w:instrText>
            </w:r>
            <w:r w:rsidR="00EB6B5D">
              <w:rPr>
                <w:noProof/>
                <w:webHidden/>
              </w:rPr>
            </w:r>
            <w:r w:rsidR="00EB6B5D">
              <w:rPr>
                <w:noProof/>
                <w:webHidden/>
              </w:rPr>
              <w:fldChar w:fldCharType="separate"/>
            </w:r>
            <w:r w:rsidR="00010123">
              <w:rPr>
                <w:noProof/>
                <w:webHidden/>
              </w:rPr>
              <w:t>131</w:t>
            </w:r>
            <w:r w:rsidR="00EB6B5D">
              <w:rPr>
                <w:noProof/>
                <w:webHidden/>
              </w:rPr>
              <w:fldChar w:fldCharType="end"/>
            </w:r>
          </w:hyperlink>
        </w:p>
        <w:p w14:paraId="585FA219" w14:textId="02275230" w:rsidR="00EB6B5D" w:rsidRDefault="00000000">
          <w:pPr>
            <w:pStyle w:val="TOC2"/>
            <w:tabs>
              <w:tab w:val="right" w:leader="dot" w:pos="10790"/>
            </w:tabs>
            <w:rPr>
              <w:noProof/>
            </w:rPr>
          </w:pPr>
          <w:hyperlink w:anchor="_Toc176864474" w:history="1">
            <w:r w:rsidR="00EB6B5D" w:rsidRPr="00633202">
              <w:rPr>
                <w:rStyle w:val="Hyperlink"/>
                <w:noProof/>
              </w:rPr>
              <w:t>E52 Intervalle temporel</w:t>
            </w:r>
            <w:r w:rsidR="00EB6B5D">
              <w:rPr>
                <w:noProof/>
                <w:webHidden/>
              </w:rPr>
              <w:tab/>
            </w:r>
            <w:r w:rsidR="00EB6B5D">
              <w:rPr>
                <w:noProof/>
                <w:webHidden/>
              </w:rPr>
              <w:fldChar w:fldCharType="begin"/>
            </w:r>
            <w:r w:rsidR="00EB6B5D">
              <w:rPr>
                <w:noProof/>
                <w:webHidden/>
              </w:rPr>
              <w:instrText xml:space="preserve"> PAGEREF _Toc176864474 \h </w:instrText>
            </w:r>
            <w:r w:rsidR="00EB6B5D">
              <w:rPr>
                <w:noProof/>
                <w:webHidden/>
              </w:rPr>
            </w:r>
            <w:r w:rsidR="00EB6B5D">
              <w:rPr>
                <w:noProof/>
                <w:webHidden/>
              </w:rPr>
              <w:fldChar w:fldCharType="separate"/>
            </w:r>
            <w:r w:rsidR="00010123">
              <w:rPr>
                <w:noProof/>
                <w:webHidden/>
              </w:rPr>
              <w:t>132</w:t>
            </w:r>
            <w:r w:rsidR="00EB6B5D">
              <w:rPr>
                <w:noProof/>
                <w:webHidden/>
              </w:rPr>
              <w:fldChar w:fldCharType="end"/>
            </w:r>
          </w:hyperlink>
        </w:p>
        <w:p w14:paraId="67DA88F3" w14:textId="4D884337" w:rsidR="00EB6B5D" w:rsidRDefault="00000000">
          <w:pPr>
            <w:pStyle w:val="TOC2"/>
            <w:tabs>
              <w:tab w:val="right" w:leader="dot" w:pos="10790"/>
            </w:tabs>
            <w:rPr>
              <w:noProof/>
            </w:rPr>
          </w:pPr>
          <w:hyperlink w:anchor="_Toc176864475" w:history="1">
            <w:r w:rsidR="00EB6B5D" w:rsidRPr="00633202">
              <w:rPr>
                <w:rStyle w:val="Hyperlink"/>
                <w:noProof/>
              </w:rPr>
              <w:t>E53 Lieu</w:t>
            </w:r>
            <w:r w:rsidR="00EB6B5D">
              <w:rPr>
                <w:noProof/>
                <w:webHidden/>
              </w:rPr>
              <w:tab/>
            </w:r>
            <w:r w:rsidR="00EB6B5D">
              <w:rPr>
                <w:noProof/>
                <w:webHidden/>
              </w:rPr>
              <w:fldChar w:fldCharType="begin"/>
            </w:r>
            <w:r w:rsidR="00EB6B5D">
              <w:rPr>
                <w:noProof/>
                <w:webHidden/>
              </w:rPr>
              <w:instrText xml:space="preserve"> PAGEREF _Toc176864475 \h </w:instrText>
            </w:r>
            <w:r w:rsidR="00EB6B5D">
              <w:rPr>
                <w:noProof/>
                <w:webHidden/>
              </w:rPr>
            </w:r>
            <w:r w:rsidR="00EB6B5D">
              <w:rPr>
                <w:noProof/>
                <w:webHidden/>
              </w:rPr>
              <w:fldChar w:fldCharType="separate"/>
            </w:r>
            <w:r w:rsidR="00010123">
              <w:rPr>
                <w:noProof/>
                <w:webHidden/>
              </w:rPr>
              <w:t>134</w:t>
            </w:r>
            <w:r w:rsidR="00EB6B5D">
              <w:rPr>
                <w:noProof/>
                <w:webHidden/>
              </w:rPr>
              <w:fldChar w:fldCharType="end"/>
            </w:r>
          </w:hyperlink>
        </w:p>
        <w:p w14:paraId="45C4B362" w14:textId="084BF021" w:rsidR="00EB6B5D" w:rsidRDefault="00000000">
          <w:pPr>
            <w:pStyle w:val="TOC2"/>
            <w:tabs>
              <w:tab w:val="right" w:leader="dot" w:pos="10790"/>
            </w:tabs>
            <w:rPr>
              <w:noProof/>
            </w:rPr>
          </w:pPr>
          <w:hyperlink w:anchor="_Toc176864476" w:history="1">
            <w:r w:rsidR="00EB6B5D" w:rsidRPr="00633202">
              <w:rPr>
                <w:rStyle w:val="Hyperlink"/>
                <w:noProof/>
              </w:rPr>
              <w:t>E54 Dimension</w:t>
            </w:r>
            <w:r w:rsidR="00EB6B5D">
              <w:rPr>
                <w:noProof/>
                <w:webHidden/>
              </w:rPr>
              <w:tab/>
            </w:r>
            <w:r w:rsidR="00EB6B5D">
              <w:rPr>
                <w:noProof/>
                <w:webHidden/>
              </w:rPr>
              <w:fldChar w:fldCharType="begin"/>
            </w:r>
            <w:r w:rsidR="00EB6B5D">
              <w:rPr>
                <w:noProof/>
                <w:webHidden/>
              </w:rPr>
              <w:instrText xml:space="preserve"> PAGEREF _Toc176864476 \h </w:instrText>
            </w:r>
            <w:r w:rsidR="00EB6B5D">
              <w:rPr>
                <w:noProof/>
                <w:webHidden/>
              </w:rPr>
            </w:r>
            <w:r w:rsidR="00EB6B5D">
              <w:rPr>
                <w:noProof/>
                <w:webHidden/>
              </w:rPr>
              <w:fldChar w:fldCharType="separate"/>
            </w:r>
            <w:r w:rsidR="00010123">
              <w:rPr>
                <w:noProof/>
                <w:webHidden/>
              </w:rPr>
              <w:t>135</w:t>
            </w:r>
            <w:r w:rsidR="00EB6B5D">
              <w:rPr>
                <w:noProof/>
                <w:webHidden/>
              </w:rPr>
              <w:fldChar w:fldCharType="end"/>
            </w:r>
          </w:hyperlink>
        </w:p>
        <w:p w14:paraId="2622A007" w14:textId="353C2C3A" w:rsidR="00EB6B5D" w:rsidRDefault="00000000">
          <w:pPr>
            <w:pStyle w:val="TOC2"/>
            <w:tabs>
              <w:tab w:val="right" w:leader="dot" w:pos="10790"/>
            </w:tabs>
            <w:rPr>
              <w:noProof/>
            </w:rPr>
          </w:pPr>
          <w:hyperlink w:anchor="_Toc176864477" w:history="1">
            <w:r w:rsidR="00EB6B5D" w:rsidRPr="00633202">
              <w:rPr>
                <w:rStyle w:val="Hyperlink"/>
                <w:noProof/>
              </w:rPr>
              <w:t>E55 Type</w:t>
            </w:r>
            <w:r w:rsidR="00EB6B5D">
              <w:rPr>
                <w:noProof/>
                <w:webHidden/>
              </w:rPr>
              <w:tab/>
            </w:r>
            <w:r w:rsidR="00EB6B5D">
              <w:rPr>
                <w:noProof/>
                <w:webHidden/>
              </w:rPr>
              <w:fldChar w:fldCharType="begin"/>
            </w:r>
            <w:r w:rsidR="00EB6B5D">
              <w:rPr>
                <w:noProof/>
                <w:webHidden/>
              </w:rPr>
              <w:instrText xml:space="preserve"> PAGEREF _Toc176864477 \h </w:instrText>
            </w:r>
            <w:r w:rsidR="00EB6B5D">
              <w:rPr>
                <w:noProof/>
                <w:webHidden/>
              </w:rPr>
            </w:r>
            <w:r w:rsidR="00EB6B5D">
              <w:rPr>
                <w:noProof/>
                <w:webHidden/>
              </w:rPr>
              <w:fldChar w:fldCharType="separate"/>
            </w:r>
            <w:r w:rsidR="00010123">
              <w:rPr>
                <w:noProof/>
                <w:webHidden/>
              </w:rPr>
              <w:t>137</w:t>
            </w:r>
            <w:r w:rsidR="00EB6B5D">
              <w:rPr>
                <w:noProof/>
                <w:webHidden/>
              </w:rPr>
              <w:fldChar w:fldCharType="end"/>
            </w:r>
          </w:hyperlink>
        </w:p>
        <w:p w14:paraId="1961F5D3" w14:textId="31396A51" w:rsidR="00EB6B5D" w:rsidRDefault="00000000">
          <w:pPr>
            <w:pStyle w:val="TOC2"/>
            <w:tabs>
              <w:tab w:val="right" w:leader="dot" w:pos="10790"/>
            </w:tabs>
            <w:rPr>
              <w:noProof/>
            </w:rPr>
          </w:pPr>
          <w:hyperlink w:anchor="_Toc176864478" w:history="1">
            <w:r w:rsidR="00EB6B5D" w:rsidRPr="00633202">
              <w:rPr>
                <w:rStyle w:val="Hyperlink"/>
                <w:noProof/>
              </w:rPr>
              <w:t>E56 Langue</w:t>
            </w:r>
            <w:r w:rsidR="00EB6B5D">
              <w:rPr>
                <w:noProof/>
                <w:webHidden/>
              </w:rPr>
              <w:tab/>
            </w:r>
            <w:r w:rsidR="00EB6B5D">
              <w:rPr>
                <w:noProof/>
                <w:webHidden/>
              </w:rPr>
              <w:fldChar w:fldCharType="begin"/>
            </w:r>
            <w:r w:rsidR="00EB6B5D">
              <w:rPr>
                <w:noProof/>
                <w:webHidden/>
              </w:rPr>
              <w:instrText xml:space="preserve"> PAGEREF _Toc176864478 \h </w:instrText>
            </w:r>
            <w:r w:rsidR="00EB6B5D">
              <w:rPr>
                <w:noProof/>
                <w:webHidden/>
              </w:rPr>
            </w:r>
            <w:r w:rsidR="00EB6B5D">
              <w:rPr>
                <w:noProof/>
                <w:webHidden/>
              </w:rPr>
              <w:fldChar w:fldCharType="separate"/>
            </w:r>
            <w:r w:rsidR="00010123">
              <w:rPr>
                <w:noProof/>
                <w:webHidden/>
              </w:rPr>
              <w:t>138</w:t>
            </w:r>
            <w:r w:rsidR="00EB6B5D">
              <w:rPr>
                <w:noProof/>
                <w:webHidden/>
              </w:rPr>
              <w:fldChar w:fldCharType="end"/>
            </w:r>
          </w:hyperlink>
        </w:p>
        <w:p w14:paraId="5E206BDA" w14:textId="47FDE627" w:rsidR="00EB6B5D" w:rsidRDefault="00000000">
          <w:pPr>
            <w:pStyle w:val="TOC2"/>
            <w:tabs>
              <w:tab w:val="right" w:leader="dot" w:pos="10790"/>
            </w:tabs>
            <w:rPr>
              <w:noProof/>
            </w:rPr>
          </w:pPr>
          <w:hyperlink w:anchor="_Toc176864479" w:history="1">
            <w:r w:rsidR="00EB6B5D" w:rsidRPr="00633202">
              <w:rPr>
                <w:rStyle w:val="Hyperlink"/>
                <w:noProof/>
              </w:rPr>
              <w:t>E57 Matériau</w:t>
            </w:r>
            <w:r w:rsidR="00EB6B5D">
              <w:rPr>
                <w:noProof/>
                <w:webHidden/>
              </w:rPr>
              <w:tab/>
            </w:r>
            <w:r w:rsidR="00EB6B5D">
              <w:rPr>
                <w:noProof/>
                <w:webHidden/>
              </w:rPr>
              <w:fldChar w:fldCharType="begin"/>
            </w:r>
            <w:r w:rsidR="00EB6B5D">
              <w:rPr>
                <w:noProof/>
                <w:webHidden/>
              </w:rPr>
              <w:instrText xml:space="preserve"> PAGEREF _Toc176864479 \h </w:instrText>
            </w:r>
            <w:r w:rsidR="00EB6B5D">
              <w:rPr>
                <w:noProof/>
                <w:webHidden/>
              </w:rPr>
            </w:r>
            <w:r w:rsidR="00EB6B5D">
              <w:rPr>
                <w:noProof/>
                <w:webHidden/>
              </w:rPr>
              <w:fldChar w:fldCharType="separate"/>
            </w:r>
            <w:r w:rsidR="00010123">
              <w:rPr>
                <w:noProof/>
                <w:webHidden/>
              </w:rPr>
              <w:t>139</w:t>
            </w:r>
            <w:r w:rsidR="00EB6B5D">
              <w:rPr>
                <w:noProof/>
                <w:webHidden/>
              </w:rPr>
              <w:fldChar w:fldCharType="end"/>
            </w:r>
          </w:hyperlink>
        </w:p>
        <w:p w14:paraId="1CD67FFC" w14:textId="484F0DB7" w:rsidR="00EB6B5D" w:rsidRDefault="00000000">
          <w:pPr>
            <w:pStyle w:val="TOC2"/>
            <w:tabs>
              <w:tab w:val="right" w:leader="dot" w:pos="10790"/>
            </w:tabs>
            <w:rPr>
              <w:noProof/>
            </w:rPr>
          </w:pPr>
          <w:hyperlink w:anchor="_Toc176864480" w:history="1">
            <w:r w:rsidR="00EB6B5D" w:rsidRPr="00633202">
              <w:rPr>
                <w:rStyle w:val="Hyperlink"/>
                <w:noProof/>
              </w:rPr>
              <w:t>E58 Unité de mesure</w:t>
            </w:r>
            <w:r w:rsidR="00EB6B5D">
              <w:rPr>
                <w:noProof/>
                <w:webHidden/>
              </w:rPr>
              <w:tab/>
            </w:r>
            <w:r w:rsidR="00EB6B5D">
              <w:rPr>
                <w:noProof/>
                <w:webHidden/>
              </w:rPr>
              <w:fldChar w:fldCharType="begin"/>
            </w:r>
            <w:r w:rsidR="00EB6B5D">
              <w:rPr>
                <w:noProof/>
                <w:webHidden/>
              </w:rPr>
              <w:instrText xml:space="preserve"> PAGEREF _Toc176864480 \h </w:instrText>
            </w:r>
            <w:r w:rsidR="00EB6B5D">
              <w:rPr>
                <w:noProof/>
                <w:webHidden/>
              </w:rPr>
            </w:r>
            <w:r w:rsidR="00EB6B5D">
              <w:rPr>
                <w:noProof/>
                <w:webHidden/>
              </w:rPr>
              <w:fldChar w:fldCharType="separate"/>
            </w:r>
            <w:r w:rsidR="00010123">
              <w:rPr>
                <w:noProof/>
                <w:webHidden/>
              </w:rPr>
              <w:t>140</w:t>
            </w:r>
            <w:r w:rsidR="00EB6B5D">
              <w:rPr>
                <w:noProof/>
                <w:webHidden/>
              </w:rPr>
              <w:fldChar w:fldCharType="end"/>
            </w:r>
          </w:hyperlink>
        </w:p>
        <w:p w14:paraId="6BF8AEB3" w14:textId="487E01D3" w:rsidR="00EB6B5D" w:rsidRDefault="00000000">
          <w:pPr>
            <w:pStyle w:val="TOC2"/>
            <w:tabs>
              <w:tab w:val="right" w:leader="dot" w:pos="10790"/>
            </w:tabs>
            <w:rPr>
              <w:noProof/>
            </w:rPr>
          </w:pPr>
          <w:hyperlink w:anchor="_Toc176864481" w:history="1">
            <w:r w:rsidR="00EB6B5D" w:rsidRPr="00633202">
              <w:rPr>
                <w:rStyle w:val="Hyperlink"/>
                <w:noProof/>
              </w:rPr>
              <w:t>E59 Valeur primitive</w:t>
            </w:r>
            <w:r w:rsidR="00EB6B5D">
              <w:rPr>
                <w:noProof/>
                <w:webHidden/>
              </w:rPr>
              <w:tab/>
            </w:r>
            <w:r w:rsidR="00EB6B5D">
              <w:rPr>
                <w:noProof/>
                <w:webHidden/>
              </w:rPr>
              <w:fldChar w:fldCharType="begin"/>
            </w:r>
            <w:r w:rsidR="00EB6B5D">
              <w:rPr>
                <w:noProof/>
                <w:webHidden/>
              </w:rPr>
              <w:instrText xml:space="preserve"> PAGEREF _Toc176864481 \h </w:instrText>
            </w:r>
            <w:r w:rsidR="00EB6B5D">
              <w:rPr>
                <w:noProof/>
                <w:webHidden/>
              </w:rPr>
            </w:r>
            <w:r w:rsidR="00EB6B5D">
              <w:rPr>
                <w:noProof/>
                <w:webHidden/>
              </w:rPr>
              <w:fldChar w:fldCharType="separate"/>
            </w:r>
            <w:r w:rsidR="00010123">
              <w:rPr>
                <w:noProof/>
                <w:webHidden/>
              </w:rPr>
              <w:t>140</w:t>
            </w:r>
            <w:r w:rsidR="00EB6B5D">
              <w:rPr>
                <w:noProof/>
                <w:webHidden/>
              </w:rPr>
              <w:fldChar w:fldCharType="end"/>
            </w:r>
          </w:hyperlink>
        </w:p>
        <w:p w14:paraId="3E530628" w14:textId="438122EE" w:rsidR="00EB6B5D" w:rsidRDefault="00000000">
          <w:pPr>
            <w:pStyle w:val="TOC2"/>
            <w:tabs>
              <w:tab w:val="right" w:leader="dot" w:pos="10790"/>
            </w:tabs>
            <w:rPr>
              <w:noProof/>
            </w:rPr>
          </w:pPr>
          <w:hyperlink w:anchor="_Toc176864482" w:history="1">
            <w:r w:rsidR="00EB6B5D" w:rsidRPr="00633202">
              <w:rPr>
                <w:rStyle w:val="Hyperlink"/>
                <w:noProof/>
              </w:rPr>
              <w:t>E60 Nombre</w:t>
            </w:r>
            <w:r w:rsidR="00EB6B5D">
              <w:rPr>
                <w:noProof/>
                <w:webHidden/>
              </w:rPr>
              <w:tab/>
            </w:r>
            <w:r w:rsidR="00EB6B5D">
              <w:rPr>
                <w:noProof/>
                <w:webHidden/>
              </w:rPr>
              <w:fldChar w:fldCharType="begin"/>
            </w:r>
            <w:r w:rsidR="00EB6B5D">
              <w:rPr>
                <w:noProof/>
                <w:webHidden/>
              </w:rPr>
              <w:instrText xml:space="preserve"> PAGEREF _Toc176864482 \h </w:instrText>
            </w:r>
            <w:r w:rsidR="00EB6B5D">
              <w:rPr>
                <w:noProof/>
                <w:webHidden/>
              </w:rPr>
            </w:r>
            <w:r w:rsidR="00EB6B5D">
              <w:rPr>
                <w:noProof/>
                <w:webHidden/>
              </w:rPr>
              <w:fldChar w:fldCharType="separate"/>
            </w:r>
            <w:r w:rsidR="00010123">
              <w:rPr>
                <w:noProof/>
                <w:webHidden/>
              </w:rPr>
              <w:t>142</w:t>
            </w:r>
            <w:r w:rsidR="00EB6B5D">
              <w:rPr>
                <w:noProof/>
                <w:webHidden/>
              </w:rPr>
              <w:fldChar w:fldCharType="end"/>
            </w:r>
          </w:hyperlink>
        </w:p>
        <w:p w14:paraId="12201390" w14:textId="63EAC059" w:rsidR="00EB6B5D" w:rsidRDefault="00000000">
          <w:pPr>
            <w:pStyle w:val="TOC2"/>
            <w:tabs>
              <w:tab w:val="right" w:leader="dot" w:pos="10790"/>
            </w:tabs>
            <w:rPr>
              <w:noProof/>
            </w:rPr>
          </w:pPr>
          <w:hyperlink w:anchor="_Toc176864483" w:history="1">
            <w:r w:rsidR="00EB6B5D" w:rsidRPr="00633202">
              <w:rPr>
                <w:rStyle w:val="Hyperlink"/>
                <w:noProof/>
              </w:rPr>
              <w:t>E61 Primitive temporelle</w:t>
            </w:r>
            <w:r w:rsidR="00EB6B5D">
              <w:rPr>
                <w:noProof/>
                <w:webHidden/>
              </w:rPr>
              <w:tab/>
            </w:r>
            <w:r w:rsidR="00EB6B5D">
              <w:rPr>
                <w:noProof/>
                <w:webHidden/>
              </w:rPr>
              <w:fldChar w:fldCharType="begin"/>
            </w:r>
            <w:r w:rsidR="00EB6B5D">
              <w:rPr>
                <w:noProof/>
                <w:webHidden/>
              </w:rPr>
              <w:instrText xml:space="preserve"> PAGEREF _Toc176864483 \h </w:instrText>
            </w:r>
            <w:r w:rsidR="00EB6B5D">
              <w:rPr>
                <w:noProof/>
                <w:webHidden/>
              </w:rPr>
            </w:r>
            <w:r w:rsidR="00EB6B5D">
              <w:rPr>
                <w:noProof/>
                <w:webHidden/>
              </w:rPr>
              <w:fldChar w:fldCharType="separate"/>
            </w:r>
            <w:r w:rsidR="00010123">
              <w:rPr>
                <w:noProof/>
                <w:webHidden/>
              </w:rPr>
              <w:t>142</w:t>
            </w:r>
            <w:r w:rsidR="00EB6B5D">
              <w:rPr>
                <w:noProof/>
                <w:webHidden/>
              </w:rPr>
              <w:fldChar w:fldCharType="end"/>
            </w:r>
          </w:hyperlink>
        </w:p>
        <w:p w14:paraId="739B256B" w14:textId="5F08DD21" w:rsidR="00EB6B5D" w:rsidRDefault="00000000">
          <w:pPr>
            <w:pStyle w:val="TOC2"/>
            <w:tabs>
              <w:tab w:val="right" w:leader="dot" w:pos="10790"/>
            </w:tabs>
            <w:rPr>
              <w:noProof/>
            </w:rPr>
          </w:pPr>
          <w:hyperlink w:anchor="_Toc176864484" w:history="1">
            <w:r w:rsidR="00EB6B5D" w:rsidRPr="00633202">
              <w:rPr>
                <w:rStyle w:val="Hyperlink"/>
                <w:noProof/>
              </w:rPr>
              <w:t>E62 Chaîne de caractères</w:t>
            </w:r>
            <w:r w:rsidR="00EB6B5D">
              <w:rPr>
                <w:noProof/>
                <w:webHidden/>
              </w:rPr>
              <w:tab/>
            </w:r>
            <w:r w:rsidR="00EB6B5D">
              <w:rPr>
                <w:noProof/>
                <w:webHidden/>
              </w:rPr>
              <w:fldChar w:fldCharType="begin"/>
            </w:r>
            <w:r w:rsidR="00EB6B5D">
              <w:rPr>
                <w:noProof/>
                <w:webHidden/>
              </w:rPr>
              <w:instrText xml:space="preserve"> PAGEREF _Toc176864484 \h </w:instrText>
            </w:r>
            <w:r w:rsidR="00EB6B5D">
              <w:rPr>
                <w:noProof/>
                <w:webHidden/>
              </w:rPr>
            </w:r>
            <w:r w:rsidR="00EB6B5D">
              <w:rPr>
                <w:noProof/>
                <w:webHidden/>
              </w:rPr>
              <w:fldChar w:fldCharType="separate"/>
            </w:r>
            <w:r w:rsidR="00010123">
              <w:rPr>
                <w:noProof/>
                <w:webHidden/>
              </w:rPr>
              <w:t>144</w:t>
            </w:r>
            <w:r w:rsidR="00EB6B5D">
              <w:rPr>
                <w:noProof/>
                <w:webHidden/>
              </w:rPr>
              <w:fldChar w:fldCharType="end"/>
            </w:r>
          </w:hyperlink>
        </w:p>
        <w:p w14:paraId="21F77D39" w14:textId="24FFEB5B" w:rsidR="00EB6B5D" w:rsidRDefault="00000000">
          <w:pPr>
            <w:pStyle w:val="TOC2"/>
            <w:tabs>
              <w:tab w:val="right" w:leader="dot" w:pos="10790"/>
            </w:tabs>
            <w:rPr>
              <w:noProof/>
            </w:rPr>
          </w:pPr>
          <w:hyperlink w:anchor="_Toc176864485" w:history="1">
            <w:r w:rsidR="00EB6B5D" w:rsidRPr="00633202">
              <w:rPr>
                <w:rStyle w:val="Hyperlink"/>
                <w:noProof/>
              </w:rPr>
              <w:t>E63 Début d’</w:t>
            </w:r>
            <w:r w:rsidR="00EB6B5D">
              <w:rPr>
                <w:noProof/>
                <w:webHidden/>
              </w:rPr>
              <w:tab/>
            </w:r>
            <w:r w:rsidR="00EB6B5D">
              <w:rPr>
                <w:noProof/>
                <w:webHidden/>
              </w:rPr>
              <w:fldChar w:fldCharType="begin"/>
            </w:r>
            <w:r w:rsidR="00EB6B5D">
              <w:rPr>
                <w:noProof/>
                <w:webHidden/>
              </w:rPr>
              <w:instrText xml:space="preserve"> PAGEREF _Toc176864485 \h </w:instrText>
            </w:r>
            <w:r w:rsidR="00EB6B5D">
              <w:rPr>
                <w:noProof/>
                <w:webHidden/>
              </w:rPr>
            </w:r>
            <w:r w:rsidR="00EB6B5D">
              <w:rPr>
                <w:noProof/>
                <w:webHidden/>
              </w:rPr>
              <w:fldChar w:fldCharType="separate"/>
            </w:r>
            <w:r w:rsidR="00010123">
              <w:rPr>
                <w:noProof/>
                <w:webHidden/>
              </w:rPr>
              <w:t>144</w:t>
            </w:r>
            <w:r w:rsidR="00EB6B5D">
              <w:rPr>
                <w:noProof/>
                <w:webHidden/>
              </w:rPr>
              <w:fldChar w:fldCharType="end"/>
            </w:r>
          </w:hyperlink>
        </w:p>
        <w:p w14:paraId="2E8BB738" w14:textId="32C1EDF4" w:rsidR="00EB6B5D" w:rsidRDefault="00000000">
          <w:pPr>
            <w:pStyle w:val="TOC2"/>
            <w:tabs>
              <w:tab w:val="right" w:leader="dot" w:pos="10790"/>
            </w:tabs>
            <w:rPr>
              <w:noProof/>
            </w:rPr>
          </w:pPr>
          <w:hyperlink w:anchor="_Toc176864486" w:history="1">
            <w:r w:rsidR="00EB6B5D" w:rsidRPr="00633202">
              <w:rPr>
                <w:rStyle w:val="Hyperlink"/>
                <w:noProof/>
              </w:rPr>
              <w:t>E64 Fin d’existence</w:t>
            </w:r>
            <w:r w:rsidR="00EB6B5D">
              <w:rPr>
                <w:noProof/>
                <w:webHidden/>
              </w:rPr>
              <w:tab/>
            </w:r>
            <w:r w:rsidR="00EB6B5D">
              <w:rPr>
                <w:noProof/>
                <w:webHidden/>
              </w:rPr>
              <w:fldChar w:fldCharType="begin"/>
            </w:r>
            <w:r w:rsidR="00EB6B5D">
              <w:rPr>
                <w:noProof/>
                <w:webHidden/>
              </w:rPr>
              <w:instrText xml:space="preserve"> PAGEREF _Toc176864486 \h </w:instrText>
            </w:r>
            <w:r w:rsidR="00EB6B5D">
              <w:rPr>
                <w:noProof/>
                <w:webHidden/>
              </w:rPr>
            </w:r>
            <w:r w:rsidR="00EB6B5D">
              <w:rPr>
                <w:noProof/>
                <w:webHidden/>
              </w:rPr>
              <w:fldChar w:fldCharType="separate"/>
            </w:r>
            <w:r w:rsidR="00010123">
              <w:rPr>
                <w:noProof/>
                <w:webHidden/>
              </w:rPr>
              <w:t>145</w:t>
            </w:r>
            <w:r w:rsidR="00EB6B5D">
              <w:rPr>
                <w:noProof/>
                <w:webHidden/>
              </w:rPr>
              <w:fldChar w:fldCharType="end"/>
            </w:r>
          </w:hyperlink>
        </w:p>
        <w:p w14:paraId="4100AC12" w14:textId="2B3E9507" w:rsidR="00EB6B5D" w:rsidRDefault="00000000">
          <w:pPr>
            <w:pStyle w:val="TOC2"/>
            <w:tabs>
              <w:tab w:val="right" w:leader="dot" w:pos="10790"/>
            </w:tabs>
            <w:rPr>
              <w:noProof/>
            </w:rPr>
          </w:pPr>
          <w:hyperlink w:anchor="_Toc176864487" w:history="1">
            <w:r w:rsidR="00EB6B5D" w:rsidRPr="00633202">
              <w:rPr>
                <w:rStyle w:val="Hyperlink"/>
                <w:noProof/>
              </w:rPr>
              <w:t>E65 Création</w:t>
            </w:r>
            <w:r w:rsidR="00EB6B5D">
              <w:rPr>
                <w:noProof/>
                <w:webHidden/>
              </w:rPr>
              <w:tab/>
            </w:r>
            <w:r w:rsidR="00EB6B5D">
              <w:rPr>
                <w:noProof/>
                <w:webHidden/>
              </w:rPr>
              <w:fldChar w:fldCharType="begin"/>
            </w:r>
            <w:r w:rsidR="00EB6B5D">
              <w:rPr>
                <w:noProof/>
                <w:webHidden/>
              </w:rPr>
              <w:instrText xml:space="preserve"> PAGEREF _Toc176864487 \h </w:instrText>
            </w:r>
            <w:r w:rsidR="00EB6B5D">
              <w:rPr>
                <w:noProof/>
                <w:webHidden/>
              </w:rPr>
            </w:r>
            <w:r w:rsidR="00EB6B5D">
              <w:rPr>
                <w:noProof/>
                <w:webHidden/>
              </w:rPr>
              <w:fldChar w:fldCharType="separate"/>
            </w:r>
            <w:r w:rsidR="00010123">
              <w:rPr>
                <w:noProof/>
                <w:webHidden/>
              </w:rPr>
              <w:t>146</w:t>
            </w:r>
            <w:r w:rsidR="00EB6B5D">
              <w:rPr>
                <w:noProof/>
                <w:webHidden/>
              </w:rPr>
              <w:fldChar w:fldCharType="end"/>
            </w:r>
          </w:hyperlink>
        </w:p>
        <w:p w14:paraId="51D60861" w14:textId="52C088A7" w:rsidR="00EB6B5D" w:rsidRDefault="00000000">
          <w:pPr>
            <w:pStyle w:val="TOC2"/>
            <w:tabs>
              <w:tab w:val="right" w:leader="dot" w:pos="10790"/>
            </w:tabs>
            <w:rPr>
              <w:noProof/>
            </w:rPr>
          </w:pPr>
          <w:hyperlink w:anchor="_Toc176864488" w:history="1">
            <w:r w:rsidR="00EB6B5D" w:rsidRPr="00633202">
              <w:rPr>
                <w:rStyle w:val="Hyperlink"/>
                <w:noProof/>
              </w:rPr>
              <w:t>E66 Formation</w:t>
            </w:r>
            <w:r w:rsidR="00EB6B5D">
              <w:rPr>
                <w:noProof/>
                <w:webHidden/>
              </w:rPr>
              <w:tab/>
            </w:r>
            <w:r w:rsidR="00EB6B5D">
              <w:rPr>
                <w:noProof/>
                <w:webHidden/>
              </w:rPr>
              <w:fldChar w:fldCharType="begin"/>
            </w:r>
            <w:r w:rsidR="00EB6B5D">
              <w:rPr>
                <w:noProof/>
                <w:webHidden/>
              </w:rPr>
              <w:instrText xml:space="preserve"> PAGEREF _Toc176864488 \h </w:instrText>
            </w:r>
            <w:r w:rsidR="00EB6B5D">
              <w:rPr>
                <w:noProof/>
                <w:webHidden/>
              </w:rPr>
            </w:r>
            <w:r w:rsidR="00EB6B5D">
              <w:rPr>
                <w:noProof/>
                <w:webHidden/>
              </w:rPr>
              <w:fldChar w:fldCharType="separate"/>
            </w:r>
            <w:r w:rsidR="00010123">
              <w:rPr>
                <w:noProof/>
                <w:webHidden/>
              </w:rPr>
              <w:t>147</w:t>
            </w:r>
            <w:r w:rsidR="00EB6B5D">
              <w:rPr>
                <w:noProof/>
                <w:webHidden/>
              </w:rPr>
              <w:fldChar w:fldCharType="end"/>
            </w:r>
          </w:hyperlink>
        </w:p>
        <w:p w14:paraId="1B0C42EA" w14:textId="2C98B631" w:rsidR="00EB6B5D" w:rsidRDefault="00000000">
          <w:pPr>
            <w:pStyle w:val="TOC2"/>
            <w:tabs>
              <w:tab w:val="right" w:leader="dot" w:pos="10790"/>
            </w:tabs>
            <w:rPr>
              <w:noProof/>
            </w:rPr>
          </w:pPr>
          <w:hyperlink w:anchor="_Toc176864489" w:history="1">
            <w:r w:rsidR="00EB6B5D" w:rsidRPr="00633202">
              <w:rPr>
                <w:rStyle w:val="Hyperlink"/>
                <w:noProof/>
              </w:rPr>
              <w:t>E67 Naissance</w:t>
            </w:r>
            <w:r w:rsidR="00EB6B5D">
              <w:rPr>
                <w:noProof/>
                <w:webHidden/>
              </w:rPr>
              <w:tab/>
            </w:r>
            <w:r w:rsidR="00EB6B5D">
              <w:rPr>
                <w:noProof/>
                <w:webHidden/>
              </w:rPr>
              <w:fldChar w:fldCharType="begin"/>
            </w:r>
            <w:r w:rsidR="00EB6B5D">
              <w:rPr>
                <w:noProof/>
                <w:webHidden/>
              </w:rPr>
              <w:instrText xml:space="preserve"> PAGEREF _Toc176864489 \h </w:instrText>
            </w:r>
            <w:r w:rsidR="00EB6B5D">
              <w:rPr>
                <w:noProof/>
                <w:webHidden/>
              </w:rPr>
            </w:r>
            <w:r w:rsidR="00EB6B5D">
              <w:rPr>
                <w:noProof/>
                <w:webHidden/>
              </w:rPr>
              <w:fldChar w:fldCharType="separate"/>
            </w:r>
            <w:r w:rsidR="00010123">
              <w:rPr>
                <w:noProof/>
                <w:webHidden/>
              </w:rPr>
              <w:t>148</w:t>
            </w:r>
            <w:r w:rsidR="00EB6B5D">
              <w:rPr>
                <w:noProof/>
                <w:webHidden/>
              </w:rPr>
              <w:fldChar w:fldCharType="end"/>
            </w:r>
          </w:hyperlink>
        </w:p>
        <w:p w14:paraId="406FBE09" w14:textId="7D62141C" w:rsidR="00EB6B5D" w:rsidRDefault="00000000">
          <w:pPr>
            <w:pStyle w:val="TOC2"/>
            <w:tabs>
              <w:tab w:val="right" w:leader="dot" w:pos="10790"/>
            </w:tabs>
            <w:rPr>
              <w:noProof/>
            </w:rPr>
          </w:pPr>
          <w:hyperlink w:anchor="_Toc176864490" w:history="1">
            <w:r w:rsidR="00EB6B5D" w:rsidRPr="00633202">
              <w:rPr>
                <w:rStyle w:val="Hyperlink"/>
                <w:noProof/>
              </w:rPr>
              <w:t>E68 Dissolution</w:t>
            </w:r>
            <w:r w:rsidR="00EB6B5D">
              <w:rPr>
                <w:noProof/>
                <w:webHidden/>
              </w:rPr>
              <w:tab/>
            </w:r>
            <w:r w:rsidR="00EB6B5D">
              <w:rPr>
                <w:noProof/>
                <w:webHidden/>
              </w:rPr>
              <w:fldChar w:fldCharType="begin"/>
            </w:r>
            <w:r w:rsidR="00EB6B5D">
              <w:rPr>
                <w:noProof/>
                <w:webHidden/>
              </w:rPr>
              <w:instrText xml:space="preserve"> PAGEREF _Toc176864490 \h </w:instrText>
            </w:r>
            <w:r w:rsidR="00EB6B5D">
              <w:rPr>
                <w:noProof/>
                <w:webHidden/>
              </w:rPr>
            </w:r>
            <w:r w:rsidR="00EB6B5D">
              <w:rPr>
                <w:noProof/>
                <w:webHidden/>
              </w:rPr>
              <w:fldChar w:fldCharType="separate"/>
            </w:r>
            <w:r w:rsidR="00010123">
              <w:rPr>
                <w:noProof/>
                <w:webHidden/>
              </w:rPr>
              <w:t>149</w:t>
            </w:r>
            <w:r w:rsidR="00EB6B5D">
              <w:rPr>
                <w:noProof/>
                <w:webHidden/>
              </w:rPr>
              <w:fldChar w:fldCharType="end"/>
            </w:r>
          </w:hyperlink>
        </w:p>
        <w:p w14:paraId="19DA2D7F" w14:textId="41FCB01C" w:rsidR="00EB6B5D" w:rsidRDefault="00000000">
          <w:pPr>
            <w:pStyle w:val="TOC2"/>
            <w:tabs>
              <w:tab w:val="right" w:leader="dot" w:pos="10790"/>
            </w:tabs>
            <w:rPr>
              <w:noProof/>
            </w:rPr>
          </w:pPr>
          <w:hyperlink w:anchor="_Toc176864491" w:history="1">
            <w:r w:rsidR="00EB6B5D" w:rsidRPr="00633202">
              <w:rPr>
                <w:rStyle w:val="Hyperlink"/>
                <w:noProof/>
              </w:rPr>
              <w:t>E69 Mort</w:t>
            </w:r>
            <w:r w:rsidR="00EB6B5D">
              <w:rPr>
                <w:noProof/>
                <w:webHidden/>
              </w:rPr>
              <w:tab/>
            </w:r>
            <w:r w:rsidR="00EB6B5D">
              <w:rPr>
                <w:noProof/>
                <w:webHidden/>
              </w:rPr>
              <w:fldChar w:fldCharType="begin"/>
            </w:r>
            <w:r w:rsidR="00EB6B5D">
              <w:rPr>
                <w:noProof/>
                <w:webHidden/>
              </w:rPr>
              <w:instrText xml:space="preserve"> PAGEREF _Toc176864491 \h </w:instrText>
            </w:r>
            <w:r w:rsidR="00EB6B5D">
              <w:rPr>
                <w:noProof/>
                <w:webHidden/>
              </w:rPr>
            </w:r>
            <w:r w:rsidR="00EB6B5D">
              <w:rPr>
                <w:noProof/>
                <w:webHidden/>
              </w:rPr>
              <w:fldChar w:fldCharType="separate"/>
            </w:r>
            <w:r w:rsidR="00010123">
              <w:rPr>
                <w:noProof/>
                <w:webHidden/>
              </w:rPr>
              <w:t>149</w:t>
            </w:r>
            <w:r w:rsidR="00EB6B5D">
              <w:rPr>
                <w:noProof/>
                <w:webHidden/>
              </w:rPr>
              <w:fldChar w:fldCharType="end"/>
            </w:r>
          </w:hyperlink>
        </w:p>
        <w:p w14:paraId="62102CE3" w14:textId="236B8723" w:rsidR="00EB6B5D" w:rsidRDefault="00000000">
          <w:pPr>
            <w:pStyle w:val="TOC2"/>
            <w:tabs>
              <w:tab w:val="right" w:leader="dot" w:pos="10790"/>
            </w:tabs>
            <w:rPr>
              <w:noProof/>
            </w:rPr>
          </w:pPr>
          <w:hyperlink w:anchor="_Toc176864492" w:history="1">
            <w:r w:rsidR="00EB6B5D" w:rsidRPr="00633202">
              <w:rPr>
                <w:rStyle w:val="Hyperlink"/>
                <w:noProof/>
              </w:rPr>
              <w:t>E70 Chose</w:t>
            </w:r>
            <w:r w:rsidR="00EB6B5D">
              <w:rPr>
                <w:noProof/>
                <w:webHidden/>
              </w:rPr>
              <w:tab/>
            </w:r>
            <w:r w:rsidR="00EB6B5D">
              <w:rPr>
                <w:noProof/>
                <w:webHidden/>
              </w:rPr>
              <w:fldChar w:fldCharType="begin"/>
            </w:r>
            <w:r w:rsidR="00EB6B5D">
              <w:rPr>
                <w:noProof/>
                <w:webHidden/>
              </w:rPr>
              <w:instrText xml:space="preserve"> PAGEREF _Toc176864492 \h </w:instrText>
            </w:r>
            <w:r w:rsidR="00EB6B5D">
              <w:rPr>
                <w:noProof/>
                <w:webHidden/>
              </w:rPr>
            </w:r>
            <w:r w:rsidR="00EB6B5D">
              <w:rPr>
                <w:noProof/>
                <w:webHidden/>
              </w:rPr>
              <w:fldChar w:fldCharType="separate"/>
            </w:r>
            <w:r w:rsidR="00010123">
              <w:rPr>
                <w:noProof/>
                <w:webHidden/>
              </w:rPr>
              <w:t>150</w:t>
            </w:r>
            <w:r w:rsidR="00EB6B5D">
              <w:rPr>
                <w:noProof/>
                <w:webHidden/>
              </w:rPr>
              <w:fldChar w:fldCharType="end"/>
            </w:r>
          </w:hyperlink>
        </w:p>
        <w:p w14:paraId="2196F2CF" w14:textId="08E74C95" w:rsidR="00EB6B5D" w:rsidRDefault="00000000">
          <w:pPr>
            <w:pStyle w:val="TOC2"/>
            <w:tabs>
              <w:tab w:val="right" w:leader="dot" w:pos="10790"/>
            </w:tabs>
            <w:rPr>
              <w:noProof/>
            </w:rPr>
          </w:pPr>
          <w:hyperlink w:anchor="_Toc176864493" w:history="1">
            <w:r w:rsidR="00EB6B5D" w:rsidRPr="00633202">
              <w:rPr>
                <w:rStyle w:val="Hyperlink"/>
                <w:noProof/>
              </w:rPr>
              <w:t>E71 Chose élaborée par l’humain</w:t>
            </w:r>
            <w:r w:rsidR="00EB6B5D">
              <w:rPr>
                <w:noProof/>
                <w:webHidden/>
              </w:rPr>
              <w:tab/>
            </w:r>
            <w:r w:rsidR="00EB6B5D">
              <w:rPr>
                <w:noProof/>
                <w:webHidden/>
              </w:rPr>
              <w:fldChar w:fldCharType="begin"/>
            </w:r>
            <w:r w:rsidR="00EB6B5D">
              <w:rPr>
                <w:noProof/>
                <w:webHidden/>
              </w:rPr>
              <w:instrText xml:space="preserve"> PAGEREF _Toc176864493 \h </w:instrText>
            </w:r>
            <w:r w:rsidR="00EB6B5D">
              <w:rPr>
                <w:noProof/>
                <w:webHidden/>
              </w:rPr>
            </w:r>
            <w:r w:rsidR="00EB6B5D">
              <w:rPr>
                <w:noProof/>
                <w:webHidden/>
              </w:rPr>
              <w:fldChar w:fldCharType="separate"/>
            </w:r>
            <w:r w:rsidR="00010123">
              <w:rPr>
                <w:noProof/>
                <w:webHidden/>
              </w:rPr>
              <w:t>151</w:t>
            </w:r>
            <w:r w:rsidR="00EB6B5D">
              <w:rPr>
                <w:noProof/>
                <w:webHidden/>
              </w:rPr>
              <w:fldChar w:fldCharType="end"/>
            </w:r>
          </w:hyperlink>
        </w:p>
        <w:p w14:paraId="36EDA9B8" w14:textId="219520D7" w:rsidR="00EB6B5D" w:rsidRDefault="00000000">
          <w:pPr>
            <w:pStyle w:val="TOC2"/>
            <w:tabs>
              <w:tab w:val="right" w:leader="dot" w:pos="10790"/>
            </w:tabs>
            <w:rPr>
              <w:noProof/>
            </w:rPr>
          </w:pPr>
          <w:hyperlink w:anchor="_Toc176864494" w:history="1">
            <w:r w:rsidR="00EB6B5D" w:rsidRPr="00633202">
              <w:rPr>
                <w:rStyle w:val="Hyperlink"/>
                <w:noProof/>
              </w:rPr>
              <w:t>E72 Objet juridique</w:t>
            </w:r>
            <w:r w:rsidR="00EB6B5D">
              <w:rPr>
                <w:noProof/>
                <w:webHidden/>
              </w:rPr>
              <w:tab/>
            </w:r>
            <w:r w:rsidR="00EB6B5D">
              <w:rPr>
                <w:noProof/>
                <w:webHidden/>
              </w:rPr>
              <w:fldChar w:fldCharType="begin"/>
            </w:r>
            <w:r w:rsidR="00EB6B5D">
              <w:rPr>
                <w:noProof/>
                <w:webHidden/>
              </w:rPr>
              <w:instrText xml:space="preserve"> PAGEREF _Toc176864494 \h </w:instrText>
            </w:r>
            <w:r w:rsidR="00EB6B5D">
              <w:rPr>
                <w:noProof/>
                <w:webHidden/>
              </w:rPr>
            </w:r>
            <w:r w:rsidR="00EB6B5D">
              <w:rPr>
                <w:noProof/>
                <w:webHidden/>
              </w:rPr>
              <w:fldChar w:fldCharType="separate"/>
            </w:r>
            <w:r w:rsidR="00010123">
              <w:rPr>
                <w:noProof/>
                <w:webHidden/>
              </w:rPr>
              <w:t>152</w:t>
            </w:r>
            <w:r w:rsidR="00EB6B5D">
              <w:rPr>
                <w:noProof/>
                <w:webHidden/>
              </w:rPr>
              <w:fldChar w:fldCharType="end"/>
            </w:r>
          </w:hyperlink>
        </w:p>
        <w:p w14:paraId="5694CC5D" w14:textId="7FAA3B27" w:rsidR="00EB6B5D" w:rsidRDefault="00000000">
          <w:pPr>
            <w:pStyle w:val="TOC2"/>
            <w:tabs>
              <w:tab w:val="right" w:leader="dot" w:pos="10790"/>
            </w:tabs>
            <w:rPr>
              <w:noProof/>
            </w:rPr>
          </w:pPr>
          <w:hyperlink w:anchor="_Toc176864495" w:history="1">
            <w:r w:rsidR="00EB6B5D" w:rsidRPr="00633202">
              <w:rPr>
                <w:rStyle w:val="Hyperlink"/>
                <w:noProof/>
              </w:rPr>
              <w:t>E73 Objet informationnel</w:t>
            </w:r>
            <w:r w:rsidR="00EB6B5D">
              <w:rPr>
                <w:noProof/>
                <w:webHidden/>
              </w:rPr>
              <w:tab/>
            </w:r>
            <w:r w:rsidR="00EB6B5D">
              <w:rPr>
                <w:noProof/>
                <w:webHidden/>
              </w:rPr>
              <w:fldChar w:fldCharType="begin"/>
            </w:r>
            <w:r w:rsidR="00EB6B5D">
              <w:rPr>
                <w:noProof/>
                <w:webHidden/>
              </w:rPr>
              <w:instrText xml:space="preserve"> PAGEREF _Toc176864495 \h </w:instrText>
            </w:r>
            <w:r w:rsidR="00EB6B5D">
              <w:rPr>
                <w:noProof/>
                <w:webHidden/>
              </w:rPr>
            </w:r>
            <w:r w:rsidR="00EB6B5D">
              <w:rPr>
                <w:noProof/>
                <w:webHidden/>
              </w:rPr>
              <w:fldChar w:fldCharType="separate"/>
            </w:r>
            <w:r w:rsidR="00010123">
              <w:rPr>
                <w:noProof/>
                <w:webHidden/>
              </w:rPr>
              <w:t>152</w:t>
            </w:r>
            <w:r w:rsidR="00EB6B5D">
              <w:rPr>
                <w:noProof/>
                <w:webHidden/>
              </w:rPr>
              <w:fldChar w:fldCharType="end"/>
            </w:r>
          </w:hyperlink>
        </w:p>
        <w:p w14:paraId="2570E16E" w14:textId="2E853EE1" w:rsidR="00EB6B5D" w:rsidRDefault="00000000">
          <w:pPr>
            <w:pStyle w:val="TOC2"/>
            <w:tabs>
              <w:tab w:val="right" w:leader="dot" w:pos="10790"/>
            </w:tabs>
            <w:rPr>
              <w:noProof/>
            </w:rPr>
          </w:pPr>
          <w:hyperlink w:anchor="_Toc176864496" w:history="1">
            <w:r w:rsidR="00EB6B5D" w:rsidRPr="00633202">
              <w:rPr>
                <w:rStyle w:val="Hyperlink"/>
                <w:noProof/>
              </w:rPr>
              <w:t>E74 Groupe</w:t>
            </w:r>
            <w:r w:rsidR="00EB6B5D">
              <w:rPr>
                <w:noProof/>
                <w:webHidden/>
              </w:rPr>
              <w:tab/>
            </w:r>
            <w:r w:rsidR="00EB6B5D">
              <w:rPr>
                <w:noProof/>
                <w:webHidden/>
              </w:rPr>
              <w:fldChar w:fldCharType="begin"/>
            </w:r>
            <w:r w:rsidR="00EB6B5D">
              <w:rPr>
                <w:noProof/>
                <w:webHidden/>
              </w:rPr>
              <w:instrText xml:space="preserve"> PAGEREF _Toc176864496 \h </w:instrText>
            </w:r>
            <w:r w:rsidR="00EB6B5D">
              <w:rPr>
                <w:noProof/>
                <w:webHidden/>
              </w:rPr>
            </w:r>
            <w:r w:rsidR="00EB6B5D">
              <w:rPr>
                <w:noProof/>
                <w:webHidden/>
              </w:rPr>
              <w:fldChar w:fldCharType="separate"/>
            </w:r>
            <w:r w:rsidR="00010123">
              <w:rPr>
                <w:noProof/>
                <w:webHidden/>
              </w:rPr>
              <w:t>153</w:t>
            </w:r>
            <w:r w:rsidR="00EB6B5D">
              <w:rPr>
                <w:noProof/>
                <w:webHidden/>
              </w:rPr>
              <w:fldChar w:fldCharType="end"/>
            </w:r>
          </w:hyperlink>
        </w:p>
        <w:p w14:paraId="76850409" w14:textId="07B02BB7" w:rsidR="00EB6B5D" w:rsidRDefault="00000000">
          <w:pPr>
            <w:pStyle w:val="TOC2"/>
            <w:tabs>
              <w:tab w:val="right" w:leader="dot" w:pos="10790"/>
            </w:tabs>
            <w:rPr>
              <w:noProof/>
            </w:rPr>
          </w:pPr>
          <w:hyperlink w:anchor="_Toc176864497" w:history="1">
            <w:r w:rsidR="00EB6B5D" w:rsidRPr="00633202">
              <w:rPr>
                <w:rStyle w:val="Hyperlink"/>
                <w:noProof/>
              </w:rPr>
              <w:t>E77 Entité persistante</w:t>
            </w:r>
            <w:r w:rsidR="00EB6B5D">
              <w:rPr>
                <w:noProof/>
                <w:webHidden/>
              </w:rPr>
              <w:tab/>
            </w:r>
            <w:r w:rsidR="00EB6B5D">
              <w:rPr>
                <w:noProof/>
                <w:webHidden/>
              </w:rPr>
              <w:fldChar w:fldCharType="begin"/>
            </w:r>
            <w:r w:rsidR="00EB6B5D">
              <w:rPr>
                <w:noProof/>
                <w:webHidden/>
              </w:rPr>
              <w:instrText xml:space="preserve"> PAGEREF _Toc176864497 \h </w:instrText>
            </w:r>
            <w:r w:rsidR="00EB6B5D">
              <w:rPr>
                <w:noProof/>
                <w:webHidden/>
              </w:rPr>
            </w:r>
            <w:r w:rsidR="00EB6B5D">
              <w:rPr>
                <w:noProof/>
                <w:webHidden/>
              </w:rPr>
              <w:fldChar w:fldCharType="separate"/>
            </w:r>
            <w:r w:rsidR="00010123">
              <w:rPr>
                <w:noProof/>
                <w:webHidden/>
              </w:rPr>
              <w:t>155</w:t>
            </w:r>
            <w:r w:rsidR="00EB6B5D">
              <w:rPr>
                <w:noProof/>
                <w:webHidden/>
              </w:rPr>
              <w:fldChar w:fldCharType="end"/>
            </w:r>
          </w:hyperlink>
        </w:p>
        <w:p w14:paraId="67F8CD9F" w14:textId="1AF3F43D" w:rsidR="00EB6B5D" w:rsidRDefault="00000000">
          <w:pPr>
            <w:pStyle w:val="TOC2"/>
            <w:tabs>
              <w:tab w:val="right" w:leader="dot" w:pos="10790"/>
            </w:tabs>
            <w:rPr>
              <w:noProof/>
            </w:rPr>
          </w:pPr>
          <w:hyperlink w:anchor="_Toc176864498" w:history="1">
            <w:r w:rsidR="00EB6B5D" w:rsidRPr="00633202">
              <w:rPr>
                <w:rStyle w:val="Hyperlink"/>
                <w:noProof/>
              </w:rPr>
              <w:t>E78 Collection</w:t>
            </w:r>
            <w:r w:rsidR="00EB6B5D">
              <w:rPr>
                <w:noProof/>
                <w:webHidden/>
              </w:rPr>
              <w:tab/>
            </w:r>
            <w:r w:rsidR="00EB6B5D">
              <w:rPr>
                <w:noProof/>
                <w:webHidden/>
              </w:rPr>
              <w:fldChar w:fldCharType="begin"/>
            </w:r>
            <w:r w:rsidR="00EB6B5D">
              <w:rPr>
                <w:noProof/>
                <w:webHidden/>
              </w:rPr>
              <w:instrText xml:space="preserve"> PAGEREF _Toc176864498 \h </w:instrText>
            </w:r>
            <w:r w:rsidR="00EB6B5D">
              <w:rPr>
                <w:noProof/>
                <w:webHidden/>
              </w:rPr>
            </w:r>
            <w:r w:rsidR="00EB6B5D">
              <w:rPr>
                <w:noProof/>
                <w:webHidden/>
              </w:rPr>
              <w:fldChar w:fldCharType="separate"/>
            </w:r>
            <w:r w:rsidR="00010123">
              <w:rPr>
                <w:noProof/>
                <w:webHidden/>
              </w:rPr>
              <w:t>156</w:t>
            </w:r>
            <w:r w:rsidR="00EB6B5D">
              <w:rPr>
                <w:noProof/>
                <w:webHidden/>
              </w:rPr>
              <w:fldChar w:fldCharType="end"/>
            </w:r>
          </w:hyperlink>
        </w:p>
        <w:p w14:paraId="4EF52C72" w14:textId="042AE5AC" w:rsidR="00EB6B5D" w:rsidRDefault="00000000">
          <w:pPr>
            <w:pStyle w:val="TOC2"/>
            <w:tabs>
              <w:tab w:val="right" w:leader="dot" w:pos="10790"/>
            </w:tabs>
            <w:rPr>
              <w:noProof/>
            </w:rPr>
          </w:pPr>
          <w:hyperlink w:anchor="_Toc176864499" w:history="1">
            <w:r w:rsidR="00EB6B5D" w:rsidRPr="00633202">
              <w:rPr>
                <w:rStyle w:val="Hyperlink"/>
                <w:noProof/>
              </w:rPr>
              <w:t>E79 Ajout d'élément</w:t>
            </w:r>
            <w:r w:rsidR="00EB6B5D">
              <w:rPr>
                <w:noProof/>
                <w:webHidden/>
              </w:rPr>
              <w:tab/>
            </w:r>
            <w:r w:rsidR="00EB6B5D">
              <w:rPr>
                <w:noProof/>
                <w:webHidden/>
              </w:rPr>
              <w:fldChar w:fldCharType="begin"/>
            </w:r>
            <w:r w:rsidR="00EB6B5D">
              <w:rPr>
                <w:noProof/>
                <w:webHidden/>
              </w:rPr>
              <w:instrText xml:space="preserve"> PAGEREF _Toc176864499 \h </w:instrText>
            </w:r>
            <w:r w:rsidR="00EB6B5D">
              <w:rPr>
                <w:noProof/>
                <w:webHidden/>
              </w:rPr>
            </w:r>
            <w:r w:rsidR="00EB6B5D">
              <w:rPr>
                <w:noProof/>
                <w:webHidden/>
              </w:rPr>
              <w:fldChar w:fldCharType="separate"/>
            </w:r>
            <w:r w:rsidR="00010123">
              <w:rPr>
                <w:noProof/>
                <w:webHidden/>
              </w:rPr>
              <w:t>157</w:t>
            </w:r>
            <w:r w:rsidR="00EB6B5D">
              <w:rPr>
                <w:noProof/>
                <w:webHidden/>
              </w:rPr>
              <w:fldChar w:fldCharType="end"/>
            </w:r>
          </w:hyperlink>
        </w:p>
        <w:p w14:paraId="2EB6E988" w14:textId="77766CD7" w:rsidR="00EB6B5D" w:rsidRDefault="00000000">
          <w:pPr>
            <w:pStyle w:val="TOC2"/>
            <w:tabs>
              <w:tab w:val="right" w:leader="dot" w:pos="10790"/>
            </w:tabs>
            <w:rPr>
              <w:noProof/>
            </w:rPr>
          </w:pPr>
          <w:hyperlink w:anchor="_Toc176864500" w:history="1">
            <w:r w:rsidR="00EB6B5D" w:rsidRPr="00633202">
              <w:rPr>
                <w:rStyle w:val="Hyperlink"/>
                <w:noProof/>
              </w:rPr>
              <w:t>E80 Retrait d'élément</w:t>
            </w:r>
            <w:r w:rsidR="00EB6B5D">
              <w:rPr>
                <w:noProof/>
                <w:webHidden/>
              </w:rPr>
              <w:tab/>
            </w:r>
            <w:r w:rsidR="00EB6B5D">
              <w:rPr>
                <w:noProof/>
                <w:webHidden/>
              </w:rPr>
              <w:fldChar w:fldCharType="begin"/>
            </w:r>
            <w:r w:rsidR="00EB6B5D">
              <w:rPr>
                <w:noProof/>
                <w:webHidden/>
              </w:rPr>
              <w:instrText xml:space="preserve"> PAGEREF _Toc176864500 \h </w:instrText>
            </w:r>
            <w:r w:rsidR="00EB6B5D">
              <w:rPr>
                <w:noProof/>
                <w:webHidden/>
              </w:rPr>
            </w:r>
            <w:r w:rsidR="00EB6B5D">
              <w:rPr>
                <w:noProof/>
                <w:webHidden/>
              </w:rPr>
              <w:fldChar w:fldCharType="separate"/>
            </w:r>
            <w:r w:rsidR="00010123">
              <w:rPr>
                <w:noProof/>
                <w:webHidden/>
              </w:rPr>
              <w:t>158</w:t>
            </w:r>
            <w:r w:rsidR="00EB6B5D">
              <w:rPr>
                <w:noProof/>
                <w:webHidden/>
              </w:rPr>
              <w:fldChar w:fldCharType="end"/>
            </w:r>
          </w:hyperlink>
        </w:p>
        <w:p w14:paraId="3A29D143" w14:textId="7F0B46C1" w:rsidR="00EB6B5D" w:rsidRDefault="00000000">
          <w:pPr>
            <w:pStyle w:val="TOC2"/>
            <w:tabs>
              <w:tab w:val="right" w:leader="dot" w:pos="10790"/>
            </w:tabs>
            <w:rPr>
              <w:noProof/>
            </w:rPr>
          </w:pPr>
          <w:hyperlink w:anchor="_Toc176864501" w:history="1">
            <w:r w:rsidR="00EB6B5D" w:rsidRPr="00633202">
              <w:rPr>
                <w:rStyle w:val="Hyperlink"/>
                <w:noProof/>
              </w:rPr>
              <w:t>E81 Transformation</w:t>
            </w:r>
            <w:r w:rsidR="00EB6B5D">
              <w:rPr>
                <w:noProof/>
                <w:webHidden/>
              </w:rPr>
              <w:tab/>
            </w:r>
            <w:r w:rsidR="00EB6B5D">
              <w:rPr>
                <w:noProof/>
                <w:webHidden/>
              </w:rPr>
              <w:fldChar w:fldCharType="begin"/>
            </w:r>
            <w:r w:rsidR="00EB6B5D">
              <w:rPr>
                <w:noProof/>
                <w:webHidden/>
              </w:rPr>
              <w:instrText xml:space="preserve"> PAGEREF _Toc176864501 \h </w:instrText>
            </w:r>
            <w:r w:rsidR="00EB6B5D">
              <w:rPr>
                <w:noProof/>
                <w:webHidden/>
              </w:rPr>
            </w:r>
            <w:r w:rsidR="00EB6B5D">
              <w:rPr>
                <w:noProof/>
                <w:webHidden/>
              </w:rPr>
              <w:fldChar w:fldCharType="separate"/>
            </w:r>
            <w:r w:rsidR="00010123">
              <w:rPr>
                <w:noProof/>
                <w:webHidden/>
              </w:rPr>
              <w:t>159</w:t>
            </w:r>
            <w:r w:rsidR="00EB6B5D">
              <w:rPr>
                <w:noProof/>
                <w:webHidden/>
              </w:rPr>
              <w:fldChar w:fldCharType="end"/>
            </w:r>
          </w:hyperlink>
        </w:p>
        <w:p w14:paraId="714DBC6C" w14:textId="7BB06C1A" w:rsidR="00EB6B5D" w:rsidRDefault="00000000">
          <w:pPr>
            <w:pStyle w:val="TOC2"/>
            <w:tabs>
              <w:tab w:val="right" w:leader="dot" w:pos="10790"/>
            </w:tabs>
            <w:rPr>
              <w:noProof/>
            </w:rPr>
          </w:pPr>
          <w:hyperlink w:anchor="_Toc176864502" w:history="1">
            <w:r w:rsidR="00EB6B5D" w:rsidRPr="00633202">
              <w:rPr>
                <w:rStyle w:val="Hyperlink"/>
                <w:noProof/>
              </w:rPr>
              <w:t>E83 Création de type</w:t>
            </w:r>
            <w:r w:rsidR="00EB6B5D">
              <w:rPr>
                <w:noProof/>
                <w:webHidden/>
              </w:rPr>
              <w:tab/>
            </w:r>
            <w:r w:rsidR="00EB6B5D">
              <w:rPr>
                <w:noProof/>
                <w:webHidden/>
              </w:rPr>
              <w:fldChar w:fldCharType="begin"/>
            </w:r>
            <w:r w:rsidR="00EB6B5D">
              <w:rPr>
                <w:noProof/>
                <w:webHidden/>
              </w:rPr>
              <w:instrText xml:space="preserve"> PAGEREF _Toc176864502 \h </w:instrText>
            </w:r>
            <w:r w:rsidR="00EB6B5D">
              <w:rPr>
                <w:noProof/>
                <w:webHidden/>
              </w:rPr>
            </w:r>
            <w:r w:rsidR="00EB6B5D">
              <w:rPr>
                <w:noProof/>
                <w:webHidden/>
              </w:rPr>
              <w:fldChar w:fldCharType="separate"/>
            </w:r>
            <w:r w:rsidR="00010123">
              <w:rPr>
                <w:noProof/>
                <w:webHidden/>
              </w:rPr>
              <w:t>160</w:t>
            </w:r>
            <w:r w:rsidR="00EB6B5D">
              <w:rPr>
                <w:noProof/>
                <w:webHidden/>
              </w:rPr>
              <w:fldChar w:fldCharType="end"/>
            </w:r>
          </w:hyperlink>
        </w:p>
        <w:p w14:paraId="4E426735" w14:textId="6359B11E" w:rsidR="00EB6B5D" w:rsidRDefault="00000000">
          <w:pPr>
            <w:pStyle w:val="TOC2"/>
            <w:tabs>
              <w:tab w:val="right" w:leader="dot" w:pos="10790"/>
            </w:tabs>
            <w:rPr>
              <w:noProof/>
            </w:rPr>
          </w:pPr>
          <w:hyperlink w:anchor="_Toc176864503" w:history="1">
            <w:r w:rsidR="00EB6B5D" w:rsidRPr="00633202">
              <w:rPr>
                <w:rStyle w:val="Hyperlink"/>
                <w:noProof/>
              </w:rPr>
              <w:t>E85 Adhésion</w:t>
            </w:r>
            <w:r w:rsidR="00EB6B5D">
              <w:rPr>
                <w:noProof/>
                <w:webHidden/>
              </w:rPr>
              <w:tab/>
            </w:r>
            <w:r w:rsidR="00EB6B5D">
              <w:rPr>
                <w:noProof/>
                <w:webHidden/>
              </w:rPr>
              <w:fldChar w:fldCharType="begin"/>
            </w:r>
            <w:r w:rsidR="00EB6B5D">
              <w:rPr>
                <w:noProof/>
                <w:webHidden/>
              </w:rPr>
              <w:instrText xml:space="preserve"> PAGEREF _Toc176864503 \h </w:instrText>
            </w:r>
            <w:r w:rsidR="00EB6B5D">
              <w:rPr>
                <w:noProof/>
                <w:webHidden/>
              </w:rPr>
            </w:r>
            <w:r w:rsidR="00EB6B5D">
              <w:rPr>
                <w:noProof/>
                <w:webHidden/>
              </w:rPr>
              <w:fldChar w:fldCharType="separate"/>
            </w:r>
            <w:r w:rsidR="00010123">
              <w:rPr>
                <w:noProof/>
                <w:webHidden/>
              </w:rPr>
              <w:t>161</w:t>
            </w:r>
            <w:r w:rsidR="00EB6B5D">
              <w:rPr>
                <w:noProof/>
                <w:webHidden/>
              </w:rPr>
              <w:fldChar w:fldCharType="end"/>
            </w:r>
          </w:hyperlink>
        </w:p>
        <w:p w14:paraId="647E2C5A" w14:textId="50BAFA7D" w:rsidR="00EB6B5D" w:rsidRDefault="00000000">
          <w:pPr>
            <w:pStyle w:val="TOC2"/>
            <w:tabs>
              <w:tab w:val="right" w:leader="dot" w:pos="10790"/>
            </w:tabs>
            <w:rPr>
              <w:noProof/>
            </w:rPr>
          </w:pPr>
          <w:hyperlink w:anchor="_Toc176864504" w:history="1">
            <w:r w:rsidR="00EB6B5D" w:rsidRPr="00633202">
              <w:rPr>
                <w:rStyle w:val="Hyperlink"/>
                <w:noProof/>
              </w:rPr>
              <w:t>E86 Départ</w:t>
            </w:r>
            <w:r w:rsidR="00EB6B5D">
              <w:rPr>
                <w:noProof/>
                <w:webHidden/>
              </w:rPr>
              <w:tab/>
            </w:r>
            <w:r w:rsidR="00EB6B5D">
              <w:rPr>
                <w:noProof/>
                <w:webHidden/>
              </w:rPr>
              <w:fldChar w:fldCharType="begin"/>
            </w:r>
            <w:r w:rsidR="00EB6B5D">
              <w:rPr>
                <w:noProof/>
                <w:webHidden/>
              </w:rPr>
              <w:instrText xml:space="preserve"> PAGEREF _Toc176864504 \h </w:instrText>
            </w:r>
            <w:r w:rsidR="00EB6B5D">
              <w:rPr>
                <w:noProof/>
                <w:webHidden/>
              </w:rPr>
            </w:r>
            <w:r w:rsidR="00EB6B5D">
              <w:rPr>
                <w:noProof/>
                <w:webHidden/>
              </w:rPr>
              <w:fldChar w:fldCharType="separate"/>
            </w:r>
            <w:r w:rsidR="00010123">
              <w:rPr>
                <w:noProof/>
                <w:webHidden/>
              </w:rPr>
              <w:t>162</w:t>
            </w:r>
            <w:r w:rsidR="00EB6B5D">
              <w:rPr>
                <w:noProof/>
                <w:webHidden/>
              </w:rPr>
              <w:fldChar w:fldCharType="end"/>
            </w:r>
          </w:hyperlink>
        </w:p>
        <w:p w14:paraId="57785934" w14:textId="19B1C38E" w:rsidR="00EB6B5D" w:rsidRDefault="00000000">
          <w:pPr>
            <w:pStyle w:val="TOC2"/>
            <w:tabs>
              <w:tab w:val="right" w:leader="dot" w:pos="10790"/>
            </w:tabs>
            <w:rPr>
              <w:noProof/>
            </w:rPr>
          </w:pPr>
          <w:hyperlink w:anchor="_Toc176864505" w:history="1">
            <w:r w:rsidR="00EB6B5D" w:rsidRPr="00633202">
              <w:rPr>
                <w:rStyle w:val="Hyperlink"/>
                <w:noProof/>
              </w:rPr>
              <w:t>E87 Activité curatoriale</w:t>
            </w:r>
            <w:r w:rsidR="00EB6B5D">
              <w:rPr>
                <w:noProof/>
                <w:webHidden/>
              </w:rPr>
              <w:tab/>
            </w:r>
            <w:r w:rsidR="00EB6B5D">
              <w:rPr>
                <w:noProof/>
                <w:webHidden/>
              </w:rPr>
              <w:fldChar w:fldCharType="begin"/>
            </w:r>
            <w:r w:rsidR="00EB6B5D">
              <w:rPr>
                <w:noProof/>
                <w:webHidden/>
              </w:rPr>
              <w:instrText xml:space="preserve"> PAGEREF _Toc176864505 \h </w:instrText>
            </w:r>
            <w:r w:rsidR="00EB6B5D">
              <w:rPr>
                <w:noProof/>
                <w:webHidden/>
              </w:rPr>
            </w:r>
            <w:r w:rsidR="00EB6B5D">
              <w:rPr>
                <w:noProof/>
                <w:webHidden/>
              </w:rPr>
              <w:fldChar w:fldCharType="separate"/>
            </w:r>
            <w:r w:rsidR="00010123">
              <w:rPr>
                <w:noProof/>
                <w:webHidden/>
              </w:rPr>
              <w:t>162</w:t>
            </w:r>
            <w:r w:rsidR="00EB6B5D">
              <w:rPr>
                <w:noProof/>
                <w:webHidden/>
              </w:rPr>
              <w:fldChar w:fldCharType="end"/>
            </w:r>
          </w:hyperlink>
        </w:p>
        <w:p w14:paraId="3F02F7EF" w14:textId="6BD017D7" w:rsidR="00EB6B5D" w:rsidRDefault="00000000">
          <w:pPr>
            <w:pStyle w:val="TOC2"/>
            <w:tabs>
              <w:tab w:val="right" w:leader="dot" w:pos="10790"/>
            </w:tabs>
            <w:rPr>
              <w:noProof/>
            </w:rPr>
          </w:pPr>
          <w:hyperlink w:anchor="_Toc176864506" w:history="1">
            <w:r w:rsidR="00EB6B5D" w:rsidRPr="00633202">
              <w:rPr>
                <w:rStyle w:val="Hyperlink"/>
                <w:noProof/>
              </w:rPr>
              <w:t>E89 Objet propositionnel</w:t>
            </w:r>
            <w:r w:rsidR="00EB6B5D">
              <w:rPr>
                <w:noProof/>
                <w:webHidden/>
              </w:rPr>
              <w:tab/>
            </w:r>
            <w:r w:rsidR="00EB6B5D">
              <w:rPr>
                <w:noProof/>
                <w:webHidden/>
              </w:rPr>
              <w:fldChar w:fldCharType="begin"/>
            </w:r>
            <w:r w:rsidR="00EB6B5D">
              <w:rPr>
                <w:noProof/>
                <w:webHidden/>
              </w:rPr>
              <w:instrText xml:space="preserve"> PAGEREF _Toc176864506 \h </w:instrText>
            </w:r>
            <w:r w:rsidR="00EB6B5D">
              <w:rPr>
                <w:noProof/>
                <w:webHidden/>
              </w:rPr>
            </w:r>
            <w:r w:rsidR="00EB6B5D">
              <w:rPr>
                <w:noProof/>
                <w:webHidden/>
              </w:rPr>
              <w:fldChar w:fldCharType="separate"/>
            </w:r>
            <w:r w:rsidR="00010123">
              <w:rPr>
                <w:noProof/>
                <w:webHidden/>
              </w:rPr>
              <w:t>163</w:t>
            </w:r>
            <w:r w:rsidR="00EB6B5D">
              <w:rPr>
                <w:noProof/>
                <w:webHidden/>
              </w:rPr>
              <w:fldChar w:fldCharType="end"/>
            </w:r>
          </w:hyperlink>
        </w:p>
        <w:p w14:paraId="6FEE4FB5" w14:textId="1DBDB748" w:rsidR="00EB6B5D" w:rsidRDefault="00000000">
          <w:pPr>
            <w:pStyle w:val="TOC2"/>
            <w:tabs>
              <w:tab w:val="right" w:leader="dot" w:pos="10790"/>
            </w:tabs>
            <w:rPr>
              <w:noProof/>
            </w:rPr>
          </w:pPr>
          <w:hyperlink w:anchor="_Toc176864507" w:history="1">
            <w:r w:rsidR="00EB6B5D" w:rsidRPr="00633202">
              <w:rPr>
                <w:rStyle w:val="Hyperlink"/>
                <w:noProof/>
              </w:rPr>
              <w:t>E90 Objet symbolique</w:t>
            </w:r>
            <w:r w:rsidR="00EB6B5D">
              <w:rPr>
                <w:noProof/>
                <w:webHidden/>
              </w:rPr>
              <w:tab/>
            </w:r>
            <w:r w:rsidR="00EB6B5D">
              <w:rPr>
                <w:noProof/>
                <w:webHidden/>
              </w:rPr>
              <w:fldChar w:fldCharType="begin"/>
            </w:r>
            <w:r w:rsidR="00EB6B5D">
              <w:rPr>
                <w:noProof/>
                <w:webHidden/>
              </w:rPr>
              <w:instrText xml:space="preserve"> PAGEREF _Toc176864507 \h </w:instrText>
            </w:r>
            <w:r w:rsidR="00EB6B5D">
              <w:rPr>
                <w:noProof/>
                <w:webHidden/>
              </w:rPr>
            </w:r>
            <w:r w:rsidR="00EB6B5D">
              <w:rPr>
                <w:noProof/>
                <w:webHidden/>
              </w:rPr>
              <w:fldChar w:fldCharType="separate"/>
            </w:r>
            <w:r w:rsidR="00010123">
              <w:rPr>
                <w:noProof/>
                <w:webHidden/>
              </w:rPr>
              <w:t>164</w:t>
            </w:r>
            <w:r w:rsidR="00EB6B5D">
              <w:rPr>
                <w:noProof/>
                <w:webHidden/>
              </w:rPr>
              <w:fldChar w:fldCharType="end"/>
            </w:r>
          </w:hyperlink>
        </w:p>
        <w:p w14:paraId="2474C253" w14:textId="63C3BF94" w:rsidR="00EB6B5D" w:rsidRDefault="00000000">
          <w:pPr>
            <w:pStyle w:val="TOC2"/>
            <w:tabs>
              <w:tab w:val="right" w:leader="dot" w:pos="10790"/>
            </w:tabs>
            <w:rPr>
              <w:noProof/>
            </w:rPr>
          </w:pPr>
          <w:hyperlink w:anchor="_Toc176864508" w:history="1">
            <w:r w:rsidR="00EB6B5D" w:rsidRPr="00633202">
              <w:rPr>
                <w:rStyle w:val="Hyperlink"/>
                <w:noProof/>
              </w:rPr>
              <w:t>E92 Volume spatio-temporel</w:t>
            </w:r>
            <w:r w:rsidR="00EB6B5D">
              <w:rPr>
                <w:noProof/>
                <w:webHidden/>
              </w:rPr>
              <w:tab/>
            </w:r>
            <w:r w:rsidR="00EB6B5D">
              <w:rPr>
                <w:noProof/>
                <w:webHidden/>
              </w:rPr>
              <w:fldChar w:fldCharType="begin"/>
            </w:r>
            <w:r w:rsidR="00EB6B5D">
              <w:rPr>
                <w:noProof/>
                <w:webHidden/>
              </w:rPr>
              <w:instrText xml:space="preserve"> PAGEREF _Toc176864508 \h </w:instrText>
            </w:r>
            <w:r w:rsidR="00EB6B5D">
              <w:rPr>
                <w:noProof/>
                <w:webHidden/>
              </w:rPr>
            </w:r>
            <w:r w:rsidR="00EB6B5D">
              <w:rPr>
                <w:noProof/>
                <w:webHidden/>
              </w:rPr>
              <w:fldChar w:fldCharType="separate"/>
            </w:r>
            <w:r w:rsidR="00010123">
              <w:rPr>
                <w:noProof/>
                <w:webHidden/>
              </w:rPr>
              <w:t>166</w:t>
            </w:r>
            <w:r w:rsidR="00EB6B5D">
              <w:rPr>
                <w:noProof/>
                <w:webHidden/>
              </w:rPr>
              <w:fldChar w:fldCharType="end"/>
            </w:r>
          </w:hyperlink>
        </w:p>
        <w:p w14:paraId="2E4FAF76" w14:textId="08DFB155" w:rsidR="00EB6B5D" w:rsidRDefault="00000000">
          <w:pPr>
            <w:pStyle w:val="TOC2"/>
            <w:tabs>
              <w:tab w:val="right" w:leader="dot" w:pos="10790"/>
            </w:tabs>
            <w:rPr>
              <w:noProof/>
            </w:rPr>
          </w:pPr>
          <w:hyperlink w:anchor="_Toc176864509" w:history="1">
            <w:r w:rsidR="00EB6B5D" w:rsidRPr="00633202">
              <w:rPr>
                <w:rStyle w:val="Hyperlink"/>
                <w:noProof/>
              </w:rPr>
              <w:t>E93 Présence</w:t>
            </w:r>
            <w:r w:rsidR="00EB6B5D">
              <w:rPr>
                <w:noProof/>
                <w:webHidden/>
              </w:rPr>
              <w:tab/>
            </w:r>
            <w:r w:rsidR="00EB6B5D">
              <w:rPr>
                <w:noProof/>
                <w:webHidden/>
              </w:rPr>
              <w:fldChar w:fldCharType="begin"/>
            </w:r>
            <w:r w:rsidR="00EB6B5D">
              <w:rPr>
                <w:noProof/>
                <w:webHidden/>
              </w:rPr>
              <w:instrText xml:space="preserve"> PAGEREF _Toc176864509 \h </w:instrText>
            </w:r>
            <w:r w:rsidR="00EB6B5D">
              <w:rPr>
                <w:noProof/>
                <w:webHidden/>
              </w:rPr>
            </w:r>
            <w:r w:rsidR="00EB6B5D">
              <w:rPr>
                <w:noProof/>
                <w:webHidden/>
              </w:rPr>
              <w:fldChar w:fldCharType="separate"/>
            </w:r>
            <w:r w:rsidR="00010123">
              <w:rPr>
                <w:noProof/>
                <w:webHidden/>
              </w:rPr>
              <w:t>167</w:t>
            </w:r>
            <w:r w:rsidR="00EB6B5D">
              <w:rPr>
                <w:noProof/>
                <w:webHidden/>
              </w:rPr>
              <w:fldChar w:fldCharType="end"/>
            </w:r>
          </w:hyperlink>
        </w:p>
        <w:p w14:paraId="420B1C61" w14:textId="640557B9" w:rsidR="00EB6B5D" w:rsidRDefault="00000000">
          <w:pPr>
            <w:pStyle w:val="TOC2"/>
            <w:tabs>
              <w:tab w:val="right" w:leader="dot" w:pos="10790"/>
            </w:tabs>
            <w:rPr>
              <w:noProof/>
            </w:rPr>
          </w:pPr>
          <w:hyperlink w:anchor="_Toc176864510" w:history="1">
            <w:r w:rsidR="00EB6B5D" w:rsidRPr="00633202">
              <w:rPr>
                <w:rStyle w:val="Hyperlink"/>
                <w:noProof/>
              </w:rPr>
              <w:t>E94 Primitive spatiale</w:t>
            </w:r>
            <w:r w:rsidR="00EB6B5D">
              <w:rPr>
                <w:noProof/>
                <w:webHidden/>
              </w:rPr>
              <w:tab/>
            </w:r>
            <w:r w:rsidR="00EB6B5D">
              <w:rPr>
                <w:noProof/>
                <w:webHidden/>
              </w:rPr>
              <w:fldChar w:fldCharType="begin"/>
            </w:r>
            <w:r w:rsidR="00EB6B5D">
              <w:rPr>
                <w:noProof/>
                <w:webHidden/>
              </w:rPr>
              <w:instrText xml:space="preserve"> PAGEREF _Toc176864510 \h </w:instrText>
            </w:r>
            <w:r w:rsidR="00EB6B5D">
              <w:rPr>
                <w:noProof/>
                <w:webHidden/>
              </w:rPr>
            </w:r>
            <w:r w:rsidR="00EB6B5D">
              <w:rPr>
                <w:noProof/>
                <w:webHidden/>
              </w:rPr>
              <w:fldChar w:fldCharType="separate"/>
            </w:r>
            <w:r w:rsidR="00010123">
              <w:rPr>
                <w:noProof/>
                <w:webHidden/>
              </w:rPr>
              <w:t>168</w:t>
            </w:r>
            <w:r w:rsidR="00EB6B5D">
              <w:rPr>
                <w:noProof/>
                <w:webHidden/>
              </w:rPr>
              <w:fldChar w:fldCharType="end"/>
            </w:r>
          </w:hyperlink>
        </w:p>
        <w:p w14:paraId="3F4C9F43" w14:textId="64600D9F" w:rsidR="00EB6B5D" w:rsidRDefault="00000000">
          <w:pPr>
            <w:pStyle w:val="TOC2"/>
            <w:tabs>
              <w:tab w:val="right" w:leader="dot" w:pos="10790"/>
            </w:tabs>
            <w:rPr>
              <w:noProof/>
            </w:rPr>
          </w:pPr>
          <w:hyperlink w:anchor="_Toc176864511" w:history="1">
            <w:r w:rsidR="00EB6B5D" w:rsidRPr="00633202">
              <w:rPr>
                <w:rStyle w:val="Hyperlink"/>
                <w:noProof/>
              </w:rPr>
              <w:t>E95 Primitive spatio-temporelle</w:t>
            </w:r>
            <w:r w:rsidR="00EB6B5D">
              <w:rPr>
                <w:noProof/>
                <w:webHidden/>
              </w:rPr>
              <w:tab/>
            </w:r>
            <w:r w:rsidR="00EB6B5D">
              <w:rPr>
                <w:noProof/>
                <w:webHidden/>
              </w:rPr>
              <w:fldChar w:fldCharType="begin"/>
            </w:r>
            <w:r w:rsidR="00EB6B5D">
              <w:rPr>
                <w:noProof/>
                <w:webHidden/>
              </w:rPr>
              <w:instrText xml:space="preserve"> PAGEREF _Toc176864511 \h </w:instrText>
            </w:r>
            <w:r w:rsidR="00EB6B5D">
              <w:rPr>
                <w:noProof/>
                <w:webHidden/>
              </w:rPr>
            </w:r>
            <w:r w:rsidR="00EB6B5D">
              <w:rPr>
                <w:noProof/>
                <w:webHidden/>
              </w:rPr>
              <w:fldChar w:fldCharType="separate"/>
            </w:r>
            <w:r w:rsidR="00010123">
              <w:rPr>
                <w:noProof/>
                <w:webHidden/>
              </w:rPr>
              <w:t>169</w:t>
            </w:r>
            <w:r w:rsidR="00EB6B5D">
              <w:rPr>
                <w:noProof/>
                <w:webHidden/>
              </w:rPr>
              <w:fldChar w:fldCharType="end"/>
            </w:r>
          </w:hyperlink>
        </w:p>
        <w:p w14:paraId="7986A800" w14:textId="55A38E0E" w:rsidR="00EB6B5D" w:rsidRDefault="00000000">
          <w:pPr>
            <w:pStyle w:val="TOC2"/>
            <w:tabs>
              <w:tab w:val="right" w:leader="dot" w:pos="10790"/>
            </w:tabs>
            <w:rPr>
              <w:noProof/>
            </w:rPr>
          </w:pPr>
          <w:hyperlink w:anchor="_Toc176864512" w:history="1">
            <w:r w:rsidR="00EB6B5D" w:rsidRPr="00633202">
              <w:rPr>
                <w:rStyle w:val="Hyperlink"/>
                <w:noProof/>
              </w:rPr>
              <w:t>E96 Achat</w:t>
            </w:r>
            <w:r w:rsidR="00EB6B5D">
              <w:rPr>
                <w:noProof/>
                <w:webHidden/>
              </w:rPr>
              <w:tab/>
            </w:r>
            <w:r w:rsidR="00EB6B5D">
              <w:rPr>
                <w:noProof/>
                <w:webHidden/>
              </w:rPr>
              <w:fldChar w:fldCharType="begin"/>
            </w:r>
            <w:r w:rsidR="00EB6B5D">
              <w:rPr>
                <w:noProof/>
                <w:webHidden/>
              </w:rPr>
              <w:instrText xml:space="preserve"> PAGEREF _Toc176864512 \h </w:instrText>
            </w:r>
            <w:r w:rsidR="00EB6B5D">
              <w:rPr>
                <w:noProof/>
                <w:webHidden/>
              </w:rPr>
            </w:r>
            <w:r w:rsidR="00EB6B5D">
              <w:rPr>
                <w:noProof/>
                <w:webHidden/>
              </w:rPr>
              <w:fldChar w:fldCharType="separate"/>
            </w:r>
            <w:r w:rsidR="00010123">
              <w:rPr>
                <w:noProof/>
                <w:webHidden/>
              </w:rPr>
              <w:t>170</w:t>
            </w:r>
            <w:r w:rsidR="00EB6B5D">
              <w:rPr>
                <w:noProof/>
                <w:webHidden/>
              </w:rPr>
              <w:fldChar w:fldCharType="end"/>
            </w:r>
          </w:hyperlink>
        </w:p>
        <w:p w14:paraId="3DE7FFF6" w14:textId="18EA0554" w:rsidR="00EB6B5D" w:rsidRDefault="00000000">
          <w:pPr>
            <w:pStyle w:val="TOC2"/>
            <w:tabs>
              <w:tab w:val="right" w:leader="dot" w:pos="10790"/>
            </w:tabs>
            <w:rPr>
              <w:noProof/>
            </w:rPr>
          </w:pPr>
          <w:hyperlink w:anchor="_Toc176864513" w:history="1">
            <w:r w:rsidR="00EB6B5D" w:rsidRPr="00633202">
              <w:rPr>
                <w:rStyle w:val="Hyperlink"/>
                <w:noProof/>
              </w:rPr>
              <w:t>E97 Valeur monétaire</w:t>
            </w:r>
            <w:r w:rsidR="00EB6B5D">
              <w:rPr>
                <w:noProof/>
                <w:webHidden/>
              </w:rPr>
              <w:tab/>
            </w:r>
            <w:r w:rsidR="00EB6B5D">
              <w:rPr>
                <w:noProof/>
                <w:webHidden/>
              </w:rPr>
              <w:fldChar w:fldCharType="begin"/>
            </w:r>
            <w:r w:rsidR="00EB6B5D">
              <w:rPr>
                <w:noProof/>
                <w:webHidden/>
              </w:rPr>
              <w:instrText xml:space="preserve"> PAGEREF _Toc176864513 \h </w:instrText>
            </w:r>
            <w:r w:rsidR="00EB6B5D">
              <w:rPr>
                <w:noProof/>
                <w:webHidden/>
              </w:rPr>
            </w:r>
            <w:r w:rsidR="00EB6B5D">
              <w:rPr>
                <w:noProof/>
                <w:webHidden/>
              </w:rPr>
              <w:fldChar w:fldCharType="separate"/>
            </w:r>
            <w:r w:rsidR="00010123">
              <w:rPr>
                <w:noProof/>
                <w:webHidden/>
              </w:rPr>
              <w:t>171</w:t>
            </w:r>
            <w:r w:rsidR="00EB6B5D">
              <w:rPr>
                <w:noProof/>
                <w:webHidden/>
              </w:rPr>
              <w:fldChar w:fldCharType="end"/>
            </w:r>
          </w:hyperlink>
        </w:p>
        <w:p w14:paraId="085352DE" w14:textId="489B266C" w:rsidR="00EB6B5D" w:rsidRDefault="00000000">
          <w:pPr>
            <w:pStyle w:val="TOC2"/>
            <w:tabs>
              <w:tab w:val="right" w:leader="dot" w:pos="10790"/>
            </w:tabs>
            <w:rPr>
              <w:noProof/>
            </w:rPr>
          </w:pPr>
          <w:hyperlink w:anchor="_Toc176864514" w:history="1">
            <w:r w:rsidR="00EB6B5D" w:rsidRPr="00633202">
              <w:rPr>
                <w:rStyle w:val="Hyperlink"/>
                <w:noProof/>
              </w:rPr>
              <w:t>E98 Unité monétaire</w:t>
            </w:r>
            <w:r w:rsidR="00EB6B5D">
              <w:rPr>
                <w:noProof/>
                <w:webHidden/>
              </w:rPr>
              <w:tab/>
            </w:r>
            <w:r w:rsidR="00EB6B5D">
              <w:rPr>
                <w:noProof/>
                <w:webHidden/>
              </w:rPr>
              <w:fldChar w:fldCharType="begin"/>
            </w:r>
            <w:r w:rsidR="00EB6B5D">
              <w:rPr>
                <w:noProof/>
                <w:webHidden/>
              </w:rPr>
              <w:instrText xml:space="preserve"> PAGEREF _Toc176864514 \h </w:instrText>
            </w:r>
            <w:r w:rsidR="00EB6B5D">
              <w:rPr>
                <w:noProof/>
                <w:webHidden/>
              </w:rPr>
            </w:r>
            <w:r w:rsidR="00EB6B5D">
              <w:rPr>
                <w:noProof/>
                <w:webHidden/>
              </w:rPr>
              <w:fldChar w:fldCharType="separate"/>
            </w:r>
            <w:r w:rsidR="00010123">
              <w:rPr>
                <w:noProof/>
                <w:webHidden/>
              </w:rPr>
              <w:t>172</w:t>
            </w:r>
            <w:r w:rsidR="00EB6B5D">
              <w:rPr>
                <w:noProof/>
                <w:webHidden/>
              </w:rPr>
              <w:fldChar w:fldCharType="end"/>
            </w:r>
          </w:hyperlink>
        </w:p>
        <w:p w14:paraId="7F9EC199" w14:textId="2BD379F0" w:rsidR="00EB6B5D" w:rsidRDefault="00000000">
          <w:pPr>
            <w:pStyle w:val="TOC2"/>
            <w:tabs>
              <w:tab w:val="right" w:leader="dot" w:pos="10790"/>
            </w:tabs>
            <w:rPr>
              <w:noProof/>
            </w:rPr>
          </w:pPr>
          <w:hyperlink w:anchor="_Toc176864515" w:history="1">
            <w:r w:rsidR="00EB6B5D" w:rsidRPr="00633202">
              <w:rPr>
                <w:rStyle w:val="Hyperlink"/>
                <w:noProof/>
              </w:rPr>
              <w:t>E99 Modèle de produit</w:t>
            </w:r>
            <w:r w:rsidR="00EB6B5D">
              <w:rPr>
                <w:noProof/>
                <w:webHidden/>
              </w:rPr>
              <w:tab/>
            </w:r>
            <w:r w:rsidR="00EB6B5D">
              <w:rPr>
                <w:noProof/>
                <w:webHidden/>
              </w:rPr>
              <w:fldChar w:fldCharType="begin"/>
            </w:r>
            <w:r w:rsidR="00EB6B5D">
              <w:rPr>
                <w:noProof/>
                <w:webHidden/>
              </w:rPr>
              <w:instrText xml:space="preserve"> PAGEREF _Toc176864515 \h </w:instrText>
            </w:r>
            <w:r w:rsidR="00EB6B5D">
              <w:rPr>
                <w:noProof/>
                <w:webHidden/>
              </w:rPr>
            </w:r>
            <w:r w:rsidR="00EB6B5D">
              <w:rPr>
                <w:noProof/>
                <w:webHidden/>
              </w:rPr>
              <w:fldChar w:fldCharType="separate"/>
            </w:r>
            <w:r w:rsidR="00010123">
              <w:rPr>
                <w:noProof/>
                <w:webHidden/>
              </w:rPr>
              <w:t>172</w:t>
            </w:r>
            <w:r w:rsidR="00EB6B5D">
              <w:rPr>
                <w:noProof/>
                <w:webHidden/>
              </w:rPr>
              <w:fldChar w:fldCharType="end"/>
            </w:r>
          </w:hyperlink>
        </w:p>
        <w:p w14:paraId="0875F835" w14:textId="0746903A" w:rsidR="00EB6B5D" w:rsidRDefault="00000000">
          <w:pPr>
            <w:pStyle w:val="TOC1"/>
            <w:tabs>
              <w:tab w:val="right" w:leader="dot" w:pos="10790"/>
            </w:tabs>
            <w:rPr>
              <w:noProof/>
            </w:rPr>
          </w:pPr>
          <w:hyperlink w:anchor="_Toc176864516" w:history="1">
            <w:r w:rsidR="00EB6B5D" w:rsidRPr="00633202">
              <w:rPr>
                <w:rStyle w:val="Hyperlink"/>
                <w:noProof/>
              </w:rPr>
              <w:t>Déclaration des propriétés du CIDOC CRM</w:t>
            </w:r>
            <w:r w:rsidR="00EB6B5D">
              <w:rPr>
                <w:noProof/>
                <w:webHidden/>
              </w:rPr>
              <w:tab/>
            </w:r>
            <w:r w:rsidR="00EB6B5D">
              <w:rPr>
                <w:noProof/>
                <w:webHidden/>
              </w:rPr>
              <w:fldChar w:fldCharType="begin"/>
            </w:r>
            <w:r w:rsidR="00EB6B5D">
              <w:rPr>
                <w:noProof/>
                <w:webHidden/>
              </w:rPr>
              <w:instrText xml:space="preserve"> PAGEREF _Toc176864516 \h </w:instrText>
            </w:r>
            <w:r w:rsidR="00EB6B5D">
              <w:rPr>
                <w:noProof/>
                <w:webHidden/>
              </w:rPr>
            </w:r>
            <w:r w:rsidR="00EB6B5D">
              <w:rPr>
                <w:noProof/>
                <w:webHidden/>
              </w:rPr>
              <w:fldChar w:fldCharType="separate"/>
            </w:r>
            <w:r w:rsidR="00010123">
              <w:rPr>
                <w:noProof/>
                <w:webHidden/>
              </w:rPr>
              <w:t>173</w:t>
            </w:r>
            <w:r w:rsidR="00EB6B5D">
              <w:rPr>
                <w:noProof/>
                <w:webHidden/>
              </w:rPr>
              <w:fldChar w:fldCharType="end"/>
            </w:r>
          </w:hyperlink>
        </w:p>
        <w:p w14:paraId="30BFB2D7" w14:textId="5E3F677A" w:rsidR="00EB6B5D" w:rsidRDefault="00000000">
          <w:pPr>
            <w:pStyle w:val="TOC2"/>
            <w:tabs>
              <w:tab w:val="right" w:leader="dot" w:pos="10790"/>
            </w:tabs>
            <w:rPr>
              <w:noProof/>
            </w:rPr>
          </w:pPr>
          <w:hyperlink w:anchor="_Toc176864517" w:history="1">
            <w:r w:rsidR="00EB6B5D" w:rsidRPr="00633202">
              <w:rPr>
                <w:rStyle w:val="Hyperlink"/>
                <w:noProof/>
              </w:rPr>
              <w:t>P1 est identifié par (identifie)</w:t>
            </w:r>
            <w:r w:rsidR="00EB6B5D">
              <w:rPr>
                <w:noProof/>
                <w:webHidden/>
              </w:rPr>
              <w:tab/>
            </w:r>
            <w:r w:rsidR="00EB6B5D">
              <w:rPr>
                <w:noProof/>
                <w:webHidden/>
              </w:rPr>
              <w:fldChar w:fldCharType="begin"/>
            </w:r>
            <w:r w:rsidR="00EB6B5D">
              <w:rPr>
                <w:noProof/>
                <w:webHidden/>
              </w:rPr>
              <w:instrText xml:space="preserve"> PAGEREF _Toc176864517 \h </w:instrText>
            </w:r>
            <w:r w:rsidR="00EB6B5D">
              <w:rPr>
                <w:noProof/>
                <w:webHidden/>
              </w:rPr>
            </w:r>
            <w:r w:rsidR="00EB6B5D">
              <w:rPr>
                <w:noProof/>
                <w:webHidden/>
              </w:rPr>
              <w:fldChar w:fldCharType="separate"/>
            </w:r>
            <w:r w:rsidR="00010123">
              <w:rPr>
                <w:noProof/>
                <w:webHidden/>
              </w:rPr>
              <w:t>174</w:t>
            </w:r>
            <w:r w:rsidR="00EB6B5D">
              <w:rPr>
                <w:noProof/>
                <w:webHidden/>
              </w:rPr>
              <w:fldChar w:fldCharType="end"/>
            </w:r>
          </w:hyperlink>
        </w:p>
        <w:p w14:paraId="453CB4AD" w14:textId="3EF31087" w:rsidR="00EB6B5D" w:rsidRDefault="00000000">
          <w:pPr>
            <w:pStyle w:val="TOC2"/>
            <w:tabs>
              <w:tab w:val="right" w:leader="dot" w:pos="10790"/>
            </w:tabs>
            <w:rPr>
              <w:noProof/>
            </w:rPr>
          </w:pPr>
          <w:hyperlink w:anchor="_Toc176864518" w:history="1">
            <w:r w:rsidR="00EB6B5D" w:rsidRPr="00633202">
              <w:rPr>
                <w:rStyle w:val="Hyperlink"/>
                <w:noProof/>
              </w:rPr>
              <w:t>P2 a pour type (est le type de)</w:t>
            </w:r>
            <w:r w:rsidR="00EB6B5D">
              <w:rPr>
                <w:noProof/>
                <w:webHidden/>
              </w:rPr>
              <w:tab/>
            </w:r>
            <w:r w:rsidR="00EB6B5D">
              <w:rPr>
                <w:noProof/>
                <w:webHidden/>
              </w:rPr>
              <w:fldChar w:fldCharType="begin"/>
            </w:r>
            <w:r w:rsidR="00EB6B5D">
              <w:rPr>
                <w:noProof/>
                <w:webHidden/>
              </w:rPr>
              <w:instrText xml:space="preserve"> PAGEREF _Toc176864518 \h </w:instrText>
            </w:r>
            <w:r w:rsidR="00EB6B5D">
              <w:rPr>
                <w:noProof/>
                <w:webHidden/>
              </w:rPr>
            </w:r>
            <w:r w:rsidR="00EB6B5D">
              <w:rPr>
                <w:noProof/>
                <w:webHidden/>
              </w:rPr>
              <w:fldChar w:fldCharType="separate"/>
            </w:r>
            <w:r w:rsidR="00010123">
              <w:rPr>
                <w:noProof/>
                <w:webHidden/>
              </w:rPr>
              <w:t>175</w:t>
            </w:r>
            <w:r w:rsidR="00EB6B5D">
              <w:rPr>
                <w:noProof/>
                <w:webHidden/>
              </w:rPr>
              <w:fldChar w:fldCharType="end"/>
            </w:r>
          </w:hyperlink>
        </w:p>
        <w:p w14:paraId="44EC3121" w14:textId="30033611" w:rsidR="00EB6B5D" w:rsidRDefault="00000000">
          <w:pPr>
            <w:pStyle w:val="TOC2"/>
            <w:tabs>
              <w:tab w:val="right" w:leader="dot" w:pos="10790"/>
            </w:tabs>
            <w:rPr>
              <w:noProof/>
            </w:rPr>
          </w:pPr>
          <w:hyperlink w:anchor="_Toc176864519" w:history="1">
            <w:r w:rsidR="00EB6B5D" w:rsidRPr="00633202">
              <w:rPr>
                <w:rStyle w:val="Hyperlink"/>
                <w:noProof/>
              </w:rPr>
              <w:t>P3 a pour note</w:t>
            </w:r>
            <w:r w:rsidR="00EB6B5D">
              <w:rPr>
                <w:noProof/>
                <w:webHidden/>
              </w:rPr>
              <w:tab/>
            </w:r>
            <w:r w:rsidR="00EB6B5D">
              <w:rPr>
                <w:noProof/>
                <w:webHidden/>
              </w:rPr>
              <w:fldChar w:fldCharType="begin"/>
            </w:r>
            <w:r w:rsidR="00EB6B5D">
              <w:rPr>
                <w:noProof/>
                <w:webHidden/>
              </w:rPr>
              <w:instrText xml:space="preserve"> PAGEREF _Toc176864519 \h </w:instrText>
            </w:r>
            <w:r w:rsidR="00EB6B5D">
              <w:rPr>
                <w:noProof/>
                <w:webHidden/>
              </w:rPr>
            </w:r>
            <w:r w:rsidR="00EB6B5D">
              <w:rPr>
                <w:noProof/>
                <w:webHidden/>
              </w:rPr>
              <w:fldChar w:fldCharType="separate"/>
            </w:r>
            <w:r w:rsidR="00010123">
              <w:rPr>
                <w:noProof/>
                <w:webHidden/>
              </w:rPr>
              <w:t>177</w:t>
            </w:r>
            <w:r w:rsidR="00EB6B5D">
              <w:rPr>
                <w:noProof/>
                <w:webHidden/>
              </w:rPr>
              <w:fldChar w:fldCharType="end"/>
            </w:r>
          </w:hyperlink>
        </w:p>
        <w:p w14:paraId="3425A87D" w14:textId="11E27983" w:rsidR="00EB6B5D" w:rsidRDefault="00000000">
          <w:pPr>
            <w:pStyle w:val="TOC2"/>
            <w:tabs>
              <w:tab w:val="right" w:leader="dot" w:pos="10790"/>
            </w:tabs>
            <w:rPr>
              <w:noProof/>
            </w:rPr>
          </w:pPr>
          <w:hyperlink w:anchor="_Toc176864520" w:history="1">
            <w:r w:rsidR="00EB6B5D" w:rsidRPr="00633202">
              <w:rPr>
                <w:rStyle w:val="Hyperlink"/>
                <w:noProof/>
              </w:rPr>
              <w:t>P4 a pour intervalle temporel (est l’intervalle temporel de)</w:t>
            </w:r>
            <w:r w:rsidR="00EB6B5D">
              <w:rPr>
                <w:noProof/>
                <w:webHidden/>
              </w:rPr>
              <w:tab/>
            </w:r>
            <w:r w:rsidR="00EB6B5D">
              <w:rPr>
                <w:noProof/>
                <w:webHidden/>
              </w:rPr>
              <w:fldChar w:fldCharType="begin"/>
            </w:r>
            <w:r w:rsidR="00EB6B5D">
              <w:rPr>
                <w:noProof/>
                <w:webHidden/>
              </w:rPr>
              <w:instrText xml:space="preserve"> PAGEREF _Toc176864520 \h </w:instrText>
            </w:r>
            <w:r w:rsidR="00EB6B5D">
              <w:rPr>
                <w:noProof/>
                <w:webHidden/>
              </w:rPr>
            </w:r>
            <w:r w:rsidR="00EB6B5D">
              <w:rPr>
                <w:noProof/>
                <w:webHidden/>
              </w:rPr>
              <w:fldChar w:fldCharType="separate"/>
            </w:r>
            <w:r w:rsidR="00010123">
              <w:rPr>
                <w:noProof/>
                <w:webHidden/>
              </w:rPr>
              <w:t>178</w:t>
            </w:r>
            <w:r w:rsidR="00EB6B5D">
              <w:rPr>
                <w:noProof/>
                <w:webHidden/>
              </w:rPr>
              <w:fldChar w:fldCharType="end"/>
            </w:r>
          </w:hyperlink>
        </w:p>
        <w:p w14:paraId="23BD93A9" w14:textId="47028650" w:rsidR="00EB6B5D" w:rsidRDefault="00000000">
          <w:pPr>
            <w:pStyle w:val="TOC2"/>
            <w:tabs>
              <w:tab w:val="right" w:leader="dot" w:pos="10790"/>
            </w:tabs>
            <w:rPr>
              <w:noProof/>
            </w:rPr>
          </w:pPr>
          <w:hyperlink w:anchor="_Toc176864521" w:history="1">
            <w:r w:rsidR="00EB6B5D" w:rsidRPr="00633202">
              <w:rPr>
                <w:rStyle w:val="Hyperlink"/>
                <w:noProof/>
              </w:rPr>
              <w:t>P5 comprend (fait partie de)</w:t>
            </w:r>
            <w:r w:rsidR="00EB6B5D">
              <w:rPr>
                <w:noProof/>
                <w:webHidden/>
              </w:rPr>
              <w:tab/>
            </w:r>
            <w:r w:rsidR="00EB6B5D">
              <w:rPr>
                <w:noProof/>
                <w:webHidden/>
              </w:rPr>
              <w:fldChar w:fldCharType="begin"/>
            </w:r>
            <w:r w:rsidR="00EB6B5D">
              <w:rPr>
                <w:noProof/>
                <w:webHidden/>
              </w:rPr>
              <w:instrText xml:space="preserve"> PAGEREF _Toc176864521 \h </w:instrText>
            </w:r>
            <w:r w:rsidR="00EB6B5D">
              <w:rPr>
                <w:noProof/>
                <w:webHidden/>
              </w:rPr>
            </w:r>
            <w:r w:rsidR="00EB6B5D">
              <w:rPr>
                <w:noProof/>
                <w:webHidden/>
              </w:rPr>
              <w:fldChar w:fldCharType="separate"/>
            </w:r>
            <w:r w:rsidR="00010123">
              <w:rPr>
                <w:noProof/>
                <w:webHidden/>
              </w:rPr>
              <w:t>179</w:t>
            </w:r>
            <w:r w:rsidR="00EB6B5D">
              <w:rPr>
                <w:noProof/>
                <w:webHidden/>
              </w:rPr>
              <w:fldChar w:fldCharType="end"/>
            </w:r>
          </w:hyperlink>
        </w:p>
        <w:p w14:paraId="3AD6827A" w14:textId="3CF34BCB" w:rsidR="00EB6B5D" w:rsidRDefault="00000000">
          <w:pPr>
            <w:pStyle w:val="TOC2"/>
            <w:tabs>
              <w:tab w:val="right" w:leader="dot" w:pos="10790"/>
            </w:tabs>
            <w:rPr>
              <w:noProof/>
            </w:rPr>
          </w:pPr>
          <w:hyperlink w:anchor="_Toc176864522" w:history="1">
            <w:r w:rsidR="00EB6B5D" w:rsidRPr="00633202">
              <w:rPr>
                <w:rStyle w:val="Hyperlink"/>
                <w:noProof/>
              </w:rPr>
              <w:t>P7 a eu lieu dans (a été témoin de)</w:t>
            </w:r>
            <w:r w:rsidR="00EB6B5D">
              <w:rPr>
                <w:noProof/>
                <w:webHidden/>
              </w:rPr>
              <w:tab/>
            </w:r>
            <w:r w:rsidR="00EB6B5D">
              <w:rPr>
                <w:noProof/>
                <w:webHidden/>
              </w:rPr>
              <w:fldChar w:fldCharType="begin"/>
            </w:r>
            <w:r w:rsidR="00EB6B5D">
              <w:rPr>
                <w:noProof/>
                <w:webHidden/>
              </w:rPr>
              <w:instrText xml:space="preserve"> PAGEREF _Toc176864522 \h </w:instrText>
            </w:r>
            <w:r w:rsidR="00EB6B5D">
              <w:rPr>
                <w:noProof/>
                <w:webHidden/>
              </w:rPr>
            </w:r>
            <w:r w:rsidR="00EB6B5D">
              <w:rPr>
                <w:noProof/>
                <w:webHidden/>
              </w:rPr>
              <w:fldChar w:fldCharType="separate"/>
            </w:r>
            <w:r w:rsidR="00010123">
              <w:rPr>
                <w:noProof/>
                <w:webHidden/>
              </w:rPr>
              <w:t>180</w:t>
            </w:r>
            <w:r w:rsidR="00EB6B5D">
              <w:rPr>
                <w:noProof/>
                <w:webHidden/>
              </w:rPr>
              <w:fldChar w:fldCharType="end"/>
            </w:r>
          </w:hyperlink>
        </w:p>
        <w:p w14:paraId="5258521E" w14:textId="55C5F16B" w:rsidR="00EB6B5D" w:rsidRDefault="00000000">
          <w:pPr>
            <w:pStyle w:val="TOC2"/>
            <w:tabs>
              <w:tab w:val="right" w:leader="dot" w:pos="10790"/>
            </w:tabs>
            <w:rPr>
              <w:noProof/>
            </w:rPr>
          </w:pPr>
          <w:hyperlink w:anchor="_Toc176864523" w:history="1">
            <w:r w:rsidR="00EB6B5D" w:rsidRPr="00633202">
              <w:rPr>
                <w:rStyle w:val="Hyperlink"/>
                <w:noProof/>
              </w:rPr>
              <w:t>P8 a eu lieu à (a été témoin de)</w:t>
            </w:r>
            <w:r w:rsidR="00EB6B5D">
              <w:rPr>
                <w:noProof/>
                <w:webHidden/>
              </w:rPr>
              <w:tab/>
            </w:r>
            <w:r w:rsidR="00EB6B5D">
              <w:rPr>
                <w:noProof/>
                <w:webHidden/>
              </w:rPr>
              <w:fldChar w:fldCharType="begin"/>
            </w:r>
            <w:r w:rsidR="00EB6B5D">
              <w:rPr>
                <w:noProof/>
                <w:webHidden/>
              </w:rPr>
              <w:instrText xml:space="preserve"> PAGEREF _Toc176864523 \h </w:instrText>
            </w:r>
            <w:r w:rsidR="00EB6B5D">
              <w:rPr>
                <w:noProof/>
                <w:webHidden/>
              </w:rPr>
            </w:r>
            <w:r w:rsidR="00EB6B5D">
              <w:rPr>
                <w:noProof/>
                <w:webHidden/>
              </w:rPr>
              <w:fldChar w:fldCharType="separate"/>
            </w:r>
            <w:r w:rsidR="00010123">
              <w:rPr>
                <w:noProof/>
                <w:webHidden/>
              </w:rPr>
              <w:t>181</w:t>
            </w:r>
            <w:r w:rsidR="00EB6B5D">
              <w:rPr>
                <w:noProof/>
                <w:webHidden/>
              </w:rPr>
              <w:fldChar w:fldCharType="end"/>
            </w:r>
          </w:hyperlink>
        </w:p>
        <w:p w14:paraId="215333E6" w14:textId="0CCDB9A6" w:rsidR="00EB6B5D" w:rsidRDefault="00000000">
          <w:pPr>
            <w:pStyle w:val="TOC2"/>
            <w:tabs>
              <w:tab w:val="right" w:leader="dot" w:pos="10790"/>
            </w:tabs>
            <w:rPr>
              <w:noProof/>
            </w:rPr>
          </w:pPr>
          <w:hyperlink w:anchor="_Toc176864524" w:history="1">
            <w:r w:rsidR="00EB6B5D" w:rsidRPr="00633202">
              <w:rPr>
                <w:rStyle w:val="Hyperlink"/>
                <w:noProof/>
              </w:rPr>
              <w:t>P9 comprend (fait partie de)</w:t>
            </w:r>
            <w:r w:rsidR="00EB6B5D">
              <w:rPr>
                <w:noProof/>
                <w:webHidden/>
              </w:rPr>
              <w:tab/>
            </w:r>
            <w:r w:rsidR="00EB6B5D">
              <w:rPr>
                <w:noProof/>
                <w:webHidden/>
              </w:rPr>
              <w:fldChar w:fldCharType="begin"/>
            </w:r>
            <w:r w:rsidR="00EB6B5D">
              <w:rPr>
                <w:noProof/>
                <w:webHidden/>
              </w:rPr>
              <w:instrText xml:space="preserve"> PAGEREF _Toc176864524 \h </w:instrText>
            </w:r>
            <w:r w:rsidR="00EB6B5D">
              <w:rPr>
                <w:noProof/>
                <w:webHidden/>
              </w:rPr>
            </w:r>
            <w:r w:rsidR="00EB6B5D">
              <w:rPr>
                <w:noProof/>
                <w:webHidden/>
              </w:rPr>
              <w:fldChar w:fldCharType="separate"/>
            </w:r>
            <w:r w:rsidR="00010123">
              <w:rPr>
                <w:noProof/>
                <w:webHidden/>
              </w:rPr>
              <w:t>182</w:t>
            </w:r>
            <w:r w:rsidR="00EB6B5D">
              <w:rPr>
                <w:noProof/>
                <w:webHidden/>
              </w:rPr>
              <w:fldChar w:fldCharType="end"/>
            </w:r>
          </w:hyperlink>
        </w:p>
        <w:p w14:paraId="0FFAC0B8" w14:textId="02B5A736" w:rsidR="00EB6B5D" w:rsidRDefault="00000000">
          <w:pPr>
            <w:pStyle w:val="TOC2"/>
            <w:tabs>
              <w:tab w:val="right" w:leader="dot" w:pos="10790"/>
            </w:tabs>
            <w:rPr>
              <w:noProof/>
            </w:rPr>
          </w:pPr>
          <w:hyperlink w:anchor="_Toc176864525" w:history="1">
            <w:r w:rsidR="00EB6B5D" w:rsidRPr="00633202">
              <w:rPr>
                <w:rStyle w:val="Hyperlink"/>
                <w:noProof/>
              </w:rPr>
              <w:t>P10 s’insère dans (contient)</w:t>
            </w:r>
            <w:r w:rsidR="00EB6B5D">
              <w:rPr>
                <w:noProof/>
                <w:webHidden/>
              </w:rPr>
              <w:tab/>
            </w:r>
            <w:r w:rsidR="00EB6B5D">
              <w:rPr>
                <w:noProof/>
                <w:webHidden/>
              </w:rPr>
              <w:fldChar w:fldCharType="begin"/>
            </w:r>
            <w:r w:rsidR="00EB6B5D">
              <w:rPr>
                <w:noProof/>
                <w:webHidden/>
              </w:rPr>
              <w:instrText xml:space="preserve"> PAGEREF _Toc176864525 \h </w:instrText>
            </w:r>
            <w:r w:rsidR="00EB6B5D">
              <w:rPr>
                <w:noProof/>
                <w:webHidden/>
              </w:rPr>
            </w:r>
            <w:r w:rsidR="00EB6B5D">
              <w:rPr>
                <w:noProof/>
                <w:webHidden/>
              </w:rPr>
              <w:fldChar w:fldCharType="separate"/>
            </w:r>
            <w:r w:rsidR="00010123">
              <w:rPr>
                <w:noProof/>
                <w:webHidden/>
              </w:rPr>
              <w:t>183</w:t>
            </w:r>
            <w:r w:rsidR="00EB6B5D">
              <w:rPr>
                <w:noProof/>
                <w:webHidden/>
              </w:rPr>
              <w:fldChar w:fldCharType="end"/>
            </w:r>
          </w:hyperlink>
        </w:p>
        <w:p w14:paraId="21C0153B" w14:textId="5C3B58F2" w:rsidR="00EB6B5D" w:rsidRDefault="00000000">
          <w:pPr>
            <w:pStyle w:val="TOC2"/>
            <w:tabs>
              <w:tab w:val="right" w:leader="dot" w:pos="10790"/>
            </w:tabs>
            <w:rPr>
              <w:noProof/>
            </w:rPr>
          </w:pPr>
          <w:hyperlink w:anchor="_Toc176864526" w:history="1">
            <w:r w:rsidR="00EB6B5D" w:rsidRPr="00633202">
              <w:rPr>
                <w:rStyle w:val="Hyperlink"/>
                <w:noProof/>
              </w:rPr>
              <w:t>P11 a eu pour actant participant (a participé à)</w:t>
            </w:r>
            <w:r w:rsidR="00EB6B5D">
              <w:rPr>
                <w:noProof/>
                <w:webHidden/>
              </w:rPr>
              <w:tab/>
            </w:r>
            <w:r w:rsidR="00EB6B5D">
              <w:rPr>
                <w:noProof/>
                <w:webHidden/>
              </w:rPr>
              <w:fldChar w:fldCharType="begin"/>
            </w:r>
            <w:r w:rsidR="00EB6B5D">
              <w:rPr>
                <w:noProof/>
                <w:webHidden/>
              </w:rPr>
              <w:instrText xml:space="preserve"> PAGEREF _Toc176864526 \h </w:instrText>
            </w:r>
            <w:r w:rsidR="00EB6B5D">
              <w:rPr>
                <w:noProof/>
                <w:webHidden/>
              </w:rPr>
            </w:r>
            <w:r w:rsidR="00EB6B5D">
              <w:rPr>
                <w:noProof/>
                <w:webHidden/>
              </w:rPr>
              <w:fldChar w:fldCharType="separate"/>
            </w:r>
            <w:r w:rsidR="00010123">
              <w:rPr>
                <w:noProof/>
                <w:webHidden/>
              </w:rPr>
              <w:t>184</w:t>
            </w:r>
            <w:r w:rsidR="00EB6B5D">
              <w:rPr>
                <w:noProof/>
                <w:webHidden/>
              </w:rPr>
              <w:fldChar w:fldCharType="end"/>
            </w:r>
          </w:hyperlink>
        </w:p>
        <w:p w14:paraId="60FB4FB9" w14:textId="2AD0A86A" w:rsidR="00EB6B5D" w:rsidRDefault="00000000">
          <w:pPr>
            <w:pStyle w:val="TOC2"/>
            <w:tabs>
              <w:tab w:val="right" w:leader="dot" w:pos="10790"/>
            </w:tabs>
            <w:rPr>
              <w:noProof/>
            </w:rPr>
          </w:pPr>
          <w:hyperlink w:anchor="_Toc176864527" w:history="1">
            <w:r w:rsidR="00EB6B5D" w:rsidRPr="00633202">
              <w:rPr>
                <w:rStyle w:val="Hyperlink"/>
                <w:noProof/>
              </w:rPr>
              <w:t>P12 a eu lieu en présence de (a été présent à)</w:t>
            </w:r>
            <w:r w:rsidR="00EB6B5D">
              <w:rPr>
                <w:noProof/>
                <w:webHidden/>
              </w:rPr>
              <w:tab/>
            </w:r>
            <w:r w:rsidR="00EB6B5D">
              <w:rPr>
                <w:noProof/>
                <w:webHidden/>
              </w:rPr>
              <w:fldChar w:fldCharType="begin"/>
            </w:r>
            <w:r w:rsidR="00EB6B5D">
              <w:rPr>
                <w:noProof/>
                <w:webHidden/>
              </w:rPr>
              <w:instrText xml:space="preserve"> PAGEREF _Toc176864527 \h </w:instrText>
            </w:r>
            <w:r w:rsidR="00EB6B5D">
              <w:rPr>
                <w:noProof/>
                <w:webHidden/>
              </w:rPr>
            </w:r>
            <w:r w:rsidR="00EB6B5D">
              <w:rPr>
                <w:noProof/>
                <w:webHidden/>
              </w:rPr>
              <w:fldChar w:fldCharType="separate"/>
            </w:r>
            <w:r w:rsidR="00010123">
              <w:rPr>
                <w:noProof/>
                <w:webHidden/>
              </w:rPr>
              <w:t>185</w:t>
            </w:r>
            <w:r w:rsidR="00EB6B5D">
              <w:rPr>
                <w:noProof/>
                <w:webHidden/>
              </w:rPr>
              <w:fldChar w:fldCharType="end"/>
            </w:r>
          </w:hyperlink>
        </w:p>
        <w:p w14:paraId="242E5D80" w14:textId="36E48352" w:rsidR="00EB6B5D" w:rsidRDefault="00000000">
          <w:pPr>
            <w:pStyle w:val="TOC2"/>
            <w:tabs>
              <w:tab w:val="right" w:leader="dot" w:pos="10790"/>
            </w:tabs>
            <w:rPr>
              <w:noProof/>
            </w:rPr>
          </w:pPr>
          <w:hyperlink w:anchor="_Toc176864528" w:history="1">
            <w:r w:rsidR="00EB6B5D" w:rsidRPr="00633202">
              <w:rPr>
                <w:rStyle w:val="Hyperlink"/>
                <w:noProof/>
              </w:rPr>
              <w:t>P13 a détruit (a été détruit par)</w:t>
            </w:r>
            <w:r w:rsidR="00EB6B5D">
              <w:rPr>
                <w:noProof/>
                <w:webHidden/>
              </w:rPr>
              <w:tab/>
            </w:r>
            <w:r w:rsidR="00EB6B5D">
              <w:rPr>
                <w:noProof/>
                <w:webHidden/>
              </w:rPr>
              <w:fldChar w:fldCharType="begin"/>
            </w:r>
            <w:r w:rsidR="00EB6B5D">
              <w:rPr>
                <w:noProof/>
                <w:webHidden/>
              </w:rPr>
              <w:instrText xml:space="preserve"> PAGEREF _Toc176864528 \h </w:instrText>
            </w:r>
            <w:r w:rsidR="00EB6B5D">
              <w:rPr>
                <w:noProof/>
                <w:webHidden/>
              </w:rPr>
            </w:r>
            <w:r w:rsidR="00EB6B5D">
              <w:rPr>
                <w:noProof/>
                <w:webHidden/>
              </w:rPr>
              <w:fldChar w:fldCharType="separate"/>
            </w:r>
            <w:r w:rsidR="00010123">
              <w:rPr>
                <w:noProof/>
                <w:webHidden/>
              </w:rPr>
              <w:t>187</w:t>
            </w:r>
            <w:r w:rsidR="00EB6B5D">
              <w:rPr>
                <w:noProof/>
                <w:webHidden/>
              </w:rPr>
              <w:fldChar w:fldCharType="end"/>
            </w:r>
          </w:hyperlink>
        </w:p>
        <w:p w14:paraId="21C5C38E" w14:textId="378F5BB3" w:rsidR="00EB6B5D" w:rsidRDefault="00000000">
          <w:pPr>
            <w:pStyle w:val="TOC2"/>
            <w:tabs>
              <w:tab w:val="right" w:leader="dot" w:pos="10790"/>
            </w:tabs>
            <w:rPr>
              <w:noProof/>
            </w:rPr>
          </w:pPr>
          <w:hyperlink w:anchor="_Toc176864529" w:history="1">
            <w:r w:rsidR="00EB6B5D" w:rsidRPr="00633202">
              <w:rPr>
                <w:rStyle w:val="Hyperlink"/>
                <w:noProof/>
              </w:rPr>
              <w:t>P14 a été effectué par (a effectué)</w:t>
            </w:r>
            <w:r w:rsidR="00EB6B5D">
              <w:rPr>
                <w:noProof/>
                <w:webHidden/>
              </w:rPr>
              <w:tab/>
            </w:r>
            <w:r w:rsidR="00EB6B5D">
              <w:rPr>
                <w:noProof/>
                <w:webHidden/>
              </w:rPr>
              <w:fldChar w:fldCharType="begin"/>
            </w:r>
            <w:r w:rsidR="00EB6B5D">
              <w:rPr>
                <w:noProof/>
                <w:webHidden/>
              </w:rPr>
              <w:instrText xml:space="preserve"> PAGEREF _Toc176864529 \h </w:instrText>
            </w:r>
            <w:r w:rsidR="00EB6B5D">
              <w:rPr>
                <w:noProof/>
                <w:webHidden/>
              </w:rPr>
            </w:r>
            <w:r w:rsidR="00EB6B5D">
              <w:rPr>
                <w:noProof/>
                <w:webHidden/>
              </w:rPr>
              <w:fldChar w:fldCharType="separate"/>
            </w:r>
            <w:r w:rsidR="00010123">
              <w:rPr>
                <w:noProof/>
                <w:webHidden/>
              </w:rPr>
              <w:t>188</w:t>
            </w:r>
            <w:r w:rsidR="00EB6B5D">
              <w:rPr>
                <w:noProof/>
                <w:webHidden/>
              </w:rPr>
              <w:fldChar w:fldCharType="end"/>
            </w:r>
          </w:hyperlink>
        </w:p>
        <w:p w14:paraId="3AEBE013" w14:textId="3436A3D8" w:rsidR="00EB6B5D" w:rsidRDefault="00000000">
          <w:pPr>
            <w:pStyle w:val="TOC2"/>
            <w:tabs>
              <w:tab w:val="right" w:leader="dot" w:pos="10790"/>
            </w:tabs>
            <w:rPr>
              <w:noProof/>
            </w:rPr>
          </w:pPr>
          <w:hyperlink w:anchor="_Toc176864530" w:history="1">
            <w:r w:rsidR="00EB6B5D" w:rsidRPr="00633202">
              <w:rPr>
                <w:rStyle w:val="Hyperlink"/>
                <w:noProof/>
              </w:rPr>
              <w:t>P15 a été influencé par (a influencé)</w:t>
            </w:r>
            <w:r w:rsidR="00EB6B5D">
              <w:rPr>
                <w:noProof/>
                <w:webHidden/>
              </w:rPr>
              <w:tab/>
            </w:r>
            <w:r w:rsidR="00EB6B5D">
              <w:rPr>
                <w:noProof/>
                <w:webHidden/>
              </w:rPr>
              <w:fldChar w:fldCharType="begin"/>
            </w:r>
            <w:r w:rsidR="00EB6B5D">
              <w:rPr>
                <w:noProof/>
                <w:webHidden/>
              </w:rPr>
              <w:instrText xml:space="preserve"> PAGEREF _Toc176864530 \h </w:instrText>
            </w:r>
            <w:r w:rsidR="00EB6B5D">
              <w:rPr>
                <w:noProof/>
                <w:webHidden/>
              </w:rPr>
            </w:r>
            <w:r w:rsidR="00EB6B5D">
              <w:rPr>
                <w:noProof/>
                <w:webHidden/>
              </w:rPr>
              <w:fldChar w:fldCharType="separate"/>
            </w:r>
            <w:r w:rsidR="00010123">
              <w:rPr>
                <w:noProof/>
                <w:webHidden/>
              </w:rPr>
              <w:t>189</w:t>
            </w:r>
            <w:r w:rsidR="00EB6B5D">
              <w:rPr>
                <w:noProof/>
                <w:webHidden/>
              </w:rPr>
              <w:fldChar w:fldCharType="end"/>
            </w:r>
          </w:hyperlink>
        </w:p>
        <w:p w14:paraId="0600094E" w14:textId="1F476716" w:rsidR="00EB6B5D" w:rsidRDefault="00000000">
          <w:pPr>
            <w:pStyle w:val="TOC2"/>
            <w:tabs>
              <w:tab w:val="right" w:leader="dot" w:pos="10790"/>
            </w:tabs>
            <w:rPr>
              <w:noProof/>
            </w:rPr>
          </w:pPr>
          <w:hyperlink w:anchor="_Toc176864531" w:history="1">
            <w:r w:rsidR="00EB6B5D" w:rsidRPr="00633202">
              <w:rPr>
                <w:rStyle w:val="Hyperlink"/>
                <w:noProof/>
              </w:rPr>
              <w:t>P16 a mobilisé l’objet spécifique (a été mobilisé pour)</w:t>
            </w:r>
            <w:r w:rsidR="00EB6B5D">
              <w:rPr>
                <w:noProof/>
                <w:webHidden/>
              </w:rPr>
              <w:tab/>
            </w:r>
            <w:r w:rsidR="00EB6B5D">
              <w:rPr>
                <w:noProof/>
                <w:webHidden/>
              </w:rPr>
              <w:fldChar w:fldCharType="begin"/>
            </w:r>
            <w:r w:rsidR="00EB6B5D">
              <w:rPr>
                <w:noProof/>
                <w:webHidden/>
              </w:rPr>
              <w:instrText xml:space="preserve"> PAGEREF _Toc176864531 \h </w:instrText>
            </w:r>
            <w:r w:rsidR="00EB6B5D">
              <w:rPr>
                <w:noProof/>
                <w:webHidden/>
              </w:rPr>
            </w:r>
            <w:r w:rsidR="00EB6B5D">
              <w:rPr>
                <w:noProof/>
                <w:webHidden/>
              </w:rPr>
              <w:fldChar w:fldCharType="separate"/>
            </w:r>
            <w:r w:rsidR="00010123">
              <w:rPr>
                <w:noProof/>
                <w:webHidden/>
              </w:rPr>
              <w:t>189</w:t>
            </w:r>
            <w:r w:rsidR="00EB6B5D">
              <w:rPr>
                <w:noProof/>
                <w:webHidden/>
              </w:rPr>
              <w:fldChar w:fldCharType="end"/>
            </w:r>
          </w:hyperlink>
        </w:p>
        <w:p w14:paraId="4A71A4FD" w14:textId="70983B9B" w:rsidR="00EB6B5D" w:rsidRDefault="00000000">
          <w:pPr>
            <w:pStyle w:val="TOC2"/>
            <w:tabs>
              <w:tab w:val="right" w:leader="dot" w:pos="10790"/>
            </w:tabs>
            <w:rPr>
              <w:noProof/>
            </w:rPr>
          </w:pPr>
          <w:hyperlink w:anchor="_Toc176864532" w:history="1">
            <w:r w:rsidR="00EB6B5D" w:rsidRPr="00633202">
              <w:rPr>
                <w:rStyle w:val="Hyperlink"/>
                <w:noProof/>
              </w:rPr>
              <w:t>P17 a été motivé par (a motivé)</w:t>
            </w:r>
            <w:r w:rsidR="00EB6B5D">
              <w:rPr>
                <w:noProof/>
                <w:webHidden/>
              </w:rPr>
              <w:tab/>
            </w:r>
            <w:r w:rsidR="00EB6B5D">
              <w:rPr>
                <w:noProof/>
                <w:webHidden/>
              </w:rPr>
              <w:fldChar w:fldCharType="begin"/>
            </w:r>
            <w:r w:rsidR="00EB6B5D">
              <w:rPr>
                <w:noProof/>
                <w:webHidden/>
              </w:rPr>
              <w:instrText xml:space="preserve"> PAGEREF _Toc176864532 \h </w:instrText>
            </w:r>
            <w:r w:rsidR="00EB6B5D">
              <w:rPr>
                <w:noProof/>
                <w:webHidden/>
              </w:rPr>
            </w:r>
            <w:r w:rsidR="00EB6B5D">
              <w:rPr>
                <w:noProof/>
                <w:webHidden/>
              </w:rPr>
              <w:fldChar w:fldCharType="separate"/>
            </w:r>
            <w:r w:rsidR="00010123">
              <w:rPr>
                <w:noProof/>
                <w:webHidden/>
              </w:rPr>
              <w:t>191</w:t>
            </w:r>
            <w:r w:rsidR="00EB6B5D">
              <w:rPr>
                <w:noProof/>
                <w:webHidden/>
              </w:rPr>
              <w:fldChar w:fldCharType="end"/>
            </w:r>
          </w:hyperlink>
        </w:p>
        <w:p w14:paraId="04D36BD5" w14:textId="2606AED7" w:rsidR="00EB6B5D" w:rsidRDefault="00000000">
          <w:pPr>
            <w:pStyle w:val="TOC2"/>
            <w:tabs>
              <w:tab w:val="right" w:leader="dot" w:pos="10790"/>
            </w:tabs>
            <w:rPr>
              <w:noProof/>
            </w:rPr>
          </w:pPr>
          <w:hyperlink w:anchor="_Toc176864533" w:history="1">
            <w:r w:rsidR="00EB6B5D" w:rsidRPr="00633202">
              <w:rPr>
                <w:rStyle w:val="Hyperlink"/>
                <w:noProof/>
              </w:rPr>
              <w:t>P19 a été l’usage prévu de (a été élaboré pour)</w:t>
            </w:r>
            <w:r w:rsidR="00EB6B5D">
              <w:rPr>
                <w:noProof/>
                <w:webHidden/>
              </w:rPr>
              <w:tab/>
            </w:r>
            <w:r w:rsidR="00EB6B5D">
              <w:rPr>
                <w:noProof/>
                <w:webHidden/>
              </w:rPr>
              <w:fldChar w:fldCharType="begin"/>
            </w:r>
            <w:r w:rsidR="00EB6B5D">
              <w:rPr>
                <w:noProof/>
                <w:webHidden/>
              </w:rPr>
              <w:instrText xml:space="preserve"> PAGEREF _Toc176864533 \h </w:instrText>
            </w:r>
            <w:r w:rsidR="00EB6B5D">
              <w:rPr>
                <w:noProof/>
                <w:webHidden/>
              </w:rPr>
            </w:r>
            <w:r w:rsidR="00EB6B5D">
              <w:rPr>
                <w:noProof/>
                <w:webHidden/>
              </w:rPr>
              <w:fldChar w:fldCharType="separate"/>
            </w:r>
            <w:r w:rsidR="00010123">
              <w:rPr>
                <w:noProof/>
                <w:webHidden/>
              </w:rPr>
              <w:t>192</w:t>
            </w:r>
            <w:r w:rsidR="00EB6B5D">
              <w:rPr>
                <w:noProof/>
                <w:webHidden/>
              </w:rPr>
              <w:fldChar w:fldCharType="end"/>
            </w:r>
          </w:hyperlink>
        </w:p>
        <w:p w14:paraId="3DDC8FC3" w14:textId="45FEC9C5" w:rsidR="00EB6B5D" w:rsidRDefault="00000000">
          <w:pPr>
            <w:pStyle w:val="TOC2"/>
            <w:tabs>
              <w:tab w:val="right" w:leader="dot" w:pos="10790"/>
            </w:tabs>
            <w:rPr>
              <w:noProof/>
            </w:rPr>
          </w:pPr>
          <w:hyperlink w:anchor="_Toc176864534" w:history="1">
            <w:r w:rsidR="00EB6B5D" w:rsidRPr="00633202">
              <w:rPr>
                <w:rStyle w:val="Hyperlink"/>
                <w:noProof/>
              </w:rPr>
              <w:t>P20 a eu pour finalité spécifique (a été la finalité de)</w:t>
            </w:r>
            <w:r w:rsidR="00EB6B5D">
              <w:rPr>
                <w:noProof/>
                <w:webHidden/>
              </w:rPr>
              <w:tab/>
            </w:r>
            <w:r w:rsidR="00EB6B5D">
              <w:rPr>
                <w:noProof/>
                <w:webHidden/>
              </w:rPr>
              <w:fldChar w:fldCharType="begin"/>
            </w:r>
            <w:r w:rsidR="00EB6B5D">
              <w:rPr>
                <w:noProof/>
                <w:webHidden/>
              </w:rPr>
              <w:instrText xml:space="preserve"> PAGEREF _Toc176864534 \h </w:instrText>
            </w:r>
            <w:r w:rsidR="00EB6B5D">
              <w:rPr>
                <w:noProof/>
                <w:webHidden/>
              </w:rPr>
            </w:r>
            <w:r w:rsidR="00EB6B5D">
              <w:rPr>
                <w:noProof/>
                <w:webHidden/>
              </w:rPr>
              <w:fldChar w:fldCharType="separate"/>
            </w:r>
            <w:r w:rsidR="00010123">
              <w:rPr>
                <w:noProof/>
                <w:webHidden/>
              </w:rPr>
              <w:t>193</w:t>
            </w:r>
            <w:r w:rsidR="00EB6B5D">
              <w:rPr>
                <w:noProof/>
                <w:webHidden/>
              </w:rPr>
              <w:fldChar w:fldCharType="end"/>
            </w:r>
          </w:hyperlink>
        </w:p>
        <w:p w14:paraId="51840D52" w14:textId="47D574EE" w:rsidR="00EB6B5D" w:rsidRDefault="00000000">
          <w:pPr>
            <w:pStyle w:val="TOC2"/>
            <w:tabs>
              <w:tab w:val="right" w:leader="dot" w:pos="10790"/>
            </w:tabs>
            <w:rPr>
              <w:noProof/>
            </w:rPr>
          </w:pPr>
          <w:hyperlink w:anchor="_Toc176864535" w:history="1">
            <w:r w:rsidR="00EB6B5D" w:rsidRPr="00633202">
              <w:rPr>
                <w:rStyle w:val="Hyperlink"/>
                <w:noProof/>
              </w:rPr>
              <w:t>P21 a eu pour finalité générale (a été la finalité de)</w:t>
            </w:r>
            <w:r w:rsidR="00EB6B5D">
              <w:rPr>
                <w:noProof/>
                <w:webHidden/>
              </w:rPr>
              <w:tab/>
            </w:r>
            <w:r w:rsidR="00EB6B5D">
              <w:rPr>
                <w:noProof/>
                <w:webHidden/>
              </w:rPr>
              <w:fldChar w:fldCharType="begin"/>
            </w:r>
            <w:r w:rsidR="00EB6B5D">
              <w:rPr>
                <w:noProof/>
                <w:webHidden/>
              </w:rPr>
              <w:instrText xml:space="preserve"> PAGEREF _Toc176864535 \h </w:instrText>
            </w:r>
            <w:r w:rsidR="00EB6B5D">
              <w:rPr>
                <w:noProof/>
                <w:webHidden/>
              </w:rPr>
            </w:r>
            <w:r w:rsidR="00EB6B5D">
              <w:rPr>
                <w:noProof/>
                <w:webHidden/>
              </w:rPr>
              <w:fldChar w:fldCharType="separate"/>
            </w:r>
            <w:r w:rsidR="00010123">
              <w:rPr>
                <w:noProof/>
                <w:webHidden/>
              </w:rPr>
              <w:t>194</w:t>
            </w:r>
            <w:r w:rsidR="00EB6B5D">
              <w:rPr>
                <w:noProof/>
                <w:webHidden/>
              </w:rPr>
              <w:fldChar w:fldCharType="end"/>
            </w:r>
          </w:hyperlink>
        </w:p>
        <w:p w14:paraId="51FFE8B1" w14:textId="3969B9B0" w:rsidR="00EB6B5D" w:rsidRDefault="00000000">
          <w:pPr>
            <w:pStyle w:val="TOC2"/>
            <w:tabs>
              <w:tab w:val="right" w:leader="dot" w:pos="10790"/>
            </w:tabs>
            <w:rPr>
              <w:noProof/>
            </w:rPr>
          </w:pPr>
          <w:hyperlink w:anchor="_Toc176864536" w:history="1">
            <w:r w:rsidR="00EB6B5D" w:rsidRPr="00633202">
              <w:rPr>
                <w:rStyle w:val="Hyperlink"/>
                <w:noProof/>
              </w:rPr>
              <w:t>P22 a transféré le titre de propriété à (a acquis le titre de propriété par)</w:t>
            </w:r>
            <w:r w:rsidR="00EB6B5D">
              <w:rPr>
                <w:noProof/>
                <w:webHidden/>
              </w:rPr>
              <w:tab/>
            </w:r>
            <w:r w:rsidR="00EB6B5D">
              <w:rPr>
                <w:noProof/>
                <w:webHidden/>
              </w:rPr>
              <w:fldChar w:fldCharType="begin"/>
            </w:r>
            <w:r w:rsidR="00EB6B5D">
              <w:rPr>
                <w:noProof/>
                <w:webHidden/>
              </w:rPr>
              <w:instrText xml:space="preserve"> PAGEREF _Toc176864536 \h </w:instrText>
            </w:r>
            <w:r w:rsidR="00EB6B5D">
              <w:rPr>
                <w:noProof/>
                <w:webHidden/>
              </w:rPr>
            </w:r>
            <w:r w:rsidR="00EB6B5D">
              <w:rPr>
                <w:noProof/>
                <w:webHidden/>
              </w:rPr>
              <w:fldChar w:fldCharType="separate"/>
            </w:r>
            <w:r w:rsidR="00010123">
              <w:rPr>
                <w:noProof/>
                <w:webHidden/>
              </w:rPr>
              <w:t>195</w:t>
            </w:r>
            <w:r w:rsidR="00EB6B5D">
              <w:rPr>
                <w:noProof/>
                <w:webHidden/>
              </w:rPr>
              <w:fldChar w:fldCharType="end"/>
            </w:r>
          </w:hyperlink>
        </w:p>
        <w:p w14:paraId="618EA956" w14:textId="71D6CCB7" w:rsidR="00EB6B5D" w:rsidRDefault="00000000">
          <w:pPr>
            <w:pStyle w:val="TOC2"/>
            <w:tabs>
              <w:tab w:val="right" w:leader="dot" w:pos="10790"/>
            </w:tabs>
            <w:rPr>
              <w:noProof/>
            </w:rPr>
          </w:pPr>
          <w:hyperlink w:anchor="_Toc176864537" w:history="1">
            <w:r w:rsidR="00EB6B5D" w:rsidRPr="00633202">
              <w:rPr>
                <w:rStyle w:val="Hyperlink"/>
                <w:noProof/>
              </w:rPr>
              <w:t>P23 a transféré le titre de propriété de (a cédé le titre de propriété à)</w:t>
            </w:r>
            <w:r w:rsidR="00EB6B5D">
              <w:rPr>
                <w:noProof/>
                <w:webHidden/>
              </w:rPr>
              <w:tab/>
            </w:r>
            <w:r w:rsidR="00EB6B5D">
              <w:rPr>
                <w:noProof/>
                <w:webHidden/>
              </w:rPr>
              <w:fldChar w:fldCharType="begin"/>
            </w:r>
            <w:r w:rsidR="00EB6B5D">
              <w:rPr>
                <w:noProof/>
                <w:webHidden/>
              </w:rPr>
              <w:instrText xml:space="preserve"> PAGEREF _Toc176864537 \h </w:instrText>
            </w:r>
            <w:r w:rsidR="00EB6B5D">
              <w:rPr>
                <w:noProof/>
                <w:webHidden/>
              </w:rPr>
            </w:r>
            <w:r w:rsidR="00EB6B5D">
              <w:rPr>
                <w:noProof/>
                <w:webHidden/>
              </w:rPr>
              <w:fldChar w:fldCharType="separate"/>
            </w:r>
            <w:r w:rsidR="00010123">
              <w:rPr>
                <w:noProof/>
                <w:webHidden/>
              </w:rPr>
              <w:t>196</w:t>
            </w:r>
            <w:r w:rsidR="00EB6B5D">
              <w:rPr>
                <w:noProof/>
                <w:webHidden/>
              </w:rPr>
              <w:fldChar w:fldCharType="end"/>
            </w:r>
          </w:hyperlink>
        </w:p>
        <w:p w14:paraId="39033CAE" w14:textId="209F7017" w:rsidR="00EB6B5D" w:rsidRDefault="00000000">
          <w:pPr>
            <w:pStyle w:val="TOC2"/>
            <w:tabs>
              <w:tab w:val="right" w:leader="dot" w:pos="10790"/>
            </w:tabs>
            <w:rPr>
              <w:noProof/>
            </w:rPr>
          </w:pPr>
          <w:hyperlink w:anchor="_Toc176864538" w:history="1">
            <w:r w:rsidR="00EB6B5D" w:rsidRPr="00633202">
              <w:rPr>
                <w:rStyle w:val="Hyperlink"/>
                <w:noProof/>
              </w:rPr>
              <w:t>P24 a transféré le titre de propriété de (a changé de propriétaire par)</w:t>
            </w:r>
            <w:r w:rsidR="00EB6B5D">
              <w:rPr>
                <w:noProof/>
                <w:webHidden/>
              </w:rPr>
              <w:tab/>
            </w:r>
            <w:r w:rsidR="00EB6B5D">
              <w:rPr>
                <w:noProof/>
                <w:webHidden/>
              </w:rPr>
              <w:fldChar w:fldCharType="begin"/>
            </w:r>
            <w:r w:rsidR="00EB6B5D">
              <w:rPr>
                <w:noProof/>
                <w:webHidden/>
              </w:rPr>
              <w:instrText xml:space="preserve"> PAGEREF _Toc176864538 \h </w:instrText>
            </w:r>
            <w:r w:rsidR="00EB6B5D">
              <w:rPr>
                <w:noProof/>
                <w:webHidden/>
              </w:rPr>
            </w:r>
            <w:r w:rsidR="00EB6B5D">
              <w:rPr>
                <w:noProof/>
                <w:webHidden/>
              </w:rPr>
              <w:fldChar w:fldCharType="separate"/>
            </w:r>
            <w:r w:rsidR="00010123">
              <w:rPr>
                <w:noProof/>
                <w:webHidden/>
              </w:rPr>
              <w:t>196</w:t>
            </w:r>
            <w:r w:rsidR="00EB6B5D">
              <w:rPr>
                <w:noProof/>
                <w:webHidden/>
              </w:rPr>
              <w:fldChar w:fldCharType="end"/>
            </w:r>
          </w:hyperlink>
        </w:p>
        <w:p w14:paraId="4C3BC364" w14:textId="3813C1CD" w:rsidR="00EB6B5D" w:rsidRDefault="00000000">
          <w:pPr>
            <w:pStyle w:val="TOC2"/>
            <w:tabs>
              <w:tab w:val="right" w:leader="dot" w:pos="10790"/>
            </w:tabs>
            <w:rPr>
              <w:noProof/>
            </w:rPr>
          </w:pPr>
          <w:hyperlink w:anchor="_Toc176864539" w:history="1">
            <w:r w:rsidR="00EB6B5D" w:rsidRPr="00633202">
              <w:rPr>
                <w:rStyle w:val="Hyperlink"/>
                <w:noProof/>
              </w:rPr>
              <w:t>P25 a déplacé (a été déplacé par)</w:t>
            </w:r>
            <w:r w:rsidR="00EB6B5D">
              <w:rPr>
                <w:noProof/>
                <w:webHidden/>
              </w:rPr>
              <w:tab/>
            </w:r>
            <w:r w:rsidR="00EB6B5D">
              <w:rPr>
                <w:noProof/>
                <w:webHidden/>
              </w:rPr>
              <w:fldChar w:fldCharType="begin"/>
            </w:r>
            <w:r w:rsidR="00EB6B5D">
              <w:rPr>
                <w:noProof/>
                <w:webHidden/>
              </w:rPr>
              <w:instrText xml:space="preserve"> PAGEREF _Toc176864539 \h </w:instrText>
            </w:r>
            <w:r w:rsidR="00EB6B5D">
              <w:rPr>
                <w:noProof/>
                <w:webHidden/>
              </w:rPr>
            </w:r>
            <w:r w:rsidR="00EB6B5D">
              <w:rPr>
                <w:noProof/>
                <w:webHidden/>
              </w:rPr>
              <w:fldChar w:fldCharType="separate"/>
            </w:r>
            <w:r w:rsidR="00010123">
              <w:rPr>
                <w:noProof/>
                <w:webHidden/>
              </w:rPr>
              <w:t>197</w:t>
            </w:r>
            <w:r w:rsidR="00EB6B5D">
              <w:rPr>
                <w:noProof/>
                <w:webHidden/>
              </w:rPr>
              <w:fldChar w:fldCharType="end"/>
            </w:r>
          </w:hyperlink>
        </w:p>
        <w:p w14:paraId="2BC3A78D" w14:textId="0E30BAE2" w:rsidR="00EB6B5D" w:rsidRDefault="00000000">
          <w:pPr>
            <w:pStyle w:val="TOC2"/>
            <w:tabs>
              <w:tab w:val="right" w:leader="dot" w:pos="10790"/>
            </w:tabs>
            <w:rPr>
              <w:noProof/>
            </w:rPr>
          </w:pPr>
          <w:hyperlink w:anchor="_Toc176864540" w:history="1">
            <w:r w:rsidR="00EB6B5D" w:rsidRPr="00633202">
              <w:rPr>
                <w:rStyle w:val="Hyperlink"/>
                <w:noProof/>
              </w:rPr>
              <w:t>P26 a déplacé vers (a été la destination de)</w:t>
            </w:r>
            <w:r w:rsidR="00EB6B5D">
              <w:rPr>
                <w:noProof/>
                <w:webHidden/>
              </w:rPr>
              <w:tab/>
            </w:r>
            <w:r w:rsidR="00EB6B5D">
              <w:rPr>
                <w:noProof/>
                <w:webHidden/>
              </w:rPr>
              <w:fldChar w:fldCharType="begin"/>
            </w:r>
            <w:r w:rsidR="00EB6B5D">
              <w:rPr>
                <w:noProof/>
                <w:webHidden/>
              </w:rPr>
              <w:instrText xml:space="preserve"> PAGEREF _Toc176864540 \h </w:instrText>
            </w:r>
            <w:r w:rsidR="00EB6B5D">
              <w:rPr>
                <w:noProof/>
                <w:webHidden/>
              </w:rPr>
            </w:r>
            <w:r w:rsidR="00EB6B5D">
              <w:rPr>
                <w:noProof/>
                <w:webHidden/>
              </w:rPr>
              <w:fldChar w:fldCharType="separate"/>
            </w:r>
            <w:r w:rsidR="00010123">
              <w:rPr>
                <w:noProof/>
                <w:webHidden/>
              </w:rPr>
              <w:t>198</w:t>
            </w:r>
            <w:r w:rsidR="00EB6B5D">
              <w:rPr>
                <w:noProof/>
                <w:webHidden/>
              </w:rPr>
              <w:fldChar w:fldCharType="end"/>
            </w:r>
          </w:hyperlink>
        </w:p>
        <w:p w14:paraId="0BFF85FF" w14:textId="49D9C2E9" w:rsidR="00EB6B5D" w:rsidRDefault="00000000">
          <w:pPr>
            <w:pStyle w:val="TOC2"/>
            <w:tabs>
              <w:tab w:val="right" w:leader="dot" w:pos="10790"/>
            </w:tabs>
            <w:rPr>
              <w:noProof/>
            </w:rPr>
          </w:pPr>
          <w:hyperlink w:anchor="_Toc176864541" w:history="1">
            <w:r w:rsidR="00EB6B5D" w:rsidRPr="00633202">
              <w:rPr>
                <w:rStyle w:val="Hyperlink"/>
                <w:noProof/>
              </w:rPr>
              <w:t>P27 a déplacé depuis (a été le point de départ de)</w:t>
            </w:r>
            <w:r w:rsidR="00EB6B5D">
              <w:rPr>
                <w:noProof/>
                <w:webHidden/>
              </w:rPr>
              <w:tab/>
            </w:r>
            <w:r w:rsidR="00EB6B5D">
              <w:rPr>
                <w:noProof/>
                <w:webHidden/>
              </w:rPr>
              <w:fldChar w:fldCharType="begin"/>
            </w:r>
            <w:r w:rsidR="00EB6B5D">
              <w:rPr>
                <w:noProof/>
                <w:webHidden/>
              </w:rPr>
              <w:instrText xml:space="preserve"> PAGEREF _Toc176864541 \h </w:instrText>
            </w:r>
            <w:r w:rsidR="00EB6B5D">
              <w:rPr>
                <w:noProof/>
                <w:webHidden/>
              </w:rPr>
            </w:r>
            <w:r w:rsidR="00EB6B5D">
              <w:rPr>
                <w:noProof/>
                <w:webHidden/>
              </w:rPr>
              <w:fldChar w:fldCharType="separate"/>
            </w:r>
            <w:r w:rsidR="00010123">
              <w:rPr>
                <w:noProof/>
                <w:webHidden/>
              </w:rPr>
              <w:t>199</w:t>
            </w:r>
            <w:r w:rsidR="00EB6B5D">
              <w:rPr>
                <w:noProof/>
                <w:webHidden/>
              </w:rPr>
              <w:fldChar w:fldCharType="end"/>
            </w:r>
          </w:hyperlink>
        </w:p>
        <w:p w14:paraId="64C43CD5" w14:textId="0F71BBFC" w:rsidR="00EB6B5D" w:rsidRDefault="00000000">
          <w:pPr>
            <w:pStyle w:val="TOC2"/>
            <w:tabs>
              <w:tab w:val="right" w:leader="dot" w:pos="10790"/>
            </w:tabs>
            <w:rPr>
              <w:noProof/>
            </w:rPr>
          </w:pPr>
          <w:hyperlink w:anchor="_Toc176864542" w:history="1">
            <w:r w:rsidR="00EB6B5D" w:rsidRPr="00633202">
              <w:rPr>
                <w:rStyle w:val="Hyperlink"/>
                <w:noProof/>
              </w:rPr>
              <w:t>P28 a mis fin à la garde par (a cédé la garde par)</w:t>
            </w:r>
            <w:r w:rsidR="00EB6B5D">
              <w:rPr>
                <w:noProof/>
                <w:webHidden/>
              </w:rPr>
              <w:tab/>
            </w:r>
            <w:r w:rsidR="00EB6B5D">
              <w:rPr>
                <w:noProof/>
                <w:webHidden/>
              </w:rPr>
              <w:fldChar w:fldCharType="begin"/>
            </w:r>
            <w:r w:rsidR="00EB6B5D">
              <w:rPr>
                <w:noProof/>
                <w:webHidden/>
              </w:rPr>
              <w:instrText xml:space="preserve"> PAGEREF _Toc176864542 \h </w:instrText>
            </w:r>
            <w:r w:rsidR="00EB6B5D">
              <w:rPr>
                <w:noProof/>
                <w:webHidden/>
              </w:rPr>
            </w:r>
            <w:r w:rsidR="00EB6B5D">
              <w:rPr>
                <w:noProof/>
                <w:webHidden/>
              </w:rPr>
              <w:fldChar w:fldCharType="separate"/>
            </w:r>
            <w:r w:rsidR="00010123">
              <w:rPr>
                <w:noProof/>
                <w:webHidden/>
              </w:rPr>
              <w:t>200</w:t>
            </w:r>
            <w:r w:rsidR="00EB6B5D">
              <w:rPr>
                <w:noProof/>
                <w:webHidden/>
              </w:rPr>
              <w:fldChar w:fldCharType="end"/>
            </w:r>
          </w:hyperlink>
        </w:p>
        <w:p w14:paraId="575EB63B" w14:textId="14795C19" w:rsidR="00EB6B5D" w:rsidRDefault="00000000">
          <w:pPr>
            <w:pStyle w:val="TOC2"/>
            <w:tabs>
              <w:tab w:val="right" w:leader="dot" w:pos="10790"/>
            </w:tabs>
            <w:rPr>
              <w:noProof/>
            </w:rPr>
          </w:pPr>
          <w:hyperlink w:anchor="_Toc176864543" w:history="1">
            <w:r w:rsidR="00EB6B5D" w:rsidRPr="00633202">
              <w:rPr>
                <w:rStyle w:val="Hyperlink"/>
                <w:noProof/>
              </w:rPr>
              <w:t>P29 a confié la garde par (a reçu la garde par)</w:t>
            </w:r>
            <w:r w:rsidR="00EB6B5D">
              <w:rPr>
                <w:noProof/>
                <w:webHidden/>
              </w:rPr>
              <w:tab/>
            </w:r>
            <w:r w:rsidR="00EB6B5D">
              <w:rPr>
                <w:noProof/>
                <w:webHidden/>
              </w:rPr>
              <w:fldChar w:fldCharType="begin"/>
            </w:r>
            <w:r w:rsidR="00EB6B5D">
              <w:rPr>
                <w:noProof/>
                <w:webHidden/>
              </w:rPr>
              <w:instrText xml:space="preserve"> PAGEREF _Toc176864543 \h </w:instrText>
            </w:r>
            <w:r w:rsidR="00EB6B5D">
              <w:rPr>
                <w:noProof/>
                <w:webHidden/>
              </w:rPr>
            </w:r>
            <w:r w:rsidR="00EB6B5D">
              <w:rPr>
                <w:noProof/>
                <w:webHidden/>
              </w:rPr>
              <w:fldChar w:fldCharType="separate"/>
            </w:r>
            <w:r w:rsidR="00010123">
              <w:rPr>
                <w:noProof/>
                <w:webHidden/>
              </w:rPr>
              <w:t>201</w:t>
            </w:r>
            <w:r w:rsidR="00EB6B5D">
              <w:rPr>
                <w:noProof/>
                <w:webHidden/>
              </w:rPr>
              <w:fldChar w:fldCharType="end"/>
            </w:r>
          </w:hyperlink>
        </w:p>
        <w:p w14:paraId="6781E320" w14:textId="33E906D8" w:rsidR="00EB6B5D" w:rsidRDefault="00000000">
          <w:pPr>
            <w:pStyle w:val="TOC2"/>
            <w:tabs>
              <w:tab w:val="right" w:leader="dot" w:pos="10790"/>
            </w:tabs>
            <w:rPr>
              <w:noProof/>
            </w:rPr>
          </w:pPr>
          <w:hyperlink w:anchor="_Toc176864544" w:history="1">
            <w:r w:rsidR="00EB6B5D" w:rsidRPr="00633202">
              <w:rPr>
                <w:rStyle w:val="Hyperlink"/>
                <w:noProof/>
              </w:rPr>
              <w:t>P30 a transféré la garde de (a été l’objet d’un transfert de garde par)</w:t>
            </w:r>
            <w:r w:rsidR="00EB6B5D">
              <w:rPr>
                <w:noProof/>
                <w:webHidden/>
              </w:rPr>
              <w:tab/>
            </w:r>
            <w:r w:rsidR="00EB6B5D">
              <w:rPr>
                <w:noProof/>
                <w:webHidden/>
              </w:rPr>
              <w:fldChar w:fldCharType="begin"/>
            </w:r>
            <w:r w:rsidR="00EB6B5D">
              <w:rPr>
                <w:noProof/>
                <w:webHidden/>
              </w:rPr>
              <w:instrText xml:space="preserve"> PAGEREF _Toc176864544 \h </w:instrText>
            </w:r>
            <w:r w:rsidR="00EB6B5D">
              <w:rPr>
                <w:noProof/>
                <w:webHidden/>
              </w:rPr>
            </w:r>
            <w:r w:rsidR="00EB6B5D">
              <w:rPr>
                <w:noProof/>
                <w:webHidden/>
              </w:rPr>
              <w:fldChar w:fldCharType="separate"/>
            </w:r>
            <w:r w:rsidR="00010123">
              <w:rPr>
                <w:noProof/>
                <w:webHidden/>
              </w:rPr>
              <w:t>202</w:t>
            </w:r>
            <w:r w:rsidR="00EB6B5D">
              <w:rPr>
                <w:noProof/>
                <w:webHidden/>
              </w:rPr>
              <w:fldChar w:fldCharType="end"/>
            </w:r>
          </w:hyperlink>
        </w:p>
        <w:p w14:paraId="7CF33FD4" w14:textId="72E6DCA6" w:rsidR="00EB6B5D" w:rsidRDefault="00000000">
          <w:pPr>
            <w:pStyle w:val="TOC2"/>
            <w:tabs>
              <w:tab w:val="right" w:leader="dot" w:pos="10790"/>
            </w:tabs>
            <w:rPr>
              <w:noProof/>
            </w:rPr>
          </w:pPr>
          <w:hyperlink w:anchor="_Toc176864545" w:history="1">
            <w:r w:rsidR="00EB6B5D" w:rsidRPr="00633202">
              <w:rPr>
                <w:rStyle w:val="Hyperlink"/>
                <w:noProof/>
              </w:rPr>
              <w:t>P31 a modifié (a été modifié par)</w:t>
            </w:r>
            <w:r w:rsidR="00EB6B5D">
              <w:rPr>
                <w:noProof/>
                <w:webHidden/>
              </w:rPr>
              <w:tab/>
            </w:r>
            <w:r w:rsidR="00EB6B5D">
              <w:rPr>
                <w:noProof/>
                <w:webHidden/>
              </w:rPr>
              <w:fldChar w:fldCharType="begin"/>
            </w:r>
            <w:r w:rsidR="00EB6B5D">
              <w:rPr>
                <w:noProof/>
                <w:webHidden/>
              </w:rPr>
              <w:instrText xml:space="preserve"> PAGEREF _Toc176864545 \h </w:instrText>
            </w:r>
            <w:r w:rsidR="00EB6B5D">
              <w:rPr>
                <w:noProof/>
                <w:webHidden/>
              </w:rPr>
            </w:r>
            <w:r w:rsidR="00EB6B5D">
              <w:rPr>
                <w:noProof/>
                <w:webHidden/>
              </w:rPr>
              <w:fldChar w:fldCharType="separate"/>
            </w:r>
            <w:r w:rsidR="00010123">
              <w:rPr>
                <w:noProof/>
                <w:webHidden/>
              </w:rPr>
              <w:t>202</w:t>
            </w:r>
            <w:r w:rsidR="00EB6B5D">
              <w:rPr>
                <w:noProof/>
                <w:webHidden/>
              </w:rPr>
              <w:fldChar w:fldCharType="end"/>
            </w:r>
          </w:hyperlink>
        </w:p>
        <w:p w14:paraId="1AE495DD" w14:textId="61953733" w:rsidR="00EB6B5D" w:rsidRDefault="00000000">
          <w:pPr>
            <w:pStyle w:val="TOC2"/>
            <w:tabs>
              <w:tab w:val="right" w:leader="dot" w:pos="10790"/>
            </w:tabs>
            <w:rPr>
              <w:noProof/>
            </w:rPr>
          </w:pPr>
          <w:hyperlink w:anchor="_Toc176864546" w:history="1">
            <w:r w:rsidR="00EB6B5D" w:rsidRPr="00633202">
              <w:rPr>
                <w:rStyle w:val="Hyperlink"/>
                <w:noProof/>
              </w:rPr>
              <w:t>P32 a mobilisé comme technique générale (a été la technique générale mise en œuvre dans)</w:t>
            </w:r>
            <w:r w:rsidR="00EB6B5D">
              <w:rPr>
                <w:noProof/>
                <w:webHidden/>
              </w:rPr>
              <w:tab/>
            </w:r>
            <w:r w:rsidR="00EB6B5D">
              <w:rPr>
                <w:noProof/>
                <w:webHidden/>
              </w:rPr>
              <w:fldChar w:fldCharType="begin"/>
            </w:r>
            <w:r w:rsidR="00EB6B5D">
              <w:rPr>
                <w:noProof/>
                <w:webHidden/>
              </w:rPr>
              <w:instrText xml:space="preserve"> PAGEREF _Toc176864546 \h </w:instrText>
            </w:r>
            <w:r w:rsidR="00EB6B5D">
              <w:rPr>
                <w:noProof/>
                <w:webHidden/>
              </w:rPr>
            </w:r>
            <w:r w:rsidR="00EB6B5D">
              <w:rPr>
                <w:noProof/>
                <w:webHidden/>
              </w:rPr>
              <w:fldChar w:fldCharType="separate"/>
            </w:r>
            <w:r w:rsidR="00010123">
              <w:rPr>
                <w:noProof/>
                <w:webHidden/>
              </w:rPr>
              <w:t>203</w:t>
            </w:r>
            <w:r w:rsidR="00EB6B5D">
              <w:rPr>
                <w:noProof/>
                <w:webHidden/>
              </w:rPr>
              <w:fldChar w:fldCharType="end"/>
            </w:r>
          </w:hyperlink>
        </w:p>
        <w:p w14:paraId="4E55FDDA" w14:textId="4CEFBDBA" w:rsidR="00EB6B5D" w:rsidRDefault="00000000">
          <w:pPr>
            <w:pStyle w:val="TOC2"/>
            <w:tabs>
              <w:tab w:val="right" w:leader="dot" w:pos="10790"/>
            </w:tabs>
            <w:rPr>
              <w:noProof/>
            </w:rPr>
          </w:pPr>
          <w:hyperlink w:anchor="_Toc176864547" w:history="1">
            <w:r w:rsidR="00EB6B5D" w:rsidRPr="00633202">
              <w:rPr>
                <w:rStyle w:val="Hyperlink"/>
                <w:noProof/>
              </w:rPr>
              <w:t>P33 a mobilisé comme technique spécifique (a été la technique spécifique mise en œuvre dans)</w:t>
            </w:r>
            <w:r w:rsidR="00EB6B5D">
              <w:rPr>
                <w:noProof/>
                <w:webHidden/>
              </w:rPr>
              <w:tab/>
            </w:r>
            <w:r w:rsidR="00EB6B5D">
              <w:rPr>
                <w:noProof/>
                <w:webHidden/>
              </w:rPr>
              <w:fldChar w:fldCharType="begin"/>
            </w:r>
            <w:r w:rsidR="00EB6B5D">
              <w:rPr>
                <w:noProof/>
                <w:webHidden/>
              </w:rPr>
              <w:instrText xml:space="preserve"> PAGEREF _Toc176864547 \h </w:instrText>
            </w:r>
            <w:r w:rsidR="00EB6B5D">
              <w:rPr>
                <w:noProof/>
                <w:webHidden/>
              </w:rPr>
            </w:r>
            <w:r w:rsidR="00EB6B5D">
              <w:rPr>
                <w:noProof/>
                <w:webHidden/>
              </w:rPr>
              <w:fldChar w:fldCharType="separate"/>
            </w:r>
            <w:r w:rsidR="00010123">
              <w:rPr>
                <w:noProof/>
                <w:webHidden/>
              </w:rPr>
              <w:t>204</w:t>
            </w:r>
            <w:r w:rsidR="00EB6B5D">
              <w:rPr>
                <w:noProof/>
                <w:webHidden/>
              </w:rPr>
              <w:fldChar w:fldCharType="end"/>
            </w:r>
          </w:hyperlink>
        </w:p>
        <w:p w14:paraId="53F8615F" w14:textId="6CA3D904" w:rsidR="00EB6B5D" w:rsidRDefault="00000000">
          <w:pPr>
            <w:pStyle w:val="TOC2"/>
            <w:tabs>
              <w:tab w:val="right" w:leader="dot" w:pos="10790"/>
            </w:tabs>
            <w:rPr>
              <w:noProof/>
            </w:rPr>
          </w:pPr>
          <w:hyperlink w:anchor="_Toc176864548" w:history="1">
            <w:r w:rsidR="00EB6B5D" w:rsidRPr="00633202">
              <w:rPr>
                <w:rStyle w:val="Hyperlink"/>
                <w:noProof/>
              </w:rPr>
              <w:t>P34 a porté sur (a été évalué par)</w:t>
            </w:r>
            <w:r w:rsidR="00EB6B5D">
              <w:rPr>
                <w:noProof/>
                <w:webHidden/>
              </w:rPr>
              <w:tab/>
            </w:r>
            <w:r w:rsidR="00EB6B5D">
              <w:rPr>
                <w:noProof/>
                <w:webHidden/>
              </w:rPr>
              <w:fldChar w:fldCharType="begin"/>
            </w:r>
            <w:r w:rsidR="00EB6B5D">
              <w:rPr>
                <w:noProof/>
                <w:webHidden/>
              </w:rPr>
              <w:instrText xml:space="preserve"> PAGEREF _Toc176864548 \h </w:instrText>
            </w:r>
            <w:r w:rsidR="00EB6B5D">
              <w:rPr>
                <w:noProof/>
                <w:webHidden/>
              </w:rPr>
            </w:r>
            <w:r w:rsidR="00EB6B5D">
              <w:rPr>
                <w:noProof/>
                <w:webHidden/>
              </w:rPr>
              <w:fldChar w:fldCharType="separate"/>
            </w:r>
            <w:r w:rsidR="00010123">
              <w:rPr>
                <w:noProof/>
                <w:webHidden/>
              </w:rPr>
              <w:t>205</w:t>
            </w:r>
            <w:r w:rsidR="00EB6B5D">
              <w:rPr>
                <w:noProof/>
                <w:webHidden/>
              </w:rPr>
              <w:fldChar w:fldCharType="end"/>
            </w:r>
          </w:hyperlink>
        </w:p>
        <w:p w14:paraId="7ABC56CB" w14:textId="1A7C84B0" w:rsidR="00EB6B5D" w:rsidRDefault="00000000">
          <w:pPr>
            <w:pStyle w:val="TOC2"/>
            <w:tabs>
              <w:tab w:val="right" w:leader="dot" w:pos="10790"/>
            </w:tabs>
            <w:rPr>
              <w:noProof/>
            </w:rPr>
          </w:pPr>
          <w:hyperlink w:anchor="_Toc176864549" w:history="1">
            <w:r w:rsidR="00EB6B5D" w:rsidRPr="00633202">
              <w:rPr>
                <w:rStyle w:val="Hyperlink"/>
                <w:noProof/>
              </w:rPr>
              <w:t>P35 a identifié (a été identifié par)</w:t>
            </w:r>
            <w:r w:rsidR="00EB6B5D">
              <w:rPr>
                <w:noProof/>
                <w:webHidden/>
              </w:rPr>
              <w:tab/>
            </w:r>
            <w:r w:rsidR="00EB6B5D">
              <w:rPr>
                <w:noProof/>
                <w:webHidden/>
              </w:rPr>
              <w:fldChar w:fldCharType="begin"/>
            </w:r>
            <w:r w:rsidR="00EB6B5D">
              <w:rPr>
                <w:noProof/>
                <w:webHidden/>
              </w:rPr>
              <w:instrText xml:space="preserve"> PAGEREF _Toc176864549 \h </w:instrText>
            </w:r>
            <w:r w:rsidR="00EB6B5D">
              <w:rPr>
                <w:noProof/>
                <w:webHidden/>
              </w:rPr>
            </w:r>
            <w:r w:rsidR="00EB6B5D">
              <w:rPr>
                <w:noProof/>
                <w:webHidden/>
              </w:rPr>
              <w:fldChar w:fldCharType="separate"/>
            </w:r>
            <w:r w:rsidR="00010123">
              <w:rPr>
                <w:noProof/>
                <w:webHidden/>
              </w:rPr>
              <w:t>207</w:t>
            </w:r>
            <w:r w:rsidR="00EB6B5D">
              <w:rPr>
                <w:noProof/>
                <w:webHidden/>
              </w:rPr>
              <w:fldChar w:fldCharType="end"/>
            </w:r>
          </w:hyperlink>
        </w:p>
        <w:p w14:paraId="265AAF6C" w14:textId="796F69A7" w:rsidR="00EB6B5D" w:rsidRDefault="00000000">
          <w:pPr>
            <w:pStyle w:val="TOC2"/>
            <w:tabs>
              <w:tab w:val="right" w:leader="dot" w:pos="10790"/>
            </w:tabs>
            <w:rPr>
              <w:noProof/>
            </w:rPr>
          </w:pPr>
          <w:hyperlink w:anchor="_Toc176864550" w:history="1">
            <w:r w:rsidR="00EB6B5D" w:rsidRPr="00633202">
              <w:rPr>
                <w:rStyle w:val="Hyperlink"/>
                <w:noProof/>
              </w:rPr>
              <w:t>P37 a assigné (a été assigné par)</w:t>
            </w:r>
            <w:r w:rsidR="00EB6B5D">
              <w:rPr>
                <w:noProof/>
                <w:webHidden/>
              </w:rPr>
              <w:tab/>
            </w:r>
            <w:r w:rsidR="00EB6B5D">
              <w:rPr>
                <w:noProof/>
                <w:webHidden/>
              </w:rPr>
              <w:fldChar w:fldCharType="begin"/>
            </w:r>
            <w:r w:rsidR="00EB6B5D">
              <w:rPr>
                <w:noProof/>
                <w:webHidden/>
              </w:rPr>
              <w:instrText xml:space="preserve"> PAGEREF _Toc176864550 \h </w:instrText>
            </w:r>
            <w:r w:rsidR="00EB6B5D">
              <w:rPr>
                <w:noProof/>
                <w:webHidden/>
              </w:rPr>
            </w:r>
            <w:r w:rsidR="00EB6B5D">
              <w:rPr>
                <w:noProof/>
                <w:webHidden/>
              </w:rPr>
              <w:fldChar w:fldCharType="separate"/>
            </w:r>
            <w:r w:rsidR="00010123">
              <w:rPr>
                <w:noProof/>
                <w:webHidden/>
              </w:rPr>
              <w:t>208</w:t>
            </w:r>
            <w:r w:rsidR="00EB6B5D">
              <w:rPr>
                <w:noProof/>
                <w:webHidden/>
              </w:rPr>
              <w:fldChar w:fldCharType="end"/>
            </w:r>
          </w:hyperlink>
        </w:p>
        <w:p w14:paraId="00087783" w14:textId="0B17D040" w:rsidR="00EB6B5D" w:rsidRDefault="00000000">
          <w:pPr>
            <w:pStyle w:val="TOC2"/>
            <w:tabs>
              <w:tab w:val="right" w:leader="dot" w:pos="10790"/>
            </w:tabs>
            <w:rPr>
              <w:noProof/>
            </w:rPr>
          </w:pPr>
          <w:hyperlink w:anchor="_Toc176864551" w:history="1">
            <w:r w:rsidR="00EB6B5D" w:rsidRPr="00633202">
              <w:rPr>
                <w:rStyle w:val="Hyperlink"/>
                <w:noProof/>
              </w:rPr>
              <w:t>P38 a retiré l'assignation (a été retiré par)</w:t>
            </w:r>
            <w:r w:rsidR="00EB6B5D">
              <w:rPr>
                <w:noProof/>
                <w:webHidden/>
              </w:rPr>
              <w:tab/>
            </w:r>
            <w:r w:rsidR="00EB6B5D">
              <w:rPr>
                <w:noProof/>
                <w:webHidden/>
              </w:rPr>
              <w:fldChar w:fldCharType="begin"/>
            </w:r>
            <w:r w:rsidR="00EB6B5D">
              <w:rPr>
                <w:noProof/>
                <w:webHidden/>
              </w:rPr>
              <w:instrText xml:space="preserve"> PAGEREF _Toc176864551 \h </w:instrText>
            </w:r>
            <w:r w:rsidR="00EB6B5D">
              <w:rPr>
                <w:noProof/>
                <w:webHidden/>
              </w:rPr>
            </w:r>
            <w:r w:rsidR="00EB6B5D">
              <w:rPr>
                <w:noProof/>
                <w:webHidden/>
              </w:rPr>
              <w:fldChar w:fldCharType="separate"/>
            </w:r>
            <w:r w:rsidR="00010123">
              <w:rPr>
                <w:noProof/>
                <w:webHidden/>
              </w:rPr>
              <w:t>209</w:t>
            </w:r>
            <w:r w:rsidR="00EB6B5D">
              <w:rPr>
                <w:noProof/>
                <w:webHidden/>
              </w:rPr>
              <w:fldChar w:fldCharType="end"/>
            </w:r>
          </w:hyperlink>
        </w:p>
        <w:p w14:paraId="5FDD95AF" w14:textId="3BE47EB7" w:rsidR="00EB6B5D" w:rsidRDefault="00000000">
          <w:pPr>
            <w:pStyle w:val="TOC2"/>
            <w:tabs>
              <w:tab w:val="right" w:leader="dot" w:pos="10790"/>
            </w:tabs>
            <w:rPr>
              <w:noProof/>
            </w:rPr>
          </w:pPr>
          <w:hyperlink w:anchor="_Toc176864552" w:history="1">
            <w:r w:rsidR="00EB6B5D" w:rsidRPr="00633202">
              <w:rPr>
                <w:rStyle w:val="Hyperlink"/>
                <w:noProof/>
              </w:rPr>
              <w:t>P39 a mesuré (a été mesuré par)</w:t>
            </w:r>
            <w:r w:rsidR="00EB6B5D">
              <w:rPr>
                <w:noProof/>
                <w:webHidden/>
              </w:rPr>
              <w:tab/>
            </w:r>
            <w:r w:rsidR="00EB6B5D">
              <w:rPr>
                <w:noProof/>
                <w:webHidden/>
              </w:rPr>
              <w:fldChar w:fldCharType="begin"/>
            </w:r>
            <w:r w:rsidR="00EB6B5D">
              <w:rPr>
                <w:noProof/>
                <w:webHidden/>
              </w:rPr>
              <w:instrText xml:space="preserve"> PAGEREF _Toc176864552 \h </w:instrText>
            </w:r>
            <w:r w:rsidR="00EB6B5D">
              <w:rPr>
                <w:noProof/>
                <w:webHidden/>
              </w:rPr>
            </w:r>
            <w:r w:rsidR="00EB6B5D">
              <w:rPr>
                <w:noProof/>
                <w:webHidden/>
              </w:rPr>
              <w:fldChar w:fldCharType="separate"/>
            </w:r>
            <w:r w:rsidR="00010123">
              <w:rPr>
                <w:noProof/>
                <w:webHidden/>
              </w:rPr>
              <w:t>210</w:t>
            </w:r>
            <w:r w:rsidR="00EB6B5D">
              <w:rPr>
                <w:noProof/>
                <w:webHidden/>
              </w:rPr>
              <w:fldChar w:fldCharType="end"/>
            </w:r>
          </w:hyperlink>
        </w:p>
        <w:p w14:paraId="52C44426" w14:textId="2DDBC855" w:rsidR="00EB6B5D" w:rsidRDefault="00000000">
          <w:pPr>
            <w:pStyle w:val="TOC2"/>
            <w:tabs>
              <w:tab w:val="right" w:leader="dot" w:pos="10790"/>
            </w:tabs>
            <w:rPr>
              <w:noProof/>
            </w:rPr>
          </w:pPr>
          <w:hyperlink w:anchor="_Toc176864553" w:history="1">
            <w:r w:rsidR="00EB6B5D" w:rsidRPr="00633202">
              <w:rPr>
                <w:rStyle w:val="Hyperlink"/>
                <w:noProof/>
              </w:rPr>
              <w:t>P40 a relevé comme dimension (a été relevé par)</w:t>
            </w:r>
            <w:r w:rsidR="00EB6B5D">
              <w:rPr>
                <w:noProof/>
                <w:webHidden/>
              </w:rPr>
              <w:tab/>
            </w:r>
            <w:r w:rsidR="00EB6B5D">
              <w:rPr>
                <w:noProof/>
                <w:webHidden/>
              </w:rPr>
              <w:fldChar w:fldCharType="begin"/>
            </w:r>
            <w:r w:rsidR="00EB6B5D">
              <w:rPr>
                <w:noProof/>
                <w:webHidden/>
              </w:rPr>
              <w:instrText xml:space="preserve"> PAGEREF _Toc176864553 \h </w:instrText>
            </w:r>
            <w:r w:rsidR="00EB6B5D">
              <w:rPr>
                <w:noProof/>
                <w:webHidden/>
              </w:rPr>
            </w:r>
            <w:r w:rsidR="00EB6B5D">
              <w:rPr>
                <w:noProof/>
                <w:webHidden/>
              </w:rPr>
              <w:fldChar w:fldCharType="separate"/>
            </w:r>
            <w:r w:rsidR="00010123">
              <w:rPr>
                <w:noProof/>
                <w:webHidden/>
              </w:rPr>
              <w:t>210</w:t>
            </w:r>
            <w:r w:rsidR="00EB6B5D">
              <w:rPr>
                <w:noProof/>
                <w:webHidden/>
              </w:rPr>
              <w:fldChar w:fldCharType="end"/>
            </w:r>
          </w:hyperlink>
        </w:p>
        <w:p w14:paraId="4E774AA8" w14:textId="389A30ED" w:rsidR="00EB6B5D" w:rsidRDefault="00000000">
          <w:pPr>
            <w:pStyle w:val="TOC2"/>
            <w:tabs>
              <w:tab w:val="right" w:leader="dot" w:pos="10790"/>
            </w:tabs>
            <w:rPr>
              <w:noProof/>
            </w:rPr>
          </w:pPr>
          <w:hyperlink w:anchor="_Toc176864554" w:history="1">
            <w:r w:rsidR="00EB6B5D" w:rsidRPr="00633202">
              <w:rPr>
                <w:rStyle w:val="Hyperlink"/>
                <w:noProof/>
              </w:rPr>
              <w:t>P41 a classifié (a été classifié par)</w:t>
            </w:r>
            <w:r w:rsidR="00EB6B5D">
              <w:rPr>
                <w:noProof/>
                <w:webHidden/>
              </w:rPr>
              <w:tab/>
            </w:r>
            <w:r w:rsidR="00EB6B5D">
              <w:rPr>
                <w:noProof/>
                <w:webHidden/>
              </w:rPr>
              <w:fldChar w:fldCharType="begin"/>
            </w:r>
            <w:r w:rsidR="00EB6B5D">
              <w:rPr>
                <w:noProof/>
                <w:webHidden/>
              </w:rPr>
              <w:instrText xml:space="preserve"> PAGEREF _Toc176864554 \h </w:instrText>
            </w:r>
            <w:r w:rsidR="00EB6B5D">
              <w:rPr>
                <w:noProof/>
                <w:webHidden/>
              </w:rPr>
            </w:r>
            <w:r w:rsidR="00EB6B5D">
              <w:rPr>
                <w:noProof/>
                <w:webHidden/>
              </w:rPr>
              <w:fldChar w:fldCharType="separate"/>
            </w:r>
            <w:r w:rsidR="00010123">
              <w:rPr>
                <w:noProof/>
                <w:webHidden/>
              </w:rPr>
              <w:t>212</w:t>
            </w:r>
            <w:r w:rsidR="00EB6B5D">
              <w:rPr>
                <w:noProof/>
                <w:webHidden/>
              </w:rPr>
              <w:fldChar w:fldCharType="end"/>
            </w:r>
          </w:hyperlink>
        </w:p>
        <w:p w14:paraId="5177FB9A" w14:textId="3F7228F9" w:rsidR="00EB6B5D" w:rsidRDefault="00000000">
          <w:pPr>
            <w:pStyle w:val="TOC2"/>
            <w:tabs>
              <w:tab w:val="right" w:leader="dot" w:pos="10790"/>
            </w:tabs>
            <w:rPr>
              <w:noProof/>
            </w:rPr>
          </w:pPr>
          <w:hyperlink w:anchor="_Toc176864555" w:history="1">
            <w:r w:rsidR="00EB6B5D" w:rsidRPr="00633202">
              <w:rPr>
                <w:rStyle w:val="Hyperlink"/>
                <w:noProof/>
              </w:rPr>
              <w:t>P42 a assigné (a été assigné par)</w:t>
            </w:r>
            <w:r w:rsidR="00EB6B5D">
              <w:rPr>
                <w:noProof/>
                <w:webHidden/>
              </w:rPr>
              <w:tab/>
            </w:r>
            <w:r w:rsidR="00EB6B5D">
              <w:rPr>
                <w:noProof/>
                <w:webHidden/>
              </w:rPr>
              <w:fldChar w:fldCharType="begin"/>
            </w:r>
            <w:r w:rsidR="00EB6B5D">
              <w:rPr>
                <w:noProof/>
                <w:webHidden/>
              </w:rPr>
              <w:instrText xml:space="preserve"> PAGEREF _Toc176864555 \h </w:instrText>
            </w:r>
            <w:r w:rsidR="00EB6B5D">
              <w:rPr>
                <w:noProof/>
                <w:webHidden/>
              </w:rPr>
            </w:r>
            <w:r w:rsidR="00EB6B5D">
              <w:rPr>
                <w:noProof/>
                <w:webHidden/>
              </w:rPr>
              <w:fldChar w:fldCharType="separate"/>
            </w:r>
            <w:r w:rsidR="00010123">
              <w:rPr>
                <w:noProof/>
                <w:webHidden/>
              </w:rPr>
              <w:t>212</w:t>
            </w:r>
            <w:r w:rsidR="00EB6B5D">
              <w:rPr>
                <w:noProof/>
                <w:webHidden/>
              </w:rPr>
              <w:fldChar w:fldCharType="end"/>
            </w:r>
          </w:hyperlink>
        </w:p>
        <w:p w14:paraId="02FC245B" w14:textId="5E1E8622" w:rsidR="00EB6B5D" w:rsidRDefault="00000000">
          <w:pPr>
            <w:pStyle w:val="TOC2"/>
            <w:tabs>
              <w:tab w:val="right" w:leader="dot" w:pos="10790"/>
            </w:tabs>
            <w:rPr>
              <w:noProof/>
            </w:rPr>
          </w:pPr>
          <w:hyperlink w:anchor="_Toc176864556" w:history="1">
            <w:r w:rsidR="00EB6B5D" w:rsidRPr="00633202">
              <w:rPr>
                <w:rStyle w:val="Hyperlink"/>
                <w:noProof/>
              </w:rPr>
              <w:t>P43 a pour dimension (est la dimension de)</w:t>
            </w:r>
            <w:r w:rsidR="00EB6B5D">
              <w:rPr>
                <w:noProof/>
                <w:webHidden/>
              </w:rPr>
              <w:tab/>
            </w:r>
            <w:r w:rsidR="00EB6B5D">
              <w:rPr>
                <w:noProof/>
                <w:webHidden/>
              </w:rPr>
              <w:fldChar w:fldCharType="begin"/>
            </w:r>
            <w:r w:rsidR="00EB6B5D">
              <w:rPr>
                <w:noProof/>
                <w:webHidden/>
              </w:rPr>
              <w:instrText xml:space="preserve"> PAGEREF _Toc176864556 \h </w:instrText>
            </w:r>
            <w:r w:rsidR="00EB6B5D">
              <w:rPr>
                <w:noProof/>
                <w:webHidden/>
              </w:rPr>
            </w:r>
            <w:r w:rsidR="00EB6B5D">
              <w:rPr>
                <w:noProof/>
                <w:webHidden/>
              </w:rPr>
              <w:fldChar w:fldCharType="separate"/>
            </w:r>
            <w:r w:rsidR="00010123">
              <w:rPr>
                <w:noProof/>
                <w:webHidden/>
              </w:rPr>
              <w:t>213</w:t>
            </w:r>
            <w:r w:rsidR="00EB6B5D">
              <w:rPr>
                <w:noProof/>
                <w:webHidden/>
              </w:rPr>
              <w:fldChar w:fldCharType="end"/>
            </w:r>
          </w:hyperlink>
        </w:p>
        <w:p w14:paraId="1E0B6FA2" w14:textId="07557C57" w:rsidR="00EB6B5D" w:rsidRDefault="00000000">
          <w:pPr>
            <w:pStyle w:val="TOC2"/>
            <w:tabs>
              <w:tab w:val="right" w:leader="dot" w:pos="10790"/>
            </w:tabs>
            <w:rPr>
              <w:noProof/>
            </w:rPr>
          </w:pPr>
          <w:hyperlink w:anchor="_Toc176864557" w:history="1">
            <w:r w:rsidR="00EB6B5D" w:rsidRPr="00633202">
              <w:rPr>
                <w:rStyle w:val="Hyperlink"/>
                <w:noProof/>
              </w:rPr>
              <w:t>P44 a pour état matériel (est l'état matériel de)</w:t>
            </w:r>
            <w:r w:rsidR="00EB6B5D">
              <w:rPr>
                <w:noProof/>
                <w:webHidden/>
              </w:rPr>
              <w:tab/>
            </w:r>
            <w:r w:rsidR="00EB6B5D">
              <w:rPr>
                <w:noProof/>
                <w:webHidden/>
              </w:rPr>
              <w:fldChar w:fldCharType="begin"/>
            </w:r>
            <w:r w:rsidR="00EB6B5D">
              <w:rPr>
                <w:noProof/>
                <w:webHidden/>
              </w:rPr>
              <w:instrText xml:space="preserve"> PAGEREF _Toc176864557 \h </w:instrText>
            </w:r>
            <w:r w:rsidR="00EB6B5D">
              <w:rPr>
                <w:noProof/>
                <w:webHidden/>
              </w:rPr>
            </w:r>
            <w:r w:rsidR="00EB6B5D">
              <w:rPr>
                <w:noProof/>
                <w:webHidden/>
              </w:rPr>
              <w:fldChar w:fldCharType="separate"/>
            </w:r>
            <w:r w:rsidR="00010123">
              <w:rPr>
                <w:noProof/>
                <w:webHidden/>
              </w:rPr>
              <w:t>214</w:t>
            </w:r>
            <w:r w:rsidR="00EB6B5D">
              <w:rPr>
                <w:noProof/>
                <w:webHidden/>
              </w:rPr>
              <w:fldChar w:fldCharType="end"/>
            </w:r>
          </w:hyperlink>
        </w:p>
        <w:p w14:paraId="37C652A6" w14:textId="2AFEFB53" w:rsidR="00EB6B5D" w:rsidRDefault="00000000">
          <w:pPr>
            <w:pStyle w:val="TOC2"/>
            <w:tabs>
              <w:tab w:val="right" w:leader="dot" w:pos="10790"/>
            </w:tabs>
            <w:rPr>
              <w:noProof/>
            </w:rPr>
          </w:pPr>
          <w:hyperlink w:anchor="_Toc176864558" w:history="1">
            <w:r w:rsidR="00EB6B5D" w:rsidRPr="00633202">
              <w:rPr>
                <w:rStyle w:val="Hyperlink"/>
                <w:noProof/>
              </w:rPr>
              <w:t>P45 comprend (est inclus dans)</w:t>
            </w:r>
            <w:r w:rsidR="00EB6B5D">
              <w:rPr>
                <w:noProof/>
                <w:webHidden/>
              </w:rPr>
              <w:tab/>
            </w:r>
            <w:r w:rsidR="00EB6B5D">
              <w:rPr>
                <w:noProof/>
                <w:webHidden/>
              </w:rPr>
              <w:fldChar w:fldCharType="begin"/>
            </w:r>
            <w:r w:rsidR="00EB6B5D">
              <w:rPr>
                <w:noProof/>
                <w:webHidden/>
              </w:rPr>
              <w:instrText xml:space="preserve"> PAGEREF _Toc176864558 \h </w:instrText>
            </w:r>
            <w:r w:rsidR="00EB6B5D">
              <w:rPr>
                <w:noProof/>
                <w:webHidden/>
              </w:rPr>
            </w:r>
            <w:r w:rsidR="00EB6B5D">
              <w:rPr>
                <w:noProof/>
                <w:webHidden/>
              </w:rPr>
              <w:fldChar w:fldCharType="separate"/>
            </w:r>
            <w:r w:rsidR="00010123">
              <w:rPr>
                <w:noProof/>
                <w:webHidden/>
              </w:rPr>
              <w:t>215</w:t>
            </w:r>
            <w:r w:rsidR="00EB6B5D">
              <w:rPr>
                <w:noProof/>
                <w:webHidden/>
              </w:rPr>
              <w:fldChar w:fldCharType="end"/>
            </w:r>
          </w:hyperlink>
        </w:p>
        <w:p w14:paraId="4E5D8F02" w14:textId="786A5495" w:rsidR="00EB6B5D" w:rsidRDefault="00000000">
          <w:pPr>
            <w:pStyle w:val="TOC2"/>
            <w:tabs>
              <w:tab w:val="right" w:leader="dot" w:pos="10790"/>
            </w:tabs>
            <w:rPr>
              <w:noProof/>
            </w:rPr>
          </w:pPr>
          <w:hyperlink w:anchor="_Toc176864559" w:history="1">
            <w:r w:rsidR="00EB6B5D" w:rsidRPr="00633202">
              <w:rPr>
                <w:rStyle w:val="Hyperlink"/>
                <w:noProof/>
              </w:rPr>
              <w:t>P46 est composé de (fait partie de)</w:t>
            </w:r>
            <w:r w:rsidR="00EB6B5D">
              <w:rPr>
                <w:noProof/>
                <w:webHidden/>
              </w:rPr>
              <w:tab/>
            </w:r>
            <w:r w:rsidR="00EB6B5D">
              <w:rPr>
                <w:noProof/>
                <w:webHidden/>
              </w:rPr>
              <w:fldChar w:fldCharType="begin"/>
            </w:r>
            <w:r w:rsidR="00EB6B5D">
              <w:rPr>
                <w:noProof/>
                <w:webHidden/>
              </w:rPr>
              <w:instrText xml:space="preserve"> PAGEREF _Toc176864559 \h </w:instrText>
            </w:r>
            <w:r w:rsidR="00EB6B5D">
              <w:rPr>
                <w:noProof/>
                <w:webHidden/>
              </w:rPr>
            </w:r>
            <w:r w:rsidR="00EB6B5D">
              <w:rPr>
                <w:noProof/>
                <w:webHidden/>
              </w:rPr>
              <w:fldChar w:fldCharType="separate"/>
            </w:r>
            <w:r w:rsidR="00010123">
              <w:rPr>
                <w:noProof/>
                <w:webHidden/>
              </w:rPr>
              <w:t>216</w:t>
            </w:r>
            <w:r w:rsidR="00EB6B5D">
              <w:rPr>
                <w:noProof/>
                <w:webHidden/>
              </w:rPr>
              <w:fldChar w:fldCharType="end"/>
            </w:r>
          </w:hyperlink>
        </w:p>
        <w:p w14:paraId="76441E5C" w14:textId="6D937EDD" w:rsidR="00EB6B5D" w:rsidRDefault="00000000">
          <w:pPr>
            <w:pStyle w:val="TOC2"/>
            <w:tabs>
              <w:tab w:val="right" w:leader="dot" w:pos="10790"/>
            </w:tabs>
            <w:rPr>
              <w:noProof/>
            </w:rPr>
          </w:pPr>
          <w:hyperlink w:anchor="_Toc176864560" w:history="1">
            <w:r w:rsidR="00EB6B5D" w:rsidRPr="00633202">
              <w:rPr>
                <w:rStyle w:val="Hyperlink"/>
                <w:noProof/>
              </w:rPr>
              <w:t>P48 a pour identifiant préférentiel (est l’identifiant préférentiel de)</w:t>
            </w:r>
            <w:r w:rsidR="00EB6B5D">
              <w:rPr>
                <w:noProof/>
                <w:webHidden/>
              </w:rPr>
              <w:tab/>
            </w:r>
            <w:r w:rsidR="00EB6B5D">
              <w:rPr>
                <w:noProof/>
                <w:webHidden/>
              </w:rPr>
              <w:fldChar w:fldCharType="begin"/>
            </w:r>
            <w:r w:rsidR="00EB6B5D">
              <w:rPr>
                <w:noProof/>
                <w:webHidden/>
              </w:rPr>
              <w:instrText xml:space="preserve"> PAGEREF _Toc176864560 \h </w:instrText>
            </w:r>
            <w:r w:rsidR="00EB6B5D">
              <w:rPr>
                <w:noProof/>
                <w:webHidden/>
              </w:rPr>
            </w:r>
            <w:r w:rsidR="00EB6B5D">
              <w:rPr>
                <w:noProof/>
                <w:webHidden/>
              </w:rPr>
              <w:fldChar w:fldCharType="separate"/>
            </w:r>
            <w:r w:rsidR="00010123">
              <w:rPr>
                <w:noProof/>
                <w:webHidden/>
              </w:rPr>
              <w:t>217</w:t>
            </w:r>
            <w:r w:rsidR="00EB6B5D">
              <w:rPr>
                <w:noProof/>
                <w:webHidden/>
              </w:rPr>
              <w:fldChar w:fldCharType="end"/>
            </w:r>
          </w:hyperlink>
        </w:p>
        <w:p w14:paraId="2E4D9912" w14:textId="40931378" w:rsidR="00EB6B5D" w:rsidRDefault="00000000">
          <w:pPr>
            <w:pStyle w:val="TOC2"/>
            <w:tabs>
              <w:tab w:val="right" w:leader="dot" w:pos="10790"/>
            </w:tabs>
            <w:rPr>
              <w:noProof/>
            </w:rPr>
          </w:pPr>
          <w:hyperlink w:anchor="_Toc176864561" w:history="1">
            <w:r w:rsidR="00EB6B5D" w:rsidRPr="00633202">
              <w:rPr>
                <w:rStyle w:val="Hyperlink"/>
                <w:noProof/>
              </w:rPr>
              <w:t>P49 a pour actant détenteur actuel ou antérieur (est l’actant détenteur actuel ou antérieur de)</w:t>
            </w:r>
            <w:r w:rsidR="00EB6B5D">
              <w:rPr>
                <w:noProof/>
                <w:webHidden/>
              </w:rPr>
              <w:tab/>
            </w:r>
            <w:r w:rsidR="00EB6B5D">
              <w:rPr>
                <w:noProof/>
                <w:webHidden/>
              </w:rPr>
              <w:fldChar w:fldCharType="begin"/>
            </w:r>
            <w:r w:rsidR="00EB6B5D">
              <w:rPr>
                <w:noProof/>
                <w:webHidden/>
              </w:rPr>
              <w:instrText xml:space="preserve"> PAGEREF _Toc176864561 \h </w:instrText>
            </w:r>
            <w:r w:rsidR="00EB6B5D">
              <w:rPr>
                <w:noProof/>
                <w:webHidden/>
              </w:rPr>
            </w:r>
            <w:r w:rsidR="00EB6B5D">
              <w:rPr>
                <w:noProof/>
                <w:webHidden/>
              </w:rPr>
              <w:fldChar w:fldCharType="separate"/>
            </w:r>
            <w:r w:rsidR="00010123">
              <w:rPr>
                <w:noProof/>
                <w:webHidden/>
              </w:rPr>
              <w:t>218</w:t>
            </w:r>
            <w:r w:rsidR="00EB6B5D">
              <w:rPr>
                <w:noProof/>
                <w:webHidden/>
              </w:rPr>
              <w:fldChar w:fldCharType="end"/>
            </w:r>
          </w:hyperlink>
        </w:p>
        <w:p w14:paraId="71F625DF" w14:textId="7B8D013B" w:rsidR="00EB6B5D" w:rsidRDefault="00000000">
          <w:pPr>
            <w:pStyle w:val="TOC2"/>
            <w:tabs>
              <w:tab w:val="right" w:leader="dot" w:pos="10790"/>
            </w:tabs>
            <w:rPr>
              <w:noProof/>
            </w:rPr>
          </w:pPr>
          <w:hyperlink w:anchor="_Toc176864562" w:history="1">
            <w:r w:rsidR="00EB6B5D" w:rsidRPr="00633202">
              <w:rPr>
                <w:rStyle w:val="Hyperlink"/>
                <w:noProof/>
              </w:rPr>
              <w:t>P50 a pour actant détenteur actuel (est l’actant détenteur actuel)</w:t>
            </w:r>
            <w:r w:rsidR="00EB6B5D">
              <w:rPr>
                <w:noProof/>
                <w:webHidden/>
              </w:rPr>
              <w:tab/>
            </w:r>
            <w:r w:rsidR="00EB6B5D">
              <w:rPr>
                <w:noProof/>
                <w:webHidden/>
              </w:rPr>
              <w:fldChar w:fldCharType="begin"/>
            </w:r>
            <w:r w:rsidR="00EB6B5D">
              <w:rPr>
                <w:noProof/>
                <w:webHidden/>
              </w:rPr>
              <w:instrText xml:space="preserve"> PAGEREF _Toc176864562 \h </w:instrText>
            </w:r>
            <w:r w:rsidR="00EB6B5D">
              <w:rPr>
                <w:noProof/>
                <w:webHidden/>
              </w:rPr>
            </w:r>
            <w:r w:rsidR="00EB6B5D">
              <w:rPr>
                <w:noProof/>
                <w:webHidden/>
              </w:rPr>
              <w:fldChar w:fldCharType="separate"/>
            </w:r>
            <w:r w:rsidR="00010123">
              <w:rPr>
                <w:noProof/>
                <w:webHidden/>
              </w:rPr>
              <w:t>219</w:t>
            </w:r>
            <w:r w:rsidR="00EB6B5D">
              <w:rPr>
                <w:noProof/>
                <w:webHidden/>
              </w:rPr>
              <w:fldChar w:fldCharType="end"/>
            </w:r>
          </w:hyperlink>
        </w:p>
        <w:p w14:paraId="0B17D027" w14:textId="081E1DA9" w:rsidR="00EB6B5D" w:rsidRDefault="00000000">
          <w:pPr>
            <w:pStyle w:val="TOC2"/>
            <w:tabs>
              <w:tab w:val="right" w:leader="dot" w:pos="10790"/>
            </w:tabs>
            <w:rPr>
              <w:noProof/>
            </w:rPr>
          </w:pPr>
          <w:hyperlink w:anchor="_Toc176864563" w:history="1">
            <w:r w:rsidR="00EB6B5D" w:rsidRPr="00633202">
              <w:rPr>
                <w:rStyle w:val="Hyperlink"/>
                <w:noProof/>
              </w:rPr>
              <w:t>P51 a pour propriétaire actuel ou antérieur (est l’actant propriétaire actuel ou antérieur de)</w:t>
            </w:r>
            <w:r w:rsidR="00EB6B5D">
              <w:rPr>
                <w:noProof/>
                <w:webHidden/>
              </w:rPr>
              <w:tab/>
            </w:r>
            <w:r w:rsidR="00EB6B5D">
              <w:rPr>
                <w:noProof/>
                <w:webHidden/>
              </w:rPr>
              <w:fldChar w:fldCharType="begin"/>
            </w:r>
            <w:r w:rsidR="00EB6B5D">
              <w:rPr>
                <w:noProof/>
                <w:webHidden/>
              </w:rPr>
              <w:instrText xml:space="preserve"> PAGEREF _Toc176864563 \h </w:instrText>
            </w:r>
            <w:r w:rsidR="00EB6B5D">
              <w:rPr>
                <w:noProof/>
                <w:webHidden/>
              </w:rPr>
            </w:r>
            <w:r w:rsidR="00EB6B5D">
              <w:rPr>
                <w:noProof/>
                <w:webHidden/>
              </w:rPr>
              <w:fldChar w:fldCharType="separate"/>
            </w:r>
            <w:r w:rsidR="00010123">
              <w:rPr>
                <w:noProof/>
                <w:webHidden/>
              </w:rPr>
              <w:t>220</w:t>
            </w:r>
            <w:r w:rsidR="00EB6B5D">
              <w:rPr>
                <w:noProof/>
                <w:webHidden/>
              </w:rPr>
              <w:fldChar w:fldCharType="end"/>
            </w:r>
          </w:hyperlink>
        </w:p>
        <w:p w14:paraId="2B9930A0" w14:textId="5C3DA0AE" w:rsidR="00EB6B5D" w:rsidRDefault="00000000">
          <w:pPr>
            <w:pStyle w:val="TOC2"/>
            <w:tabs>
              <w:tab w:val="right" w:leader="dot" w:pos="10790"/>
            </w:tabs>
            <w:rPr>
              <w:noProof/>
            </w:rPr>
          </w:pPr>
          <w:hyperlink w:anchor="_Toc176864564" w:history="1">
            <w:r w:rsidR="00EB6B5D" w:rsidRPr="00633202">
              <w:rPr>
                <w:rStyle w:val="Hyperlink"/>
                <w:noProof/>
              </w:rPr>
              <w:t>P52 a pour propriétaire actuel (est l'actant propriétaire actuel de)</w:t>
            </w:r>
            <w:r w:rsidR="00EB6B5D">
              <w:rPr>
                <w:noProof/>
                <w:webHidden/>
              </w:rPr>
              <w:tab/>
            </w:r>
            <w:r w:rsidR="00EB6B5D">
              <w:rPr>
                <w:noProof/>
                <w:webHidden/>
              </w:rPr>
              <w:fldChar w:fldCharType="begin"/>
            </w:r>
            <w:r w:rsidR="00EB6B5D">
              <w:rPr>
                <w:noProof/>
                <w:webHidden/>
              </w:rPr>
              <w:instrText xml:space="preserve"> PAGEREF _Toc176864564 \h </w:instrText>
            </w:r>
            <w:r w:rsidR="00EB6B5D">
              <w:rPr>
                <w:noProof/>
                <w:webHidden/>
              </w:rPr>
            </w:r>
            <w:r w:rsidR="00EB6B5D">
              <w:rPr>
                <w:noProof/>
                <w:webHidden/>
              </w:rPr>
              <w:fldChar w:fldCharType="separate"/>
            </w:r>
            <w:r w:rsidR="00010123">
              <w:rPr>
                <w:noProof/>
                <w:webHidden/>
              </w:rPr>
              <w:t>221</w:t>
            </w:r>
            <w:r w:rsidR="00EB6B5D">
              <w:rPr>
                <w:noProof/>
                <w:webHidden/>
              </w:rPr>
              <w:fldChar w:fldCharType="end"/>
            </w:r>
          </w:hyperlink>
        </w:p>
        <w:p w14:paraId="2EEB3667" w14:textId="0DEB9A7B" w:rsidR="00EB6B5D" w:rsidRDefault="00000000">
          <w:pPr>
            <w:pStyle w:val="TOC2"/>
            <w:tabs>
              <w:tab w:val="right" w:leader="dot" w:pos="10790"/>
            </w:tabs>
            <w:rPr>
              <w:noProof/>
            </w:rPr>
          </w:pPr>
          <w:hyperlink w:anchor="_Toc176864565" w:history="1">
            <w:r w:rsidR="00EB6B5D" w:rsidRPr="00633202">
              <w:rPr>
                <w:rStyle w:val="Hyperlink"/>
                <w:noProof/>
              </w:rPr>
              <w:t>P53 a pour localisation actuelle ou antérieure (est la localisation actuelle ou antérieure de)</w:t>
            </w:r>
            <w:r w:rsidR="00EB6B5D">
              <w:rPr>
                <w:noProof/>
                <w:webHidden/>
              </w:rPr>
              <w:tab/>
            </w:r>
            <w:r w:rsidR="00EB6B5D">
              <w:rPr>
                <w:noProof/>
                <w:webHidden/>
              </w:rPr>
              <w:fldChar w:fldCharType="begin"/>
            </w:r>
            <w:r w:rsidR="00EB6B5D">
              <w:rPr>
                <w:noProof/>
                <w:webHidden/>
              </w:rPr>
              <w:instrText xml:space="preserve"> PAGEREF _Toc176864565 \h </w:instrText>
            </w:r>
            <w:r w:rsidR="00EB6B5D">
              <w:rPr>
                <w:noProof/>
                <w:webHidden/>
              </w:rPr>
            </w:r>
            <w:r w:rsidR="00EB6B5D">
              <w:rPr>
                <w:noProof/>
                <w:webHidden/>
              </w:rPr>
              <w:fldChar w:fldCharType="separate"/>
            </w:r>
            <w:r w:rsidR="00010123">
              <w:rPr>
                <w:noProof/>
                <w:webHidden/>
              </w:rPr>
              <w:t>222</w:t>
            </w:r>
            <w:r w:rsidR="00EB6B5D">
              <w:rPr>
                <w:noProof/>
                <w:webHidden/>
              </w:rPr>
              <w:fldChar w:fldCharType="end"/>
            </w:r>
          </w:hyperlink>
        </w:p>
        <w:p w14:paraId="1092E3D0" w14:textId="59053B9A" w:rsidR="00EB6B5D" w:rsidRDefault="00000000">
          <w:pPr>
            <w:pStyle w:val="TOC2"/>
            <w:tabs>
              <w:tab w:val="right" w:leader="dot" w:pos="10790"/>
            </w:tabs>
            <w:rPr>
              <w:noProof/>
            </w:rPr>
          </w:pPr>
          <w:hyperlink w:anchor="_Toc176864566" w:history="1">
            <w:r w:rsidR="00EB6B5D" w:rsidRPr="00633202">
              <w:rPr>
                <w:rStyle w:val="Hyperlink"/>
                <w:noProof/>
              </w:rPr>
              <w:t>P54 a actuellement pour localisation fixe (est actuellement la location fixe de)</w:t>
            </w:r>
            <w:r w:rsidR="00EB6B5D">
              <w:rPr>
                <w:noProof/>
                <w:webHidden/>
              </w:rPr>
              <w:tab/>
            </w:r>
            <w:r w:rsidR="00EB6B5D">
              <w:rPr>
                <w:noProof/>
                <w:webHidden/>
              </w:rPr>
              <w:fldChar w:fldCharType="begin"/>
            </w:r>
            <w:r w:rsidR="00EB6B5D">
              <w:rPr>
                <w:noProof/>
                <w:webHidden/>
              </w:rPr>
              <w:instrText xml:space="preserve"> PAGEREF _Toc176864566 \h </w:instrText>
            </w:r>
            <w:r w:rsidR="00EB6B5D">
              <w:rPr>
                <w:noProof/>
                <w:webHidden/>
              </w:rPr>
            </w:r>
            <w:r w:rsidR="00EB6B5D">
              <w:rPr>
                <w:noProof/>
                <w:webHidden/>
              </w:rPr>
              <w:fldChar w:fldCharType="separate"/>
            </w:r>
            <w:r w:rsidR="00010123">
              <w:rPr>
                <w:noProof/>
                <w:webHidden/>
              </w:rPr>
              <w:t>224</w:t>
            </w:r>
            <w:r w:rsidR="00EB6B5D">
              <w:rPr>
                <w:noProof/>
                <w:webHidden/>
              </w:rPr>
              <w:fldChar w:fldCharType="end"/>
            </w:r>
          </w:hyperlink>
        </w:p>
        <w:p w14:paraId="6E3A6698" w14:textId="123026C8" w:rsidR="00EB6B5D" w:rsidRDefault="00000000">
          <w:pPr>
            <w:pStyle w:val="TOC2"/>
            <w:tabs>
              <w:tab w:val="right" w:leader="dot" w:pos="10790"/>
            </w:tabs>
            <w:rPr>
              <w:noProof/>
            </w:rPr>
          </w:pPr>
          <w:hyperlink w:anchor="_Toc176864567" w:history="1">
            <w:r w:rsidR="00EB6B5D" w:rsidRPr="00633202">
              <w:rPr>
                <w:rStyle w:val="Hyperlink"/>
                <w:noProof/>
              </w:rPr>
              <w:t>P55 a actuellement pour localisation (est actuellement la localisation de)</w:t>
            </w:r>
            <w:r w:rsidR="00EB6B5D">
              <w:rPr>
                <w:noProof/>
                <w:webHidden/>
              </w:rPr>
              <w:tab/>
            </w:r>
            <w:r w:rsidR="00EB6B5D">
              <w:rPr>
                <w:noProof/>
                <w:webHidden/>
              </w:rPr>
              <w:fldChar w:fldCharType="begin"/>
            </w:r>
            <w:r w:rsidR="00EB6B5D">
              <w:rPr>
                <w:noProof/>
                <w:webHidden/>
              </w:rPr>
              <w:instrText xml:space="preserve"> PAGEREF _Toc176864567 \h </w:instrText>
            </w:r>
            <w:r w:rsidR="00EB6B5D">
              <w:rPr>
                <w:noProof/>
                <w:webHidden/>
              </w:rPr>
            </w:r>
            <w:r w:rsidR="00EB6B5D">
              <w:rPr>
                <w:noProof/>
                <w:webHidden/>
              </w:rPr>
              <w:fldChar w:fldCharType="separate"/>
            </w:r>
            <w:r w:rsidR="00010123">
              <w:rPr>
                <w:noProof/>
                <w:webHidden/>
              </w:rPr>
              <w:t>225</w:t>
            </w:r>
            <w:r w:rsidR="00EB6B5D">
              <w:rPr>
                <w:noProof/>
                <w:webHidden/>
              </w:rPr>
              <w:fldChar w:fldCharType="end"/>
            </w:r>
          </w:hyperlink>
        </w:p>
        <w:p w14:paraId="517ED2B9" w14:textId="7F12A3B5" w:rsidR="00EB6B5D" w:rsidRDefault="00000000">
          <w:pPr>
            <w:pStyle w:val="TOC2"/>
            <w:tabs>
              <w:tab w:val="right" w:leader="dot" w:pos="10790"/>
            </w:tabs>
            <w:rPr>
              <w:noProof/>
            </w:rPr>
          </w:pPr>
          <w:hyperlink w:anchor="_Toc176864568" w:history="1">
            <w:r w:rsidR="00EB6B5D" w:rsidRPr="00633202">
              <w:rPr>
                <w:rStyle w:val="Hyperlink"/>
                <w:noProof/>
              </w:rPr>
              <w:t>P56 a pour caractéristique (se trouve sur)</w:t>
            </w:r>
            <w:r w:rsidR="00EB6B5D">
              <w:rPr>
                <w:noProof/>
                <w:webHidden/>
              </w:rPr>
              <w:tab/>
            </w:r>
            <w:r w:rsidR="00EB6B5D">
              <w:rPr>
                <w:noProof/>
                <w:webHidden/>
              </w:rPr>
              <w:fldChar w:fldCharType="begin"/>
            </w:r>
            <w:r w:rsidR="00EB6B5D">
              <w:rPr>
                <w:noProof/>
                <w:webHidden/>
              </w:rPr>
              <w:instrText xml:space="preserve"> PAGEREF _Toc176864568 \h </w:instrText>
            </w:r>
            <w:r w:rsidR="00EB6B5D">
              <w:rPr>
                <w:noProof/>
                <w:webHidden/>
              </w:rPr>
            </w:r>
            <w:r w:rsidR="00EB6B5D">
              <w:rPr>
                <w:noProof/>
                <w:webHidden/>
              </w:rPr>
              <w:fldChar w:fldCharType="separate"/>
            </w:r>
            <w:r w:rsidR="00010123">
              <w:rPr>
                <w:noProof/>
                <w:webHidden/>
              </w:rPr>
              <w:t>226</w:t>
            </w:r>
            <w:r w:rsidR="00EB6B5D">
              <w:rPr>
                <w:noProof/>
                <w:webHidden/>
              </w:rPr>
              <w:fldChar w:fldCharType="end"/>
            </w:r>
          </w:hyperlink>
        </w:p>
        <w:p w14:paraId="0966E6A4" w14:textId="11271476" w:rsidR="00EB6B5D" w:rsidRDefault="00000000">
          <w:pPr>
            <w:pStyle w:val="TOC2"/>
            <w:tabs>
              <w:tab w:val="right" w:leader="dot" w:pos="10790"/>
            </w:tabs>
            <w:rPr>
              <w:noProof/>
            </w:rPr>
          </w:pPr>
          <w:hyperlink w:anchor="_Toc176864569" w:history="1">
            <w:r w:rsidR="00EB6B5D" w:rsidRPr="00633202">
              <w:rPr>
                <w:rStyle w:val="Hyperlink"/>
                <w:noProof/>
              </w:rPr>
              <w:t>P57 a pour nombre d’éléments</w:t>
            </w:r>
            <w:r w:rsidR="00EB6B5D">
              <w:rPr>
                <w:noProof/>
                <w:webHidden/>
              </w:rPr>
              <w:tab/>
            </w:r>
            <w:r w:rsidR="00EB6B5D">
              <w:rPr>
                <w:noProof/>
                <w:webHidden/>
              </w:rPr>
              <w:fldChar w:fldCharType="begin"/>
            </w:r>
            <w:r w:rsidR="00EB6B5D">
              <w:rPr>
                <w:noProof/>
                <w:webHidden/>
              </w:rPr>
              <w:instrText xml:space="preserve"> PAGEREF _Toc176864569 \h </w:instrText>
            </w:r>
            <w:r w:rsidR="00EB6B5D">
              <w:rPr>
                <w:noProof/>
                <w:webHidden/>
              </w:rPr>
            </w:r>
            <w:r w:rsidR="00EB6B5D">
              <w:rPr>
                <w:noProof/>
                <w:webHidden/>
              </w:rPr>
              <w:fldChar w:fldCharType="separate"/>
            </w:r>
            <w:r w:rsidR="00010123">
              <w:rPr>
                <w:noProof/>
                <w:webHidden/>
              </w:rPr>
              <w:t>227</w:t>
            </w:r>
            <w:r w:rsidR="00EB6B5D">
              <w:rPr>
                <w:noProof/>
                <w:webHidden/>
              </w:rPr>
              <w:fldChar w:fldCharType="end"/>
            </w:r>
          </w:hyperlink>
        </w:p>
        <w:p w14:paraId="4BAAD67A" w14:textId="38558AC9" w:rsidR="00EB6B5D" w:rsidRDefault="00000000">
          <w:pPr>
            <w:pStyle w:val="TOC2"/>
            <w:tabs>
              <w:tab w:val="right" w:leader="dot" w:pos="10790"/>
            </w:tabs>
            <w:rPr>
              <w:noProof/>
            </w:rPr>
          </w:pPr>
          <w:hyperlink w:anchor="_Toc176864570" w:history="1">
            <w:r w:rsidR="00EB6B5D" w:rsidRPr="00633202">
              <w:rPr>
                <w:rStyle w:val="Hyperlink"/>
                <w:noProof/>
              </w:rPr>
              <w:t>P59 a pour section (se situe sur ou dans)</w:t>
            </w:r>
            <w:r w:rsidR="00EB6B5D">
              <w:rPr>
                <w:noProof/>
                <w:webHidden/>
              </w:rPr>
              <w:tab/>
            </w:r>
            <w:r w:rsidR="00EB6B5D">
              <w:rPr>
                <w:noProof/>
                <w:webHidden/>
              </w:rPr>
              <w:fldChar w:fldCharType="begin"/>
            </w:r>
            <w:r w:rsidR="00EB6B5D">
              <w:rPr>
                <w:noProof/>
                <w:webHidden/>
              </w:rPr>
              <w:instrText xml:space="preserve"> PAGEREF _Toc176864570 \h </w:instrText>
            </w:r>
            <w:r w:rsidR="00EB6B5D">
              <w:rPr>
                <w:noProof/>
                <w:webHidden/>
              </w:rPr>
            </w:r>
            <w:r w:rsidR="00EB6B5D">
              <w:rPr>
                <w:noProof/>
                <w:webHidden/>
              </w:rPr>
              <w:fldChar w:fldCharType="separate"/>
            </w:r>
            <w:r w:rsidR="00010123">
              <w:rPr>
                <w:noProof/>
                <w:webHidden/>
              </w:rPr>
              <w:t>227</w:t>
            </w:r>
            <w:r w:rsidR="00EB6B5D">
              <w:rPr>
                <w:noProof/>
                <w:webHidden/>
              </w:rPr>
              <w:fldChar w:fldCharType="end"/>
            </w:r>
          </w:hyperlink>
        </w:p>
        <w:p w14:paraId="73F2E94C" w14:textId="2F0A851C" w:rsidR="00EB6B5D" w:rsidRDefault="00000000">
          <w:pPr>
            <w:pStyle w:val="TOC2"/>
            <w:tabs>
              <w:tab w:val="right" w:leader="dot" w:pos="10790"/>
            </w:tabs>
            <w:rPr>
              <w:noProof/>
            </w:rPr>
          </w:pPr>
          <w:hyperlink w:anchor="_Toc176864571" w:history="1">
            <w:r w:rsidR="00EB6B5D" w:rsidRPr="00633202">
              <w:rPr>
                <w:rStyle w:val="Hyperlink"/>
                <w:noProof/>
              </w:rPr>
              <w:t>P62 illustre (est illustré par)</w:t>
            </w:r>
            <w:r w:rsidR="00EB6B5D">
              <w:rPr>
                <w:noProof/>
                <w:webHidden/>
              </w:rPr>
              <w:tab/>
            </w:r>
            <w:r w:rsidR="00EB6B5D">
              <w:rPr>
                <w:noProof/>
                <w:webHidden/>
              </w:rPr>
              <w:fldChar w:fldCharType="begin"/>
            </w:r>
            <w:r w:rsidR="00EB6B5D">
              <w:rPr>
                <w:noProof/>
                <w:webHidden/>
              </w:rPr>
              <w:instrText xml:space="preserve"> PAGEREF _Toc176864571 \h </w:instrText>
            </w:r>
            <w:r w:rsidR="00EB6B5D">
              <w:rPr>
                <w:noProof/>
                <w:webHidden/>
              </w:rPr>
            </w:r>
            <w:r w:rsidR="00EB6B5D">
              <w:rPr>
                <w:noProof/>
                <w:webHidden/>
              </w:rPr>
              <w:fldChar w:fldCharType="separate"/>
            </w:r>
            <w:r w:rsidR="00010123">
              <w:rPr>
                <w:noProof/>
                <w:webHidden/>
              </w:rPr>
              <w:t>228</w:t>
            </w:r>
            <w:r w:rsidR="00EB6B5D">
              <w:rPr>
                <w:noProof/>
                <w:webHidden/>
              </w:rPr>
              <w:fldChar w:fldCharType="end"/>
            </w:r>
          </w:hyperlink>
        </w:p>
        <w:p w14:paraId="48ED06CA" w14:textId="636F10CF" w:rsidR="00EB6B5D" w:rsidRDefault="00000000">
          <w:pPr>
            <w:pStyle w:val="TOC2"/>
            <w:tabs>
              <w:tab w:val="right" w:leader="dot" w:pos="10790"/>
            </w:tabs>
            <w:rPr>
              <w:noProof/>
            </w:rPr>
          </w:pPr>
          <w:hyperlink w:anchor="_Toc176864572" w:history="1">
            <w:r w:rsidR="00EB6B5D" w:rsidRPr="00633202">
              <w:rPr>
                <w:rStyle w:val="Hyperlink"/>
                <w:noProof/>
              </w:rPr>
              <w:t>P65 représente l'entité visuelle (est représenté par)</w:t>
            </w:r>
            <w:r w:rsidR="00EB6B5D">
              <w:rPr>
                <w:noProof/>
                <w:webHidden/>
              </w:rPr>
              <w:tab/>
            </w:r>
            <w:r w:rsidR="00EB6B5D">
              <w:rPr>
                <w:noProof/>
                <w:webHidden/>
              </w:rPr>
              <w:fldChar w:fldCharType="begin"/>
            </w:r>
            <w:r w:rsidR="00EB6B5D">
              <w:rPr>
                <w:noProof/>
                <w:webHidden/>
              </w:rPr>
              <w:instrText xml:space="preserve"> PAGEREF _Toc176864572 \h </w:instrText>
            </w:r>
            <w:r w:rsidR="00EB6B5D">
              <w:rPr>
                <w:noProof/>
                <w:webHidden/>
              </w:rPr>
            </w:r>
            <w:r w:rsidR="00EB6B5D">
              <w:rPr>
                <w:noProof/>
                <w:webHidden/>
              </w:rPr>
              <w:fldChar w:fldCharType="separate"/>
            </w:r>
            <w:r w:rsidR="00010123">
              <w:rPr>
                <w:noProof/>
                <w:webHidden/>
              </w:rPr>
              <w:t>230</w:t>
            </w:r>
            <w:r w:rsidR="00EB6B5D">
              <w:rPr>
                <w:noProof/>
                <w:webHidden/>
              </w:rPr>
              <w:fldChar w:fldCharType="end"/>
            </w:r>
          </w:hyperlink>
        </w:p>
        <w:p w14:paraId="482A48BA" w14:textId="7EAE7DB5" w:rsidR="00EB6B5D" w:rsidRDefault="00000000">
          <w:pPr>
            <w:pStyle w:val="TOC2"/>
            <w:tabs>
              <w:tab w:val="right" w:leader="dot" w:pos="10790"/>
            </w:tabs>
            <w:rPr>
              <w:noProof/>
            </w:rPr>
          </w:pPr>
          <w:hyperlink w:anchor="_Toc176864573" w:history="1">
            <w:r w:rsidR="00EB6B5D" w:rsidRPr="00633202">
              <w:rPr>
                <w:rStyle w:val="Hyperlink"/>
                <w:noProof/>
              </w:rPr>
              <w:t>P67 renvoie à (fait l'objet d'un renvoi par)</w:t>
            </w:r>
            <w:r w:rsidR="00EB6B5D">
              <w:rPr>
                <w:noProof/>
                <w:webHidden/>
              </w:rPr>
              <w:tab/>
            </w:r>
            <w:r w:rsidR="00EB6B5D">
              <w:rPr>
                <w:noProof/>
                <w:webHidden/>
              </w:rPr>
              <w:fldChar w:fldCharType="begin"/>
            </w:r>
            <w:r w:rsidR="00EB6B5D">
              <w:rPr>
                <w:noProof/>
                <w:webHidden/>
              </w:rPr>
              <w:instrText xml:space="preserve"> PAGEREF _Toc176864573 \h </w:instrText>
            </w:r>
            <w:r w:rsidR="00EB6B5D">
              <w:rPr>
                <w:noProof/>
                <w:webHidden/>
              </w:rPr>
            </w:r>
            <w:r w:rsidR="00EB6B5D">
              <w:rPr>
                <w:noProof/>
                <w:webHidden/>
              </w:rPr>
              <w:fldChar w:fldCharType="separate"/>
            </w:r>
            <w:r w:rsidR="00010123">
              <w:rPr>
                <w:noProof/>
                <w:webHidden/>
              </w:rPr>
              <w:t>231</w:t>
            </w:r>
            <w:r w:rsidR="00EB6B5D">
              <w:rPr>
                <w:noProof/>
                <w:webHidden/>
              </w:rPr>
              <w:fldChar w:fldCharType="end"/>
            </w:r>
          </w:hyperlink>
        </w:p>
        <w:p w14:paraId="1934DD24" w14:textId="76D67122" w:rsidR="00EB6B5D" w:rsidRDefault="00000000">
          <w:pPr>
            <w:pStyle w:val="TOC2"/>
            <w:tabs>
              <w:tab w:val="right" w:leader="dot" w:pos="10790"/>
            </w:tabs>
            <w:rPr>
              <w:noProof/>
            </w:rPr>
          </w:pPr>
          <w:hyperlink w:anchor="_Toc176864574" w:history="1">
            <w:r w:rsidR="00EB6B5D" w:rsidRPr="00633202">
              <w:rPr>
                <w:rStyle w:val="Hyperlink"/>
                <w:noProof/>
              </w:rPr>
              <w:t>P68 prévoit l'usage de (usage prévu de)</w:t>
            </w:r>
            <w:r w:rsidR="00EB6B5D">
              <w:rPr>
                <w:noProof/>
                <w:webHidden/>
              </w:rPr>
              <w:tab/>
            </w:r>
            <w:r w:rsidR="00EB6B5D">
              <w:rPr>
                <w:noProof/>
                <w:webHidden/>
              </w:rPr>
              <w:fldChar w:fldCharType="begin"/>
            </w:r>
            <w:r w:rsidR="00EB6B5D">
              <w:rPr>
                <w:noProof/>
                <w:webHidden/>
              </w:rPr>
              <w:instrText xml:space="preserve"> PAGEREF _Toc176864574 \h </w:instrText>
            </w:r>
            <w:r w:rsidR="00EB6B5D">
              <w:rPr>
                <w:noProof/>
                <w:webHidden/>
              </w:rPr>
            </w:r>
            <w:r w:rsidR="00EB6B5D">
              <w:rPr>
                <w:noProof/>
                <w:webHidden/>
              </w:rPr>
              <w:fldChar w:fldCharType="separate"/>
            </w:r>
            <w:r w:rsidR="00010123">
              <w:rPr>
                <w:noProof/>
                <w:webHidden/>
              </w:rPr>
              <w:t>232</w:t>
            </w:r>
            <w:r w:rsidR="00EB6B5D">
              <w:rPr>
                <w:noProof/>
                <w:webHidden/>
              </w:rPr>
              <w:fldChar w:fldCharType="end"/>
            </w:r>
          </w:hyperlink>
        </w:p>
        <w:p w14:paraId="1C147231" w14:textId="0EC8ADA5" w:rsidR="00EB6B5D" w:rsidRDefault="00000000">
          <w:pPr>
            <w:pStyle w:val="TOC2"/>
            <w:tabs>
              <w:tab w:val="right" w:leader="dot" w:pos="10790"/>
            </w:tabs>
            <w:rPr>
              <w:noProof/>
            </w:rPr>
          </w:pPr>
          <w:hyperlink w:anchor="_Toc176864575" w:history="1">
            <w:r w:rsidR="00EB6B5D" w:rsidRPr="00633202">
              <w:rPr>
                <w:rStyle w:val="Hyperlink"/>
                <w:noProof/>
              </w:rPr>
              <w:t>P69 est associé à (est associé à)</w:t>
            </w:r>
            <w:r w:rsidR="00EB6B5D">
              <w:rPr>
                <w:noProof/>
                <w:webHidden/>
              </w:rPr>
              <w:tab/>
            </w:r>
            <w:r w:rsidR="00EB6B5D">
              <w:rPr>
                <w:noProof/>
                <w:webHidden/>
              </w:rPr>
              <w:fldChar w:fldCharType="begin"/>
            </w:r>
            <w:r w:rsidR="00EB6B5D">
              <w:rPr>
                <w:noProof/>
                <w:webHidden/>
              </w:rPr>
              <w:instrText xml:space="preserve"> PAGEREF _Toc176864575 \h </w:instrText>
            </w:r>
            <w:r w:rsidR="00EB6B5D">
              <w:rPr>
                <w:noProof/>
                <w:webHidden/>
              </w:rPr>
            </w:r>
            <w:r w:rsidR="00EB6B5D">
              <w:rPr>
                <w:noProof/>
                <w:webHidden/>
              </w:rPr>
              <w:fldChar w:fldCharType="separate"/>
            </w:r>
            <w:r w:rsidR="00010123">
              <w:rPr>
                <w:noProof/>
                <w:webHidden/>
              </w:rPr>
              <w:t>233</w:t>
            </w:r>
            <w:r w:rsidR="00EB6B5D">
              <w:rPr>
                <w:noProof/>
                <w:webHidden/>
              </w:rPr>
              <w:fldChar w:fldCharType="end"/>
            </w:r>
          </w:hyperlink>
        </w:p>
        <w:p w14:paraId="576D798C" w14:textId="5C62E616" w:rsidR="00EB6B5D" w:rsidRDefault="00000000">
          <w:pPr>
            <w:pStyle w:val="TOC2"/>
            <w:tabs>
              <w:tab w:val="right" w:leader="dot" w:pos="10790"/>
            </w:tabs>
            <w:rPr>
              <w:noProof/>
            </w:rPr>
          </w:pPr>
          <w:hyperlink w:anchor="_Toc176864576" w:history="1">
            <w:r w:rsidR="00EB6B5D" w:rsidRPr="00633202">
              <w:rPr>
                <w:rStyle w:val="Hyperlink"/>
                <w:noProof/>
              </w:rPr>
              <w:t>P70 documente (est documenté dans)</w:t>
            </w:r>
            <w:r w:rsidR="00EB6B5D">
              <w:rPr>
                <w:noProof/>
                <w:webHidden/>
              </w:rPr>
              <w:tab/>
            </w:r>
            <w:r w:rsidR="00EB6B5D">
              <w:rPr>
                <w:noProof/>
                <w:webHidden/>
              </w:rPr>
              <w:fldChar w:fldCharType="begin"/>
            </w:r>
            <w:r w:rsidR="00EB6B5D">
              <w:rPr>
                <w:noProof/>
                <w:webHidden/>
              </w:rPr>
              <w:instrText xml:space="preserve"> PAGEREF _Toc176864576 \h </w:instrText>
            </w:r>
            <w:r w:rsidR="00EB6B5D">
              <w:rPr>
                <w:noProof/>
                <w:webHidden/>
              </w:rPr>
            </w:r>
            <w:r w:rsidR="00EB6B5D">
              <w:rPr>
                <w:noProof/>
                <w:webHidden/>
              </w:rPr>
              <w:fldChar w:fldCharType="separate"/>
            </w:r>
            <w:r w:rsidR="00010123">
              <w:rPr>
                <w:noProof/>
                <w:webHidden/>
              </w:rPr>
              <w:t>234</w:t>
            </w:r>
            <w:r w:rsidR="00EB6B5D">
              <w:rPr>
                <w:noProof/>
                <w:webHidden/>
              </w:rPr>
              <w:fldChar w:fldCharType="end"/>
            </w:r>
          </w:hyperlink>
        </w:p>
        <w:p w14:paraId="1DDCCF18" w14:textId="7CAF278A" w:rsidR="00EB6B5D" w:rsidRDefault="00000000">
          <w:pPr>
            <w:pStyle w:val="TOC2"/>
            <w:tabs>
              <w:tab w:val="right" w:leader="dot" w:pos="10790"/>
            </w:tabs>
            <w:rPr>
              <w:noProof/>
            </w:rPr>
          </w:pPr>
          <w:hyperlink w:anchor="_Toc176864577" w:history="1">
            <w:r w:rsidR="00EB6B5D" w:rsidRPr="00633202">
              <w:rPr>
                <w:rStyle w:val="Hyperlink"/>
                <w:noProof/>
              </w:rPr>
              <w:t>P71 énumère (est énuméré par)</w:t>
            </w:r>
            <w:r w:rsidR="00EB6B5D">
              <w:rPr>
                <w:noProof/>
                <w:webHidden/>
              </w:rPr>
              <w:tab/>
            </w:r>
            <w:r w:rsidR="00EB6B5D">
              <w:rPr>
                <w:noProof/>
                <w:webHidden/>
              </w:rPr>
              <w:fldChar w:fldCharType="begin"/>
            </w:r>
            <w:r w:rsidR="00EB6B5D">
              <w:rPr>
                <w:noProof/>
                <w:webHidden/>
              </w:rPr>
              <w:instrText xml:space="preserve"> PAGEREF _Toc176864577 \h </w:instrText>
            </w:r>
            <w:r w:rsidR="00EB6B5D">
              <w:rPr>
                <w:noProof/>
                <w:webHidden/>
              </w:rPr>
            </w:r>
            <w:r w:rsidR="00EB6B5D">
              <w:rPr>
                <w:noProof/>
                <w:webHidden/>
              </w:rPr>
              <w:fldChar w:fldCharType="separate"/>
            </w:r>
            <w:r w:rsidR="00010123">
              <w:rPr>
                <w:noProof/>
                <w:webHidden/>
              </w:rPr>
              <w:t>235</w:t>
            </w:r>
            <w:r w:rsidR="00EB6B5D">
              <w:rPr>
                <w:noProof/>
                <w:webHidden/>
              </w:rPr>
              <w:fldChar w:fldCharType="end"/>
            </w:r>
          </w:hyperlink>
        </w:p>
        <w:p w14:paraId="3B01A063" w14:textId="43D6B170" w:rsidR="00EB6B5D" w:rsidRDefault="00000000">
          <w:pPr>
            <w:pStyle w:val="TOC2"/>
            <w:tabs>
              <w:tab w:val="right" w:leader="dot" w:pos="10790"/>
            </w:tabs>
            <w:rPr>
              <w:noProof/>
            </w:rPr>
          </w:pPr>
          <w:hyperlink w:anchor="_Toc176864578" w:history="1">
            <w:r w:rsidR="00EB6B5D" w:rsidRPr="00633202">
              <w:rPr>
                <w:rStyle w:val="Hyperlink"/>
                <w:noProof/>
              </w:rPr>
              <w:t>P72 a pour langue (est la langue de)</w:t>
            </w:r>
            <w:r w:rsidR="00EB6B5D">
              <w:rPr>
                <w:noProof/>
                <w:webHidden/>
              </w:rPr>
              <w:tab/>
            </w:r>
            <w:r w:rsidR="00EB6B5D">
              <w:rPr>
                <w:noProof/>
                <w:webHidden/>
              </w:rPr>
              <w:fldChar w:fldCharType="begin"/>
            </w:r>
            <w:r w:rsidR="00EB6B5D">
              <w:rPr>
                <w:noProof/>
                <w:webHidden/>
              </w:rPr>
              <w:instrText xml:space="preserve"> PAGEREF _Toc176864578 \h </w:instrText>
            </w:r>
            <w:r w:rsidR="00EB6B5D">
              <w:rPr>
                <w:noProof/>
                <w:webHidden/>
              </w:rPr>
            </w:r>
            <w:r w:rsidR="00EB6B5D">
              <w:rPr>
                <w:noProof/>
                <w:webHidden/>
              </w:rPr>
              <w:fldChar w:fldCharType="separate"/>
            </w:r>
            <w:r w:rsidR="00010123">
              <w:rPr>
                <w:noProof/>
                <w:webHidden/>
              </w:rPr>
              <w:t>236</w:t>
            </w:r>
            <w:r w:rsidR="00EB6B5D">
              <w:rPr>
                <w:noProof/>
                <w:webHidden/>
              </w:rPr>
              <w:fldChar w:fldCharType="end"/>
            </w:r>
          </w:hyperlink>
        </w:p>
        <w:p w14:paraId="4872D98B" w14:textId="2B29A281" w:rsidR="00EB6B5D" w:rsidRDefault="00000000">
          <w:pPr>
            <w:pStyle w:val="TOC2"/>
            <w:tabs>
              <w:tab w:val="right" w:leader="dot" w:pos="10790"/>
            </w:tabs>
            <w:rPr>
              <w:noProof/>
            </w:rPr>
          </w:pPr>
          <w:hyperlink w:anchor="_Toc176864579" w:history="1">
            <w:r w:rsidR="00EB6B5D" w:rsidRPr="00633202">
              <w:rPr>
                <w:rStyle w:val="Hyperlink"/>
                <w:noProof/>
              </w:rPr>
              <w:t>P73 a pour traduction (est traduction de)</w:t>
            </w:r>
            <w:r w:rsidR="00EB6B5D">
              <w:rPr>
                <w:noProof/>
                <w:webHidden/>
              </w:rPr>
              <w:tab/>
            </w:r>
            <w:r w:rsidR="00EB6B5D">
              <w:rPr>
                <w:noProof/>
                <w:webHidden/>
              </w:rPr>
              <w:fldChar w:fldCharType="begin"/>
            </w:r>
            <w:r w:rsidR="00EB6B5D">
              <w:rPr>
                <w:noProof/>
                <w:webHidden/>
              </w:rPr>
              <w:instrText xml:space="preserve"> PAGEREF _Toc176864579 \h </w:instrText>
            </w:r>
            <w:r w:rsidR="00EB6B5D">
              <w:rPr>
                <w:noProof/>
                <w:webHidden/>
              </w:rPr>
            </w:r>
            <w:r w:rsidR="00EB6B5D">
              <w:rPr>
                <w:noProof/>
                <w:webHidden/>
              </w:rPr>
              <w:fldChar w:fldCharType="separate"/>
            </w:r>
            <w:r w:rsidR="00010123">
              <w:rPr>
                <w:noProof/>
                <w:webHidden/>
              </w:rPr>
              <w:t>236</w:t>
            </w:r>
            <w:r w:rsidR="00EB6B5D">
              <w:rPr>
                <w:noProof/>
                <w:webHidden/>
              </w:rPr>
              <w:fldChar w:fldCharType="end"/>
            </w:r>
          </w:hyperlink>
        </w:p>
        <w:p w14:paraId="791092B1" w14:textId="3A4D1AB2" w:rsidR="00EB6B5D" w:rsidRDefault="00000000">
          <w:pPr>
            <w:pStyle w:val="TOC2"/>
            <w:tabs>
              <w:tab w:val="right" w:leader="dot" w:pos="10790"/>
            </w:tabs>
            <w:rPr>
              <w:noProof/>
            </w:rPr>
          </w:pPr>
          <w:hyperlink w:anchor="_Toc176864580" w:history="1">
            <w:r w:rsidR="00EB6B5D" w:rsidRPr="00633202">
              <w:rPr>
                <w:rStyle w:val="Hyperlink"/>
                <w:noProof/>
              </w:rPr>
              <w:t>P74 a pour résidence actuelle ou antérieure (est la résidence actuelle ou antérieure de)</w:t>
            </w:r>
            <w:r w:rsidR="00EB6B5D">
              <w:rPr>
                <w:noProof/>
                <w:webHidden/>
              </w:rPr>
              <w:tab/>
            </w:r>
            <w:r w:rsidR="00EB6B5D">
              <w:rPr>
                <w:noProof/>
                <w:webHidden/>
              </w:rPr>
              <w:fldChar w:fldCharType="begin"/>
            </w:r>
            <w:r w:rsidR="00EB6B5D">
              <w:rPr>
                <w:noProof/>
                <w:webHidden/>
              </w:rPr>
              <w:instrText xml:space="preserve"> PAGEREF _Toc176864580 \h </w:instrText>
            </w:r>
            <w:r w:rsidR="00EB6B5D">
              <w:rPr>
                <w:noProof/>
                <w:webHidden/>
              </w:rPr>
            </w:r>
            <w:r w:rsidR="00EB6B5D">
              <w:rPr>
                <w:noProof/>
                <w:webHidden/>
              </w:rPr>
              <w:fldChar w:fldCharType="separate"/>
            </w:r>
            <w:r w:rsidR="00010123">
              <w:rPr>
                <w:noProof/>
                <w:webHidden/>
              </w:rPr>
              <w:t>237</w:t>
            </w:r>
            <w:r w:rsidR="00EB6B5D">
              <w:rPr>
                <w:noProof/>
                <w:webHidden/>
              </w:rPr>
              <w:fldChar w:fldCharType="end"/>
            </w:r>
          </w:hyperlink>
        </w:p>
        <w:p w14:paraId="0BD89168" w14:textId="6B3E6B05" w:rsidR="00EB6B5D" w:rsidRDefault="00000000">
          <w:pPr>
            <w:pStyle w:val="TOC2"/>
            <w:tabs>
              <w:tab w:val="right" w:leader="dot" w:pos="10790"/>
            </w:tabs>
            <w:rPr>
              <w:noProof/>
            </w:rPr>
          </w:pPr>
          <w:hyperlink w:anchor="_Toc176864581" w:history="1">
            <w:r w:rsidR="00EB6B5D" w:rsidRPr="00633202">
              <w:rPr>
                <w:rStyle w:val="Hyperlink"/>
                <w:noProof/>
              </w:rPr>
              <w:t>P75 possède (est possédé par)</w:t>
            </w:r>
            <w:r w:rsidR="00EB6B5D">
              <w:rPr>
                <w:noProof/>
                <w:webHidden/>
              </w:rPr>
              <w:tab/>
            </w:r>
            <w:r w:rsidR="00EB6B5D">
              <w:rPr>
                <w:noProof/>
                <w:webHidden/>
              </w:rPr>
              <w:fldChar w:fldCharType="begin"/>
            </w:r>
            <w:r w:rsidR="00EB6B5D">
              <w:rPr>
                <w:noProof/>
                <w:webHidden/>
              </w:rPr>
              <w:instrText xml:space="preserve"> PAGEREF _Toc176864581 \h </w:instrText>
            </w:r>
            <w:r w:rsidR="00EB6B5D">
              <w:rPr>
                <w:noProof/>
                <w:webHidden/>
              </w:rPr>
            </w:r>
            <w:r w:rsidR="00EB6B5D">
              <w:rPr>
                <w:noProof/>
                <w:webHidden/>
              </w:rPr>
              <w:fldChar w:fldCharType="separate"/>
            </w:r>
            <w:r w:rsidR="00010123">
              <w:rPr>
                <w:noProof/>
                <w:webHidden/>
              </w:rPr>
              <w:t>238</w:t>
            </w:r>
            <w:r w:rsidR="00EB6B5D">
              <w:rPr>
                <w:noProof/>
                <w:webHidden/>
              </w:rPr>
              <w:fldChar w:fldCharType="end"/>
            </w:r>
          </w:hyperlink>
        </w:p>
        <w:p w14:paraId="0E4EF510" w14:textId="17371872" w:rsidR="00EB6B5D" w:rsidRDefault="00000000">
          <w:pPr>
            <w:pStyle w:val="TOC2"/>
            <w:tabs>
              <w:tab w:val="right" w:leader="dot" w:pos="10790"/>
            </w:tabs>
            <w:rPr>
              <w:noProof/>
            </w:rPr>
          </w:pPr>
          <w:hyperlink w:anchor="_Toc176864582" w:history="1">
            <w:r w:rsidR="00EB6B5D" w:rsidRPr="00633202">
              <w:rPr>
                <w:rStyle w:val="Hyperlink"/>
                <w:noProof/>
              </w:rPr>
              <w:t>P76 a pour coordonnées (permet de contacter)</w:t>
            </w:r>
            <w:r w:rsidR="00EB6B5D">
              <w:rPr>
                <w:noProof/>
                <w:webHidden/>
              </w:rPr>
              <w:tab/>
            </w:r>
            <w:r w:rsidR="00EB6B5D">
              <w:rPr>
                <w:noProof/>
                <w:webHidden/>
              </w:rPr>
              <w:fldChar w:fldCharType="begin"/>
            </w:r>
            <w:r w:rsidR="00EB6B5D">
              <w:rPr>
                <w:noProof/>
                <w:webHidden/>
              </w:rPr>
              <w:instrText xml:space="preserve"> PAGEREF _Toc176864582 \h </w:instrText>
            </w:r>
            <w:r w:rsidR="00EB6B5D">
              <w:rPr>
                <w:noProof/>
                <w:webHidden/>
              </w:rPr>
            </w:r>
            <w:r w:rsidR="00EB6B5D">
              <w:rPr>
                <w:noProof/>
                <w:webHidden/>
              </w:rPr>
              <w:fldChar w:fldCharType="separate"/>
            </w:r>
            <w:r w:rsidR="00010123">
              <w:rPr>
                <w:noProof/>
                <w:webHidden/>
              </w:rPr>
              <w:t>239</w:t>
            </w:r>
            <w:r w:rsidR="00EB6B5D">
              <w:rPr>
                <w:noProof/>
                <w:webHidden/>
              </w:rPr>
              <w:fldChar w:fldCharType="end"/>
            </w:r>
          </w:hyperlink>
        </w:p>
        <w:p w14:paraId="061C15B9" w14:textId="31EC4282" w:rsidR="00EB6B5D" w:rsidRDefault="00000000">
          <w:pPr>
            <w:pStyle w:val="TOC2"/>
            <w:tabs>
              <w:tab w:val="right" w:leader="dot" w:pos="10790"/>
            </w:tabs>
            <w:rPr>
              <w:noProof/>
            </w:rPr>
          </w:pPr>
          <w:hyperlink w:anchor="_Toc176864583" w:history="1">
            <w:r w:rsidR="00EB6B5D" w:rsidRPr="00633202">
              <w:rPr>
                <w:rStyle w:val="Hyperlink"/>
                <w:noProof/>
              </w:rPr>
              <w:t>P79 a son début qualifié par</w:t>
            </w:r>
            <w:r w:rsidR="00EB6B5D">
              <w:rPr>
                <w:noProof/>
                <w:webHidden/>
              </w:rPr>
              <w:tab/>
            </w:r>
            <w:r w:rsidR="00EB6B5D">
              <w:rPr>
                <w:noProof/>
                <w:webHidden/>
              </w:rPr>
              <w:fldChar w:fldCharType="begin"/>
            </w:r>
            <w:r w:rsidR="00EB6B5D">
              <w:rPr>
                <w:noProof/>
                <w:webHidden/>
              </w:rPr>
              <w:instrText xml:space="preserve"> PAGEREF _Toc176864583 \h </w:instrText>
            </w:r>
            <w:r w:rsidR="00EB6B5D">
              <w:rPr>
                <w:noProof/>
                <w:webHidden/>
              </w:rPr>
            </w:r>
            <w:r w:rsidR="00EB6B5D">
              <w:rPr>
                <w:noProof/>
                <w:webHidden/>
              </w:rPr>
              <w:fldChar w:fldCharType="separate"/>
            </w:r>
            <w:r w:rsidR="00010123">
              <w:rPr>
                <w:noProof/>
                <w:webHidden/>
              </w:rPr>
              <w:t>240</w:t>
            </w:r>
            <w:r w:rsidR="00EB6B5D">
              <w:rPr>
                <w:noProof/>
                <w:webHidden/>
              </w:rPr>
              <w:fldChar w:fldCharType="end"/>
            </w:r>
          </w:hyperlink>
        </w:p>
        <w:p w14:paraId="7E7A0271" w14:textId="1C2DD8D0" w:rsidR="00EB6B5D" w:rsidRDefault="00000000">
          <w:pPr>
            <w:pStyle w:val="TOC2"/>
            <w:tabs>
              <w:tab w:val="right" w:leader="dot" w:pos="10790"/>
            </w:tabs>
            <w:rPr>
              <w:noProof/>
            </w:rPr>
          </w:pPr>
          <w:hyperlink w:anchor="_Toc176864584" w:history="1">
            <w:r w:rsidR="00EB6B5D" w:rsidRPr="00633202">
              <w:rPr>
                <w:rStyle w:val="Hyperlink"/>
                <w:noProof/>
              </w:rPr>
              <w:t>P80 a sa fin qualifiée par</w:t>
            </w:r>
            <w:r w:rsidR="00EB6B5D">
              <w:rPr>
                <w:noProof/>
                <w:webHidden/>
              </w:rPr>
              <w:tab/>
            </w:r>
            <w:r w:rsidR="00EB6B5D">
              <w:rPr>
                <w:noProof/>
                <w:webHidden/>
              </w:rPr>
              <w:fldChar w:fldCharType="begin"/>
            </w:r>
            <w:r w:rsidR="00EB6B5D">
              <w:rPr>
                <w:noProof/>
                <w:webHidden/>
              </w:rPr>
              <w:instrText xml:space="preserve"> PAGEREF _Toc176864584 \h </w:instrText>
            </w:r>
            <w:r w:rsidR="00EB6B5D">
              <w:rPr>
                <w:noProof/>
                <w:webHidden/>
              </w:rPr>
            </w:r>
            <w:r w:rsidR="00EB6B5D">
              <w:rPr>
                <w:noProof/>
                <w:webHidden/>
              </w:rPr>
              <w:fldChar w:fldCharType="separate"/>
            </w:r>
            <w:r w:rsidR="00010123">
              <w:rPr>
                <w:noProof/>
                <w:webHidden/>
              </w:rPr>
              <w:t>240</w:t>
            </w:r>
            <w:r w:rsidR="00EB6B5D">
              <w:rPr>
                <w:noProof/>
                <w:webHidden/>
              </w:rPr>
              <w:fldChar w:fldCharType="end"/>
            </w:r>
          </w:hyperlink>
        </w:p>
        <w:p w14:paraId="29BC97A6" w14:textId="1E9A4048" w:rsidR="00EB6B5D" w:rsidRDefault="00000000">
          <w:pPr>
            <w:pStyle w:val="TOC2"/>
            <w:tabs>
              <w:tab w:val="right" w:leader="dot" w:pos="10790"/>
            </w:tabs>
            <w:rPr>
              <w:noProof/>
            </w:rPr>
          </w:pPr>
          <w:hyperlink w:anchor="_Toc176864585" w:history="1">
            <w:r w:rsidR="00EB6B5D" w:rsidRPr="00633202">
              <w:rPr>
                <w:rStyle w:val="Hyperlink"/>
                <w:noProof/>
              </w:rPr>
              <w:t>P81 a couvert</w:t>
            </w:r>
            <w:r w:rsidR="00EB6B5D">
              <w:rPr>
                <w:noProof/>
                <w:webHidden/>
              </w:rPr>
              <w:tab/>
            </w:r>
            <w:r w:rsidR="00EB6B5D">
              <w:rPr>
                <w:noProof/>
                <w:webHidden/>
              </w:rPr>
              <w:fldChar w:fldCharType="begin"/>
            </w:r>
            <w:r w:rsidR="00EB6B5D">
              <w:rPr>
                <w:noProof/>
                <w:webHidden/>
              </w:rPr>
              <w:instrText xml:space="preserve"> PAGEREF _Toc176864585 \h </w:instrText>
            </w:r>
            <w:r w:rsidR="00EB6B5D">
              <w:rPr>
                <w:noProof/>
                <w:webHidden/>
              </w:rPr>
            </w:r>
            <w:r w:rsidR="00EB6B5D">
              <w:rPr>
                <w:noProof/>
                <w:webHidden/>
              </w:rPr>
              <w:fldChar w:fldCharType="separate"/>
            </w:r>
            <w:r w:rsidR="00010123">
              <w:rPr>
                <w:noProof/>
                <w:webHidden/>
              </w:rPr>
              <w:t>241</w:t>
            </w:r>
            <w:r w:rsidR="00EB6B5D">
              <w:rPr>
                <w:noProof/>
                <w:webHidden/>
              </w:rPr>
              <w:fldChar w:fldCharType="end"/>
            </w:r>
          </w:hyperlink>
        </w:p>
        <w:p w14:paraId="431272AD" w14:textId="1794E1A8" w:rsidR="00EB6B5D" w:rsidRDefault="00000000">
          <w:pPr>
            <w:pStyle w:val="TOC2"/>
            <w:tabs>
              <w:tab w:val="right" w:leader="dot" w:pos="10790"/>
            </w:tabs>
            <w:rPr>
              <w:noProof/>
            </w:rPr>
          </w:pPr>
          <w:hyperlink w:anchor="_Toc176864586" w:history="1">
            <w:r w:rsidR="00EB6B5D" w:rsidRPr="00633202">
              <w:rPr>
                <w:rStyle w:val="Hyperlink"/>
                <w:noProof/>
              </w:rPr>
              <w:t>P82 a eu lieu durant</w:t>
            </w:r>
            <w:r w:rsidR="00EB6B5D">
              <w:rPr>
                <w:noProof/>
                <w:webHidden/>
              </w:rPr>
              <w:tab/>
            </w:r>
            <w:r w:rsidR="00EB6B5D">
              <w:rPr>
                <w:noProof/>
                <w:webHidden/>
              </w:rPr>
              <w:fldChar w:fldCharType="begin"/>
            </w:r>
            <w:r w:rsidR="00EB6B5D">
              <w:rPr>
                <w:noProof/>
                <w:webHidden/>
              </w:rPr>
              <w:instrText xml:space="preserve"> PAGEREF _Toc176864586 \h </w:instrText>
            </w:r>
            <w:r w:rsidR="00EB6B5D">
              <w:rPr>
                <w:noProof/>
                <w:webHidden/>
              </w:rPr>
            </w:r>
            <w:r w:rsidR="00EB6B5D">
              <w:rPr>
                <w:noProof/>
                <w:webHidden/>
              </w:rPr>
              <w:fldChar w:fldCharType="separate"/>
            </w:r>
            <w:r w:rsidR="00010123">
              <w:rPr>
                <w:noProof/>
                <w:webHidden/>
              </w:rPr>
              <w:t>242</w:t>
            </w:r>
            <w:r w:rsidR="00EB6B5D">
              <w:rPr>
                <w:noProof/>
                <w:webHidden/>
              </w:rPr>
              <w:fldChar w:fldCharType="end"/>
            </w:r>
          </w:hyperlink>
        </w:p>
        <w:p w14:paraId="35C6399B" w14:textId="64B12F8F" w:rsidR="00EB6B5D" w:rsidRDefault="00000000">
          <w:pPr>
            <w:pStyle w:val="TOC2"/>
            <w:tabs>
              <w:tab w:val="right" w:leader="dot" w:pos="10790"/>
            </w:tabs>
            <w:rPr>
              <w:noProof/>
            </w:rPr>
          </w:pPr>
          <w:hyperlink w:anchor="_Toc176864587" w:history="1">
            <w:r w:rsidR="00EB6B5D" w:rsidRPr="00633202">
              <w:rPr>
                <w:rStyle w:val="Hyperlink"/>
                <w:noProof/>
              </w:rPr>
              <w:t>P86 s’insère dans (contient)</w:t>
            </w:r>
            <w:r w:rsidR="00EB6B5D">
              <w:rPr>
                <w:noProof/>
                <w:webHidden/>
              </w:rPr>
              <w:tab/>
            </w:r>
            <w:r w:rsidR="00EB6B5D">
              <w:rPr>
                <w:noProof/>
                <w:webHidden/>
              </w:rPr>
              <w:fldChar w:fldCharType="begin"/>
            </w:r>
            <w:r w:rsidR="00EB6B5D">
              <w:rPr>
                <w:noProof/>
                <w:webHidden/>
              </w:rPr>
              <w:instrText xml:space="preserve"> PAGEREF _Toc176864587 \h </w:instrText>
            </w:r>
            <w:r w:rsidR="00EB6B5D">
              <w:rPr>
                <w:noProof/>
                <w:webHidden/>
              </w:rPr>
            </w:r>
            <w:r w:rsidR="00EB6B5D">
              <w:rPr>
                <w:noProof/>
                <w:webHidden/>
              </w:rPr>
              <w:fldChar w:fldCharType="separate"/>
            </w:r>
            <w:r w:rsidR="00010123">
              <w:rPr>
                <w:noProof/>
                <w:webHidden/>
              </w:rPr>
              <w:t>244</w:t>
            </w:r>
            <w:r w:rsidR="00EB6B5D">
              <w:rPr>
                <w:noProof/>
                <w:webHidden/>
              </w:rPr>
              <w:fldChar w:fldCharType="end"/>
            </w:r>
          </w:hyperlink>
        </w:p>
        <w:p w14:paraId="109CB239" w14:textId="01243914" w:rsidR="00EB6B5D" w:rsidRDefault="00000000">
          <w:pPr>
            <w:pStyle w:val="TOC2"/>
            <w:tabs>
              <w:tab w:val="right" w:leader="dot" w:pos="10790"/>
            </w:tabs>
            <w:rPr>
              <w:noProof/>
            </w:rPr>
          </w:pPr>
          <w:hyperlink w:anchor="_Toc176864588" w:history="1">
            <w:r w:rsidR="00EB6B5D" w:rsidRPr="00633202">
              <w:rPr>
                <w:rStyle w:val="Hyperlink"/>
                <w:noProof/>
              </w:rPr>
              <w:t>P89 s'insère dans (contient)</w:t>
            </w:r>
            <w:r w:rsidR="00EB6B5D">
              <w:rPr>
                <w:noProof/>
                <w:webHidden/>
              </w:rPr>
              <w:tab/>
            </w:r>
            <w:r w:rsidR="00EB6B5D">
              <w:rPr>
                <w:noProof/>
                <w:webHidden/>
              </w:rPr>
              <w:fldChar w:fldCharType="begin"/>
            </w:r>
            <w:r w:rsidR="00EB6B5D">
              <w:rPr>
                <w:noProof/>
                <w:webHidden/>
              </w:rPr>
              <w:instrText xml:space="preserve"> PAGEREF _Toc176864588 \h </w:instrText>
            </w:r>
            <w:r w:rsidR="00EB6B5D">
              <w:rPr>
                <w:noProof/>
                <w:webHidden/>
              </w:rPr>
            </w:r>
            <w:r w:rsidR="00EB6B5D">
              <w:rPr>
                <w:noProof/>
                <w:webHidden/>
              </w:rPr>
              <w:fldChar w:fldCharType="separate"/>
            </w:r>
            <w:r w:rsidR="00010123">
              <w:rPr>
                <w:noProof/>
                <w:webHidden/>
              </w:rPr>
              <w:t>245</w:t>
            </w:r>
            <w:r w:rsidR="00EB6B5D">
              <w:rPr>
                <w:noProof/>
                <w:webHidden/>
              </w:rPr>
              <w:fldChar w:fldCharType="end"/>
            </w:r>
          </w:hyperlink>
        </w:p>
        <w:p w14:paraId="666DF00C" w14:textId="6F97ECA4" w:rsidR="00EB6B5D" w:rsidRDefault="00000000">
          <w:pPr>
            <w:pStyle w:val="TOC2"/>
            <w:tabs>
              <w:tab w:val="right" w:leader="dot" w:pos="10790"/>
            </w:tabs>
            <w:rPr>
              <w:noProof/>
            </w:rPr>
          </w:pPr>
          <w:hyperlink w:anchor="_Toc176864589" w:history="1">
            <w:r w:rsidR="00EB6B5D" w:rsidRPr="00633202">
              <w:rPr>
                <w:rStyle w:val="Hyperlink"/>
                <w:noProof/>
              </w:rPr>
              <w:t>P90 a pour valeur</w:t>
            </w:r>
            <w:r w:rsidR="00EB6B5D">
              <w:rPr>
                <w:noProof/>
                <w:webHidden/>
              </w:rPr>
              <w:tab/>
            </w:r>
            <w:r w:rsidR="00EB6B5D">
              <w:rPr>
                <w:noProof/>
                <w:webHidden/>
              </w:rPr>
              <w:fldChar w:fldCharType="begin"/>
            </w:r>
            <w:r w:rsidR="00EB6B5D">
              <w:rPr>
                <w:noProof/>
                <w:webHidden/>
              </w:rPr>
              <w:instrText xml:space="preserve"> PAGEREF _Toc176864589 \h </w:instrText>
            </w:r>
            <w:r w:rsidR="00EB6B5D">
              <w:rPr>
                <w:noProof/>
                <w:webHidden/>
              </w:rPr>
            </w:r>
            <w:r w:rsidR="00EB6B5D">
              <w:rPr>
                <w:noProof/>
                <w:webHidden/>
              </w:rPr>
              <w:fldChar w:fldCharType="separate"/>
            </w:r>
            <w:r w:rsidR="00010123">
              <w:rPr>
                <w:noProof/>
                <w:webHidden/>
              </w:rPr>
              <w:t>245</w:t>
            </w:r>
            <w:r w:rsidR="00EB6B5D">
              <w:rPr>
                <w:noProof/>
                <w:webHidden/>
              </w:rPr>
              <w:fldChar w:fldCharType="end"/>
            </w:r>
          </w:hyperlink>
        </w:p>
        <w:p w14:paraId="229EF72B" w14:textId="65D16CB7" w:rsidR="00EB6B5D" w:rsidRDefault="00000000">
          <w:pPr>
            <w:pStyle w:val="TOC2"/>
            <w:tabs>
              <w:tab w:val="right" w:leader="dot" w:pos="10790"/>
            </w:tabs>
            <w:rPr>
              <w:noProof/>
            </w:rPr>
          </w:pPr>
          <w:hyperlink w:anchor="_Toc176864590" w:history="1">
            <w:r w:rsidR="00EB6B5D" w:rsidRPr="00633202">
              <w:rPr>
                <w:rStyle w:val="Hyperlink"/>
                <w:noProof/>
              </w:rPr>
              <w:t>P91 a pour unité de mesure (est l’unité de mesure de)</w:t>
            </w:r>
            <w:r w:rsidR="00EB6B5D">
              <w:rPr>
                <w:noProof/>
                <w:webHidden/>
              </w:rPr>
              <w:tab/>
            </w:r>
            <w:r w:rsidR="00EB6B5D">
              <w:rPr>
                <w:noProof/>
                <w:webHidden/>
              </w:rPr>
              <w:fldChar w:fldCharType="begin"/>
            </w:r>
            <w:r w:rsidR="00EB6B5D">
              <w:rPr>
                <w:noProof/>
                <w:webHidden/>
              </w:rPr>
              <w:instrText xml:space="preserve"> PAGEREF _Toc176864590 \h </w:instrText>
            </w:r>
            <w:r w:rsidR="00EB6B5D">
              <w:rPr>
                <w:noProof/>
                <w:webHidden/>
              </w:rPr>
            </w:r>
            <w:r w:rsidR="00EB6B5D">
              <w:rPr>
                <w:noProof/>
                <w:webHidden/>
              </w:rPr>
              <w:fldChar w:fldCharType="separate"/>
            </w:r>
            <w:r w:rsidR="00010123">
              <w:rPr>
                <w:noProof/>
                <w:webHidden/>
              </w:rPr>
              <w:t>246</w:t>
            </w:r>
            <w:r w:rsidR="00EB6B5D">
              <w:rPr>
                <w:noProof/>
                <w:webHidden/>
              </w:rPr>
              <w:fldChar w:fldCharType="end"/>
            </w:r>
          </w:hyperlink>
        </w:p>
        <w:p w14:paraId="477CFB4C" w14:textId="19B7C261" w:rsidR="00EB6B5D" w:rsidRDefault="00000000">
          <w:pPr>
            <w:pStyle w:val="TOC2"/>
            <w:tabs>
              <w:tab w:val="right" w:leader="dot" w:pos="10790"/>
            </w:tabs>
            <w:rPr>
              <w:noProof/>
            </w:rPr>
          </w:pPr>
          <w:hyperlink w:anchor="_Toc176864591" w:history="1">
            <w:r w:rsidR="00EB6B5D" w:rsidRPr="00633202">
              <w:rPr>
                <w:rStyle w:val="Hyperlink"/>
                <w:noProof/>
              </w:rPr>
              <w:t>P92 a fait exister (a commencé à exister par)</w:t>
            </w:r>
            <w:r w:rsidR="00EB6B5D">
              <w:rPr>
                <w:noProof/>
                <w:webHidden/>
              </w:rPr>
              <w:tab/>
            </w:r>
            <w:r w:rsidR="00EB6B5D">
              <w:rPr>
                <w:noProof/>
                <w:webHidden/>
              </w:rPr>
              <w:fldChar w:fldCharType="begin"/>
            </w:r>
            <w:r w:rsidR="00EB6B5D">
              <w:rPr>
                <w:noProof/>
                <w:webHidden/>
              </w:rPr>
              <w:instrText xml:space="preserve"> PAGEREF _Toc176864591 \h </w:instrText>
            </w:r>
            <w:r w:rsidR="00EB6B5D">
              <w:rPr>
                <w:noProof/>
                <w:webHidden/>
              </w:rPr>
            </w:r>
            <w:r w:rsidR="00EB6B5D">
              <w:rPr>
                <w:noProof/>
                <w:webHidden/>
              </w:rPr>
              <w:fldChar w:fldCharType="separate"/>
            </w:r>
            <w:r w:rsidR="00010123">
              <w:rPr>
                <w:noProof/>
                <w:webHidden/>
              </w:rPr>
              <w:t>247</w:t>
            </w:r>
            <w:r w:rsidR="00EB6B5D">
              <w:rPr>
                <w:noProof/>
                <w:webHidden/>
              </w:rPr>
              <w:fldChar w:fldCharType="end"/>
            </w:r>
          </w:hyperlink>
        </w:p>
        <w:p w14:paraId="20C161D0" w14:textId="1BA9974C" w:rsidR="00EB6B5D" w:rsidRDefault="00000000">
          <w:pPr>
            <w:pStyle w:val="TOC2"/>
            <w:tabs>
              <w:tab w:val="right" w:leader="dot" w:pos="10790"/>
            </w:tabs>
            <w:rPr>
              <w:noProof/>
            </w:rPr>
          </w:pPr>
          <w:hyperlink w:anchor="_Toc176864592" w:history="1">
            <w:r w:rsidR="00EB6B5D" w:rsidRPr="00633202">
              <w:rPr>
                <w:rStyle w:val="Hyperlink"/>
                <w:noProof/>
              </w:rPr>
              <w:t>P93 a mis fin à l’existence de (a cessé d’exister par)</w:t>
            </w:r>
            <w:r w:rsidR="00EB6B5D">
              <w:rPr>
                <w:noProof/>
                <w:webHidden/>
              </w:rPr>
              <w:tab/>
            </w:r>
            <w:r w:rsidR="00EB6B5D">
              <w:rPr>
                <w:noProof/>
                <w:webHidden/>
              </w:rPr>
              <w:fldChar w:fldCharType="begin"/>
            </w:r>
            <w:r w:rsidR="00EB6B5D">
              <w:rPr>
                <w:noProof/>
                <w:webHidden/>
              </w:rPr>
              <w:instrText xml:space="preserve"> PAGEREF _Toc176864592 \h </w:instrText>
            </w:r>
            <w:r w:rsidR="00EB6B5D">
              <w:rPr>
                <w:noProof/>
                <w:webHidden/>
              </w:rPr>
            </w:r>
            <w:r w:rsidR="00EB6B5D">
              <w:rPr>
                <w:noProof/>
                <w:webHidden/>
              </w:rPr>
              <w:fldChar w:fldCharType="separate"/>
            </w:r>
            <w:r w:rsidR="00010123">
              <w:rPr>
                <w:noProof/>
                <w:webHidden/>
              </w:rPr>
              <w:t>248</w:t>
            </w:r>
            <w:r w:rsidR="00EB6B5D">
              <w:rPr>
                <w:noProof/>
                <w:webHidden/>
              </w:rPr>
              <w:fldChar w:fldCharType="end"/>
            </w:r>
          </w:hyperlink>
        </w:p>
        <w:p w14:paraId="35D21BD0" w14:textId="1E020EF7" w:rsidR="00EB6B5D" w:rsidRDefault="00000000">
          <w:pPr>
            <w:pStyle w:val="TOC2"/>
            <w:tabs>
              <w:tab w:val="right" w:leader="dot" w:pos="10790"/>
            </w:tabs>
            <w:rPr>
              <w:noProof/>
            </w:rPr>
          </w:pPr>
          <w:hyperlink w:anchor="_Toc176864593" w:history="1">
            <w:r w:rsidR="00EB6B5D" w:rsidRPr="00633202">
              <w:rPr>
                <w:rStyle w:val="Hyperlink"/>
                <w:noProof/>
              </w:rPr>
              <w:t>P94 a créé (a été créé par)</w:t>
            </w:r>
            <w:r w:rsidR="00EB6B5D">
              <w:rPr>
                <w:noProof/>
                <w:webHidden/>
              </w:rPr>
              <w:tab/>
            </w:r>
            <w:r w:rsidR="00EB6B5D">
              <w:rPr>
                <w:noProof/>
                <w:webHidden/>
              </w:rPr>
              <w:fldChar w:fldCharType="begin"/>
            </w:r>
            <w:r w:rsidR="00EB6B5D">
              <w:rPr>
                <w:noProof/>
                <w:webHidden/>
              </w:rPr>
              <w:instrText xml:space="preserve"> PAGEREF _Toc176864593 \h </w:instrText>
            </w:r>
            <w:r w:rsidR="00EB6B5D">
              <w:rPr>
                <w:noProof/>
                <w:webHidden/>
              </w:rPr>
            </w:r>
            <w:r w:rsidR="00EB6B5D">
              <w:rPr>
                <w:noProof/>
                <w:webHidden/>
              </w:rPr>
              <w:fldChar w:fldCharType="separate"/>
            </w:r>
            <w:r w:rsidR="00010123">
              <w:rPr>
                <w:noProof/>
                <w:webHidden/>
              </w:rPr>
              <w:t>249</w:t>
            </w:r>
            <w:r w:rsidR="00EB6B5D">
              <w:rPr>
                <w:noProof/>
                <w:webHidden/>
              </w:rPr>
              <w:fldChar w:fldCharType="end"/>
            </w:r>
          </w:hyperlink>
        </w:p>
        <w:p w14:paraId="5881DDB1" w14:textId="65F5FCC2" w:rsidR="00EB6B5D" w:rsidRDefault="00000000">
          <w:pPr>
            <w:pStyle w:val="TOC2"/>
            <w:tabs>
              <w:tab w:val="right" w:leader="dot" w:pos="10790"/>
            </w:tabs>
            <w:rPr>
              <w:noProof/>
            </w:rPr>
          </w:pPr>
          <w:hyperlink w:anchor="_Toc176864594" w:history="1">
            <w:r w:rsidR="00EB6B5D" w:rsidRPr="00633202">
              <w:rPr>
                <w:rStyle w:val="Hyperlink"/>
                <w:noProof/>
              </w:rPr>
              <w:t>P95 a fondé (a été fondé par)</w:t>
            </w:r>
            <w:r w:rsidR="00EB6B5D">
              <w:rPr>
                <w:noProof/>
                <w:webHidden/>
              </w:rPr>
              <w:tab/>
            </w:r>
            <w:r w:rsidR="00EB6B5D">
              <w:rPr>
                <w:noProof/>
                <w:webHidden/>
              </w:rPr>
              <w:fldChar w:fldCharType="begin"/>
            </w:r>
            <w:r w:rsidR="00EB6B5D">
              <w:rPr>
                <w:noProof/>
                <w:webHidden/>
              </w:rPr>
              <w:instrText xml:space="preserve"> PAGEREF _Toc176864594 \h </w:instrText>
            </w:r>
            <w:r w:rsidR="00EB6B5D">
              <w:rPr>
                <w:noProof/>
                <w:webHidden/>
              </w:rPr>
            </w:r>
            <w:r w:rsidR="00EB6B5D">
              <w:rPr>
                <w:noProof/>
                <w:webHidden/>
              </w:rPr>
              <w:fldChar w:fldCharType="separate"/>
            </w:r>
            <w:r w:rsidR="00010123">
              <w:rPr>
                <w:noProof/>
                <w:webHidden/>
              </w:rPr>
              <w:t>250</w:t>
            </w:r>
            <w:r w:rsidR="00EB6B5D">
              <w:rPr>
                <w:noProof/>
                <w:webHidden/>
              </w:rPr>
              <w:fldChar w:fldCharType="end"/>
            </w:r>
          </w:hyperlink>
        </w:p>
        <w:p w14:paraId="0922B50F" w14:textId="601D2680" w:rsidR="00EB6B5D" w:rsidRDefault="00000000">
          <w:pPr>
            <w:pStyle w:val="TOC2"/>
            <w:tabs>
              <w:tab w:val="right" w:leader="dot" w:pos="10790"/>
            </w:tabs>
            <w:rPr>
              <w:noProof/>
            </w:rPr>
          </w:pPr>
          <w:hyperlink w:anchor="_Toc176864595" w:history="1">
            <w:r w:rsidR="00EB6B5D" w:rsidRPr="00633202">
              <w:rPr>
                <w:rStyle w:val="Hyperlink"/>
                <w:noProof/>
              </w:rPr>
              <w:t>P96 de mère (a donné naissance à)</w:t>
            </w:r>
            <w:r w:rsidR="00EB6B5D">
              <w:rPr>
                <w:noProof/>
                <w:webHidden/>
              </w:rPr>
              <w:tab/>
            </w:r>
            <w:r w:rsidR="00EB6B5D">
              <w:rPr>
                <w:noProof/>
                <w:webHidden/>
              </w:rPr>
              <w:fldChar w:fldCharType="begin"/>
            </w:r>
            <w:r w:rsidR="00EB6B5D">
              <w:rPr>
                <w:noProof/>
                <w:webHidden/>
              </w:rPr>
              <w:instrText xml:space="preserve"> PAGEREF _Toc176864595 \h </w:instrText>
            </w:r>
            <w:r w:rsidR="00EB6B5D">
              <w:rPr>
                <w:noProof/>
                <w:webHidden/>
              </w:rPr>
            </w:r>
            <w:r w:rsidR="00EB6B5D">
              <w:rPr>
                <w:noProof/>
                <w:webHidden/>
              </w:rPr>
              <w:fldChar w:fldCharType="separate"/>
            </w:r>
            <w:r w:rsidR="00010123">
              <w:rPr>
                <w:noProof/>
                <w:webHidden/>
              </w:rPr>
              <w:t>251</w:t>
            </w:r>
            <w:r w:rsidR="00EB6B5D">
              <w:rPr>
                <w:noProof/>
                <w:webHidden/>
              </w:rPr>
              <w:fldChar w:fldCharType="end"/>
            </w:r>
          </w:hyperlink>
        </w:p>
        <w:p w14:paraId="1388A731" w14:textId="0FCBD787" w:rsidR="00EB6B5D" w:rsidRDefault="00000000">
          <w:pPr>
            <w:pStyle w:val="TOC2"/>
            <w:tabs>
              <w:tab w:val="right" w:leader="dot" w:pos="10790"/>
            </w:tabs>
            <w:rPr>
              <w:noProof/>
            </w:rPr>
          </w:pPr>
          <w:hyperlink w:anchor="_Toc176864596" w:history="1">
            <w:r w:rsidR="00EB6B5D" w:rsidRPr="00633202">
              <w:rPr>
                <w:rStyle w:val="Hyperlink"/>
                <w:noProof/>
              </w:rPr>
              <w:t>P97 de père (a été le père pour)</w:t>
            </w:r>
            <w:r w:rsidR="00EB6B5D">
              <w:rPr>
                <w:noProof/>
                <w:webHidden/>
              </w:rPr>
              <w:tab/>
            </w:r>
            <w:r w:rsidR="00EB6B5D">
              <w:rPr>
                <w:noProof/>
                <w:webHidden/>
              </w:rPr>
              <w:fldChar w:fldCharType="begin"/>
            </w:r>
            <w:r w:rsidR="00EB6B5D">
              <w:rPr>
                <w:noProof/>
                <w:webHidden/>
              </w:rPr>
              <w:instrText xml:space="preserve"> PAGEREF _Toc176864596 \h </w:instrText>
            </w:r>
            <w:r w:rsidR="00EB6B5D">
              <w:rPr>
                <w:noProof/>
                <w:webHidden/>
              </w:rPr>
            </w:r>
            <w:r w:rsidR="00EB6B5D">
              <w:rPr>
                <w:noProof/>
                <w:webHidden/>
              </w:rPr>
              <w:fldChar w:fldCharType="separate"/>
            </w:r>
            <w:r w:rsidR="00010123">
              <w:rPr>
                <w:noProof/>
                <w:webHidden/>
              </w:rPr>
              <w:t>251</w:t>
            </w:r>
            <w:r w:rsidR="00EB6B5D">
              <w:rPr>
                <w:noProof/>
                <w:webHidden/>
              </w:rPr>
              <w:fldChar w:fldCharType="end"/>
            </w:r>
          </w:hyperlink>
        </w:p>
        <w:p w14:paraId="7C82B2C0" w14:textId="26EA2839" w:rsidR="00EB6B5D" w:rsidRDefault="00000000">
          <w:pPr>
            <w:pStyle w:val="TOC2"/>
            <w:tabs>
              <w:tab w:val="right" w:leader="dot" w:pos="10790"/>
            </w:tabs>
            <w:rPr>
              <w:noProof/>
            </w:rPr>
          </w:pPr>
          <w:hyperlink w:anchor="_Toc176864597" w:history="1">
            <w:r w:rsidR="00EB6B5D" w:rsidRPr="00633202">
              <w:rPr>
                <w:rStyle w:val="Hyperlink"/>
                <w:noProof/>
              </w:rPr>
              <w:t>P98 a donné vie à (est né)</w:t>
            </w:r>
            <w:r w:rsidR="00EB6B5D">
              <w:rPr>
                <w:noProof/>
                <w:webHidden/>
              </w:rPr>
              <w:tab/>
            </w:r>
            <w:r w:rsidR="00EB6B5D">
              <w:rPr>
                <w:noProof/>
                <w:webHidden/>
              </w:rPr>
              <w:fldChar w:fldCharType="begin"/>
            </w:r>
            <w:r w:rsidR="00EB6B5D">
              <w:rPr>
                <w:noProof/>
                <w:webHidden/>
              </w:rPr>
              <w:instrText xml:space="preserve"> PAGEREF _Toc176864597 \h </w:instrText>
            </w:r>
            <w:r w:rsidR="00EB6B5D">
              <w:rPr>
                <w:noProof/>
                <w:webHidden/>
              </w:rPr>
            </w:r>
            <w:r w:rsidR="00EB6B5D">
              <w:rPr>
                <w:noProof/>
                <w:webHidden/>
              </w:rPr>
              <w:fldChar w:fldCharType="separate"/>
            </w:r>
            <w:r w:rsidR="00010123">
              <w:rPr>
                <w:noProof/>
                <w:webHidden/>
              </w:rPr>
              <w:t>252</w:t>
            </w:r>
            <w:r w:rsidR="00EB6B5D">
              <w:rPr>
                <w:noProof/>
                <w:webHidden/>
              </w:rPr>
              <w:fldChar w:fldCharType="end"/>
            </w:r>
          </w:hyperlink>
        </w:p>
        <w:p w14:paraId="3D10798B" w14:textId="62407E20" w:rsidR="00EB6B5D" w:rsidRDefault="00000000">
          <w:pPr>
            <w:pStyle w:val="TOC2"/>
            <w:tabs>
              <w:tab w:val="right" w:leader="dot" w:pos="10790"/>
            </w:tabs>
            <w:rPr>
              <w:noProof/>
            </w:rPr>
          </w:pPr>
          <w:hyperlink w:anchor="_Toc176864598" w:history="1">
            <w:r w:rsidR="00EB6B5D" w:rsidRPr="00633202">
              <w:rPr>
                <w:rStyle w:val="Hyperlink"/>
                <w:noProof/>
              </w:rPr>
              <w:t>P99 a dissous (a été dissous par)</w:t>
            </w:r>
            <w:r w:rsidR="00EB6B5D">
              <w:rPr>
                <w:noProof/>
                <w:webHidden/>
              </w:rPr>
              <w:tab/>
            </w:r>
            <w:r w:rsidR="00EB6B5D">
              <w:rPr>
                <w:noProof/>
                <w:webHidden/>
              </w:rPr>
              <w:fldChar w:fldCharType="begin"/>
            </w:r>
            <w:r w:rsidR="00EB6B5D">
              <w:rPr>
                <w:noProof/>
                <w:webHidden/>
              </w:rPr>
              <w:instrText xml:space="preserve"> PAGEREF _Toc176864598 \h </w:instrText>
            </w:r>
            <w:r w:rsidR="00EB6B5D">
              <w:rPr>
                <w:noProof/>
                <w:webHidden/>
              </w:rPr>
            </w:r>
            <w:r w:rsidR="00EB6B5D">
              <w:rPr>
                <w:noProof/>
                <w:webHidden/>
              </w:rPr>
              <w:fldChar w:fldCharType="separate"/>
            </w:r>
            <w:r w:rsidR="00010123">
              <w:rPr>
                <w:noProof/>
                <w:webHidden/>
              </w:rPr>
              <w:t>253</w:t>
            </w:r>
            <w:r w:rsidR="00EB6B5D">
              <w:rPr>
                <w:noProof/>
                <w:webHidden/>
              </w:rPr>
              <w:fldChar w:fldCharType="end"/>
            </w:r>
          </w:hyperlink>
        </w:p>
        <w:p w14:paraId="3C13A4D6" w14:textId="5803F61C" w:rsidR="00EB6B5D" w:rsidRDefault="00000000">
          <w:pPr>
            <w:pStyle w:val="TOC2"/>
            <w:tabs>
              <w:tab w:val="right" w:leader="dot" w:pos="10790"/>
            </w:tabs>
            <w:rPr>
              <w:noProof/>
            </w:rPr>
          </w:pPr>
          <w:hyperlink w:anchor="_Toc176864599" w:history="1">
            <w:r w:rsidR="00EB6B5D" w:rsidRPr="00633202">
              <w:rPr>
                <w:rStyle w:val="Hyperlink"/>
                <w:noProof/>
              </w:rPr>
              <w:t>P100 a été la mort de (est mort par)</w:t>
            </w:r>
            <w:r w:rsidR="00EB6B5D">
              <w:rPr>
                <w:noProof/>
                <w:webHidden/>
              </w:rPr>
              <w:tab/>
            </w:r>
            <w:r w:rsidR="00EB6B5D">
              <w:rPr>
                <w:noProof/>
                <w:webHidden/>
              </w:rPr>
              <w:fldChar w:fldCharType="begin"/>
            </w:r>
            <w:r w:rsidR="00EB6B5D">
              <w:rPr>
                <w:noProof/>
                <w:webHidden/>
              </w:rPr>
              <w:instrText xml:space="preserve"> PAGEREF _Toc176864599 \h </w:instrText>
            </w:r>
            <w:r w:rsidR="00EB6B5D">
              <w:rPr>
                <w:noProof/>
                <w:webHidden/>
              </w:rPr>
            </w:r>
            <w:r w:rsidR="00EB6B5D">
              <w:rPr>
                <w:noProof/>
                <w:webHidden/>
              </w:rPr>
              <w:fldChar w:fldCharType="separate"/>
            </w:r>
            <w:r w:rsidR="00010123">
              <w:rPr>
                <w:noProof/>
                <w:webHidden/>
              </w:rPr>
              <w:t>254</w:t>
            </w:r>
            <w:r w:rsidR="00EB6B5D">
              <w:rPr>
                <w:noProof/>
                <w:webHidden/>
              </w:rPr>
              <w:fldChar w:fldCharType="end"/>
            </w:r>
          </w:hyperlink>
        </w:p>
        <w:p w14:paraId="58A76954" w14:textId="09E06558" w:rsidR="00EB6B5D" w:rsidRDefault="00000000">
          <w:pPr>
            <w:pStyle w:val="TOC2"/>
            <w:tabs>
              <w:tab w:val="right" w:leader="dot" w:pos="10790"/>
            </w:tabs>
            <w:rPr>
              <w:noProof/>
            </w:rPr>
          </w:pPr>
          <w:hyperlink w:anchor="_Toc176864600" w:history="1">
            <w:r w:rsidR="00EB6B5D" w:rsidRPr="00633202">
              <w:rPr>
                <w:rStyle w:val="Hyperlink"/>
                <w:noProof/>
              </w:rPr>
              <w:t>P101 a eu pour usage général (a été l'usage général de)</w:t>
            </w:r>
            <w:r w:rsidR="00EB6B5D">
              <w:rPr>
                <w:noProof/>
                <w:webHidden/>
              </w:rPr>
              <w:tab/>
            </w:r>
            <w:r w:rsidR="00EB6B5D">
              <w:rPr>
                <w:noProof/>
                <w:webHidden/>
              </w:rPr>
              <w:fldChar w:fldCharType="begin"/>
            </w:r>
            <w:r w:rsidR="00EB6B5D">
              <w:rPr>
                <w:noProof/>
                <w:webHidden/>
              </w:rPr>
              <w:instrText xml:space="preserve"> PAGEREF _Toc176864600 \h </w:instrText>
            </w:r>
            <w:r w:rsidR="00EB6B5D">
              <w:rPr>
                <w:noProof/>
                <w:webHidden/>
              </w:rPr>
            </w:r>
            <w:r w:rsidR="00EB6B5D">
              <w:rPr>
                <w:noProof/>
                <w:webHidden/>
              </w:rPr>
              <w:fldChar w:fldCharType="separate"/>
            </w:r>
            <w:r w:rsidR="00010123">
              <w:rPr>
                <w:noProof/>
                <w:webHidden/>
              </w:rPr>
              <w:t>255</w:t>
            </w:r>
            <w:r w:rsidR="00EB6B5D">
              <w:rPr>
                <w:noProof/>
                <w:webHidden/>
              </w:rPr>
              <w:fldChar w:fldCharType="end"/>
            </w:r>
          </w:hyperlink>
        </w:p>
        <w:p w14:paraId="29808F36" w14:textId="10DB17E4" w:rsidR="00EB6B5D" w:rsidRDefault="00000000">
          <w:pPr>
            <w:pStyle w:val="TOC2"/>
            <w:tabs>
              <w:tab w:val="right" w:leader="dot" w:pos="10790"/>
            </w:tabs>
            <w:rPr>
              <w:noProof/>
            </w:rPr>
          </w:pPr>
          <w:hyperlink w:anchor="_Toc176864601" w:history="1">
            <w:r w:rsidR="00EB6B5D" w:rsidRPr="00633202">
              <w:rPr>
                <w:rStyle w:val="Hyperlink"/>
                <w:noProof/>
              </w:rPr>
              <w:t>P102 a pour titre (est le titre de)</w:t>
            </w:r>
            <w:r w:rsidR="00EB6B5D">
              <w:rPr>
                <w:noProof/>
                <w:webHidden/>
              </w:rPr>
              <w:tab/>
            </w:r>
            <w:r w:rsidR="00EB6B5D">
              <w:rPr>
                <w:noProof/>
                <w:webHidden/>
              </w:rPr>
              <w:fldChar w:fldCharType="begin"/>
            </w:r>
            <w:r w:rsidR="00EB6B5D">
              <w:rPr>
                <w:noProof/>
                <w:webHidden/>
              </w:rPr>
              <w:instrText xml:space="preserve"> PAGEREF _Toc176864601 \h </w:instrText>
            </w:r>
            <w:r w:rsidR="00EB6B5D">
              <w:rPr>
                <w:noProof/>
                <w:webHidden/>
              </w:rPr>
            </w:r>
            <w:r w:rsidR="00EB6B5D">
              <w:rPr>
                <w:noProof/>
                <w:webHidden/>
              </w:rPr>
              <w:fldChar w:fldCharType="separate"/>
            </w:r>
            <w:r w:rsidR="00010123">
              <w:rPr>
                <w:noProof/>
                <w:webHidden/>
              </w:rPr>
              <w:t>256</w:t>
            </w:r>
            <w:r w:rsidR="00EB6B5D">
              <w:rPr>
                <w:noProof/>
                <w:webHidden/>
              </w:rPr>
              <w:fldChar w:fldCharType="end"/>
            </w:r>
          </w:hyperlink>
        </w:p>
        <w:p w14:paraId="4402E056" w14:textId="18A83942" w:rsidR="00EB6B5D" w:rsidRDefault="00000000">
          <w:pPr>
            <w:pStyle w:val="TOC2"/>
            <w:tabs>
              <w:tab w:val="right" w:leader="dot" w:pos="10790"/>
            </w:tabs>
            <w:rPr>
              <w:noProof/>
            </w:rPr>
          </w:pPr>
          <w:hyperlink w:anchor="_Toc176864602" w:history="1">
            <w:r w:rsidR="00EB6B5D" w:rsidRPr="00633202">
              <w:rPr>
                <w:rStyle w:val="Hyperlink"/>
                <w:noProof/>
              </w:rPr>
              <w:t>P103 a eu pour raison d'être (a été la raison d'être de)</w:t>
            </w:r>
            <w:r w:rsidR="00EB6B5D">
              <w:rPr>
                <w:noProof/>
                <w:webHidden/>
              </w:rPr>
              <w:tab/>
            </w:r>
            <w:r w:rsidR="00EB6B5D">
              <w:rPr>
                <w:noProof/>
                <w:webHidden/>
              </w:rPr>
              <w:fldChar w:fldCharType="begin"/>
            </w:r>
            <w:r w:rsidR="00EB6B5D">
              <w:rPr>
                <w:noProof/>
                <w:webHidden/>
              </w:rPr>
              <w:instrText xml:space="preserve"> PAGEREF _Toc176864602 \h </w:instrText>
            </w:r>
            <w:r w:rsidR="00EB6B5D">
              <w:rPr>
                <w:noProof/>
                <w:webHidden/>
              </w:rPr>
            </w:r>
            <w:r w:rsidR="00EB6B5D">
              <w:rPr>
                <w:noProof/>
                <w:webHidden/>
              </w:rPr>
              <w:fldChar w:fldCharType="separate"/>
            </w:r>
            <w:r w:rsidR="00010123">
              <w:rPr>
                <w:noProof/>
                <w:webHidden/>
              </w:rPr>
              <w:t>257</w:t>
            </w:r>
            <w:r w:rsidR="00EB6B5D">
              <w:rPr>
                <w:noProof/>
                <w:webHidden/>
              </w:rPr>
              <w:fldChar w:fldCharType="end"/>
            </w:r>
          </w:hyperlink>
        </w:p>
        <w:p w14:paraId="3D65154A" w14:textId="627F28F5" w:rsidR="00EB6B5D" w:rsidRDefault="00000000">
          <w:pPr>
            <w:pStyle w:val="TOC2"/>
            <w:tabs>
              <w:tab w:val="right" w:leader="dot" w:pos="10790"/>
            </w:tabs>
            <w:rPr>
              <w:noProof/>
            </w:rPr>
          </w:pPr>
          <w:hyperlink w:anchor="_Toc176864603" w:history="1">
            <w:r w:rsidR="00EB6B5D" w:rsidRPr="00633202">
              <w:rPr>
                <w:rStyle w:val="Hyperlink"/>
                <w:noProof/>
              </w:rPr>
              <w:t>P104 est soumis à (s’applique à)</w:t>
            </w:r>
            <w:r w:rsidR="00EB6B5D">
              <w:rPr>
                <w:noProof/>
                <w:webHidden/>
              </w:rPr>
              <w:tab/>
            </w:r>
            <w:r w:rsidR="00EB6B5D">
              <w:rPr>
                <w:noProof/>
                <w:webHidden/>
              </w:rPr>
              <w:fldChar w:fldCharType="begin"/>
            </w:r>
            <w:r w:rsidR="00EB6B5D">
              <w:rPr>
                <w:noProof/>
                <w:webHidden/>
              </w:rPr>
              <w:instrText xml:space="preserve"> PAGEREF _Toc176864603 \h </w:instrText>
            </w:r>
            <w:r w:rsidR="00EB6B5D">
              <w:rPr>
                <w:noProof/>
                <w:webHidden/>
              </w:rPr>
            </w:r>
            <w:r w:rsidR="00EB6B5D">
              <w:rPr>
                <w:noProof/>
                <w:webHidden/>
              </w:rPr>
              <w:fldChar w:fldCharType="separate"/>
            </w:r>
            <w:r w:rsidR="00010123">
              <w:rPr>
                <w:noProof/>
                <w:webHidden/>
              </w:rPr>
              <w:t>258</w:t>
            </w:r>
            <w:r w:rsidR="00EB6B5D">
              <w:rPr>
                <w:noProof/>
                <w:webHidden/>
              </w:rPr>
              <w:fldChar w:fldCharType="end"/>
            </w:r>
          </w:hyperlink>
        </w:p>
        <w:p w14:paraId="69EE8DC0" w14:textId="679EF49C" w:rsidR="00EB6B5D" w:rsidRDefault="00000000">
          <w:pPr>
            <w:pStyle w:val="TOC2"/>
            <w:tabs>
              <w:tab w:val="right" w:leader="dot" w:pos="10790"/>
            </w:tabs>
            <w:rPr>
              <w:noProof/>
            </w:rPr>
          </w:pPr>
          <w:hyperlink w:anchor="_Toc176864604" w:history="1">
            <w:r w:rsidR="00EB6B5D" w:rsidRPr="00633202">
              <w:rPr>
                <w:rStyle w:val="Hyperlink"/>
                <w:noProof/>
              </w:rPr>
              <w:t>P105 droit détenu par (détient le droit sur)</w:t>
            </w:r>
            <w:r w:rsidR="00EB6B5D">
              <w:rPr>
                <w:noProof/>
                <w:webHidden/>
              </w:rPr>
              <w:tab/>
            </w:r>
            <w:r w:rsidR="00EB6B5D">
              <w:rPr>
                <w:noProof/>
                <w:webHidden/>
              </w:rPr>
              <w:fldChar w:fldCharType="begin"/>
            </w:r>
            <w:r w:rsidR="00EB6B5D">
              <w:rPr>
                <w:noProof/>
                <w:webHidden/>
              </w:rPr>
              <w:instrText xml:space="preserve"> PAGEREF _Toc176864604 \h </w:instrText>
            </w:r>
            <w:r w:rsidR="00EB6B5D">
              <w:rPr>
                <w:noProof/>
                <w:webHidden/>
              </w:rPr>
            </w:r>
            <w:r w:rsidR="00EB6B5D">
              <w:rPr>
                <w:noProof/>
                <w:webHidden/>
              </w:rPr>
              <w:fldChar w:fldCharType="separate"/>
            </w:r>
            <w:r w:rsidR="00010123">
              <w:rPr>
                <w:noProof/>
                <w:webHidden/>
              </w:rPr>
              <w:t>259</w:t>
            </w:r>
            <w:r w:rsidR="00EB6B5D">
              <w:rPr>
                <w:noProof/>
                <w:webHidden/>
              </w:rPr>
              <w:fldChar w:fldCharType="end"/>
            </w:r>
          </w:hyperlink>
        </w:p>
        <w:p w14:paraId="7FC0DEBB" w14:textId="1E40C670" w:rsidR="00EB6B5D" w:rsidRDefault="00000000">
          <w:pPr>
            <w:pStyle w:val="TOC2"/>
            <w:tabs>
              <w:tab w:val="right" w:leader="dot" w:pos="10790"/>
            </w:tabs>
            <w:rPr>
              <w:noProof/>
            </w:rPr>
          </w:pPr>
          <w:hyperlink w:anchor="_Toc176864605" w:history="1">
            <w:r w:rsidR="00EB6B5D" w:rsidRPr="00633202">
              <w:rPr>
                <w:rStyle w:val="Hyperlink"/>
                <w:noProof/>
              </w:rPr>
              <w:t>P106 est composé de (fait partie de)</w:t>
            </w:r>
            <w:r w:rsidR="00EB6B5D">
              <w:rPr>
                <w:noProof/>
                <w:webHidden/>
              </w:rPr>
              <w:tab/>
            </w:r>
            <w:r w:rsidR="00EB6B5D">
              <w:rPr>
                <w:noProof/>
                <w:webHidden/>
              </w:rPr>
              <w:fldChar w:fldCharType="begin"/>
            </w:r>
            <w:r w:rsidR="00EB6B5D">
              <w:rPr>
                <w:noProof/>
                <w:webHidden/>
              </w:rPr>
              <w:instrText xml:space="preserve"> PAGEREF _Toc176864605 \h </w:instrText>
            </w:r>
            <w:r w:rsidR="00EB6B5D">
              <w:rPr>
                <w:noProof/>
                <w:webHidden/>
              </w:rPr>
            </w:r>
            <w:r w:rsidR="00EB6B5D">
              <w:rPr>
                <w:noProof/>
                <w:webHidden/>
              </w:rPr>
              <w:fldChar w:fldCharType="separate"/>
            </w:r>
            <w:r w:rsidR="00010123">
              <w:rPr>
                <w:noProof/>
                <w:webHidden/>
              </w:rPr>
              <w:t>260</w:t>
            </w:r>
            <w:r w:rsidR="00EB6B5D">
              <w:rPr>
                <w:noProof/>
                <w:webHidden/>
              </w:rPr>
              <w:fldChar w:fldCharType="end"/>
            </w:r>
          </w:hyperlink>
        </w:p>
        <w:p w14:paraId="252D9FED" w14:textId="26AA0BD9" w:rsidR="00EB6B5D" w:rsidRDefault="00000000">
          <w:pPr>
            <w:pStyle w:val="TOC2"/>
            <w:tabs>
              <w:tab w:val="right" w:leader="dot" w:pos="10790"/>
            </w:tabs>
            <w:rPr>
              <w:noProof/>
            </w:rPr>
          </w:pPr>
          <w:hyperlink w:anchor="_Toc176864606" w:history="1">
            <w:r w:rsidR="00EB6B5D" w:rsidRPr="00633202">
              <w:rPr>
                <w:rStyle w:val="Hyperlink"/>
                <w:noProof/>
              </w:rPr>
              <w:t>P107 a pour membre actuel ou antérieur (est le membre actuel ou antérieur de)</w:t>
            </w:r>
            <w:r w:rsidR="00EB6B5D">
              <w:rPr>
                <w:noProof/>
                <w:webHidden/>
              </w:rPr>
              <w:tab/>
            </w:r>
            <w:r w:rsidR="00EB6B5D">
              <w:rPr>
                <w:noProof/>
                <w:webHidden/>
              </w:rPr>
              <w:fldChar w:fldCharType="begin"/>
            </w:r>
            <w:r w:rsidR="00EB6B5D">
              <w:rPr>
                <w:noProof/>
                <w:webHidden/>
              </w:rPr>
              <w:instrText xml:space="preserve"> PAGEREF _Toc176864606 \h </w:instrText>
            </w:r>
            <w:r w:rsidR="00EB6B5D">
              <w:rPr>
                <w:noProof/>
                <w:webHidden/>
              </w:rPr>
            </w:r>
            <w:r w:rsidR="00EB6B5D">
              <w:rPr>
                <w:noProof/>
                <w:webHidden/>
              </w:rPr>
              <w:fldChar w:fldCharType="separate"/>
            </w:r>
            <w:r w:rsidR="00010123">
              <w:rPr>
                <w:noProof/>
                <w:webHidden/>
              </w:rPr>
              <w:t>261</w:t>
            </w:r>
            <w:r w:rsidR="00EB6B5D">
              <w:rPr>
                <w:noProof/>
                <w:webHidden/>
              </w:rPr>
              <w:fldChar w:fldCharType="end"/>
            </w:r>
          </w:hyperlink>
        </w:p>
        <w:p w14:paraId="625D0177" w14:textId="4EAADE83" w:rsidR="00EB6B5D" w:rsidRDefault="00000000">
          <w:pPr>
            <w:pStyle w:val="TOC2"/>
            <w:tabs>
              <w:tab w:val="right" w:leader="dot" w:pos="10790"/>
            </w:tabs>
            <w:rPr>
              <w:noProof/>
            </w:rPr>
          </w:pPr>
          <w:hyperlink w:anchor="_Toc176864607" w:history="1">
            <w:r w:rsidR="00EB6B5D" w:rsidRPr="00633202">
              <w:rPr>
                <w:rStyle w:val="Hyperlink"/>
                <w:noProof/>
              </w:rPr>
              <w:t>P108 a produit (a été produit par)</w:t>
            </w:r>
            <w:r w:rsidR="00EB6B5D">
              <w:rPr>
                <w:noProof/>
                <w:webHidden/>
              </w:rPr>
              <w:tab/>
            </w:r>
            <w:r w:rsidR="00EB6B5D">
              <w:rPr>
                <w:noProof/>
                <w:webHidden/>
              </w:rPr>
              <w:fldChar w:fldCharType="begin"/>
            </w:r>
            <w:r w:rsidR="00EB6B5D">
              <w:rPr>
                <w:noProof/>
                <w:webHidden/>
              </w:rPr>
              <w:instrText xml:space="preserve"> PAGEREF _Toc176864607 \h </w:instrText>
            </w:r>
            <w:r w:rsidR="00EB6B5D">
              <w:rPr>
                <w:noProof/>
                <w:webHidden/>
              </w:rPr>
            </w:r>
            <w:r w:rsidR="00EB6B5D">
              <w:rPr>
                <w:noProof/>
                <w:webHidden/>
              </w:rPr>
              <w:fldChar w:fldCharType="separate"/>
            </w:r>
            <w:r w:rsidR="00010123">
              <w:rPr>
                <w:noProof/>
                <w:webHidden/>
              </w:rPr>
              <w:t>262</w:t>
            </w:r>
            <w:r w:rsidR="00EB6B5D">
              <w:rPr>
                <w:noProof/>
                <w:webHidden/>
              </w:rPr>
              <w:fldChar w:fldCharType="end"/>
            </w:r>
          </w:hyperlink>
        </w:p>
        <w:p w14:paraId="250E1F2E" w14:textId="565F51EE" w:rsidR="00EB6B5D" w:rsidRDefault="00000000">
          <w:pPr>
            <w:pStyle w:val="TOC2"/>
            <w:tabs>
              <w:tab w:val="right" w:leader="dot" w:pos="10790"/>
            </w:tabs>
            <w:rPr>
              <w:noProof/>
            </w:rPr>
          </w:pPr>
          <w:hyperlink w:anchor="_Toc176864608" w:history="1">
            <w:r w:rsidR="00EB6B5D" w:rsidRPr="00633202">
              <w:rPr>
                <w:rStyle w:val="Hyperlink"/>
                <w:noProof/>
              </w:rPr>
              <w:t>P109 a pour responsable actuel ou antérieur de la collection (est responsable actuel ou antérieur de la collection)</w:t>
            </w:r>
            <w:r w:rsidR="00EB6B5D">
              <w:rPr>
                <w:noProof/>
                <w:webHidden/>
              </w:rPr>
              <w:tab/>
            </w:r>
            <w:r w:rsidR="00EB6B5D">
              <w:rPr>
                <w:noProof/>
                <w:webHidden/>
              </w:rPr>
              <w:fldChar w:fldCharType="begin"/>
            </w:r>
            <w:r w:rsidR="00EB6B5D">
              <w:rPr>
                <w:noProof/>
                <w:webHidden/>
              </w:rPr>
              <w:instrText xml:space="preserve"> PAGEREF _Toc176864608 \h </w:instrText>
            </w:r>
            <w:r w:rsidR="00EB6B5D">
              <w:rPr>
                <w:noProof/>
                <w:webHidden/>
              </w:rPr>
            </w:r>
            <w:r w:rsidR="00EB6B5D">
              <w:rPr>
                <w:noProof/>
                <w:webHidden/>
              </w:rPr>
              <w:fldChar w:fldCharType="separate"/>
            </w:r>
            <w:r w:rsidR="00010123">
              <w:rPr>
                <w:noProof/>
                <w:webHidden/>
              </w:rPr>
              <w:t>263</w:t>
            </w:r>
            <w:r w:rsidR="00EB6B5D">
              <w:rPr>
                <w:noProof/>
                <w:webHidden/>
              </w:rPr>
              <w:fldChar w:fldCharType="end"/>
            </w:r>
          </w:hyperlink>
        </w:p>
        <w:p w14:paraId="29CEDF3C" w14:textId="50A8A97A" w:rsidR="00EB6B5D" w:rsidRDefault="00000000">
          <w:pPr>
            <w:pStyle w:val="TOC2"/>
            <w:tabs>
              <w:tab w:val="right" w:leader="dot" w:pos="10790"/>
            </w:tabs>
            <w:rPr>
              <w:noProof/>
            </w:rPr>
          </w:pPr>
          <w:hyperlink w:anchor="_Toc176864609" w:history="1">
            <w:r w:rsidR="00EB6B5D" w:rsidRPr="00633202">
              <w:rPr>
                <w:rStyle w:val="Hyperlink"/>
                <w:noProof/>
              </w:rPr>
              <w:t>P110 a augmenté (a été augmenté par)</w:t>
            </w:r>
            <w:r w:rsidR="00EB6B5D">
              <w:rPr>
                <w:noProof/>
                <w:webHidden/>
              </w:rPr>
              <w:tab/>
            </w:r>
            <w:r w:rsidR="00EB6B5D">
              <w:rPr>
                <w:noProof/>
                <w:webHidden/>
              </w:rPr>
              <w:fldChar w:fldCharType="begin"/>
            </w:r>
            <w:r w:rsidR="00EB6B5D">
              <w:rPr>
                <w:noProof/>
                <w:webHidden/>
              </w:rPr>
              <w:instrText xml:space="preserve"> PAGEREF _Toc176864609 \h </w:instrText>
            </w:r>
            <w:r w:rsidR="00EB6B5D">
              <w:rPr>
                <w:noProof/>
                <w:webHidden/>
              </w:rPr>
            </w:r>
            <w:r w:rsidR="00EB6B5D">
              <w:rPr>
                <w:noProof/>
                <w:webHidden/>
              </w:rPr>
              <w:fldChar w:fldCharType="separate"/>
            </w:r>
            <w:r w:rsidR="00010123">
              <w:rPr>
                <w:noProof/>
                <w:webHidden/>
              </w:rPr>
              <w:t>264</w:t>
            </w:r>
            <w:r w:rsidR="00EB6B5D">
              <w:rPr>
                <w:noProof/>
                <w:webHidden/>
              </w:rPr>
              <w:fldChar w:fldCharType="end"/>
            </w:r>
          </w:hyperlink>
        </w:p>
        <w:p w14:paraId="0056CB21" w14:textId="05329AFA" w:rsidR="00EB6B5D" w:rsidRDefault="00000000">
          <w:pPr>
            <w:pStyle w:val="TOC2"/>
            <w:tabs>
              <w:tab w:val="right" w:leader="dot" w:pos="10790"/>
            </w:tabs>
            <w:rPr>
              <w:noProof/>
            </w:rPr>
          </w:pPr>
          <w:hyperlink w:anchor="_Toc176864610" w:history="1">
            <w:r w:rsidR="00EB6B5D" w:rsidRPr="00633202">
              <w:rPr>
                <w:rStyle w:val="Hyperlink"/>
                <w:noProof/>
              </w:rPr>
              <w:t>P111 a ajouté (a été ajouté par)</w:t>
            </w:r>
            <w:r w:rsidR="00EB6B5D">
              <w:rPr>
                <w:noProof/>
                <w:webHidden/>
              </w:rPr>
              <w:tab/>
            </w:r>
            <w:r w:rsidR="00EB6B5D">
              <w:rPr>
                <w:noProof/>
                <w:webHidden/>
              </w:rPr>
              <w:fldChar w:fldCharType="begin"/>
            </w:r>
            <w:r w:rsidR="00EB6B5D">
              <w:rPr>
                <w:noProof/>
                <w:webHidden/>
              </w:rPr>
              <w:instrText xml:space="preserve"> PAGEREF _Toc176864610 \h </w:instrText>
            </w:r>
            <w:r w:rsidR="00EB6B5D">
              <w:rPr>
                <w:noProof/>
                <w:webHidden/>
              </w:rPr>
            </w:r>
            <w:r w:rsidR="00EB6B5D">
              <w:rPr>
                <w:noProof/>
                <w:webHidden/>
              </w:rPr>
              <w:fldChar w:fldCharType="separate"/>
            </w:r>
            <w:r w:rsidR="00010123">
              <w:rPr>
                <w:noProof/>
                <w:webHidden/>
              </w:rPr>
              <w:t>265</w:t>
            </w:r>
            <w:r w:rsidR="00EB6B5D">
              <w:rPr>
                <w:noProof/>
                <w:webHidden/>
              </w:rPr>
              <w:fldChar w:fldCharType="end"/>
            </w:r>
          </w:hyperlink>
        </w:p>
        <w:p w14:paraId="1CBB6BA9" w14:textId="422BC19D" w:rsidR="00EB6B5D" w:rsidRDefault="00000000">
          <w:pPr>
            <w:pStyle w:val="TOC2"/>
            <w:tabs>
              <w:tab w:val="right" w:leader="dot" w:pos="10790"/>
            </w:tabs>
            <w:rPr>
              <w:noProof/>
            </w:rPr>
          </w:pPr>
          <w:hyperlink w:anchor="_Toc176864611" w:history="1">
            <w:r w:rsidR="00EB6B5D" w:rsidRPr="00633202">
              <w:rPr>
                <w:rStyle w:val="Hyperlink"/>
                <w:noProof/>
              </w:rPr>
              <w:t>P112 a diminué (a été diminué par)</w:t>
            </w:r>
            <w:r w:rsidR="00EB6B5D">
              <w:rPr>
                <w:noProof/>
                <w:webHidden/>
              </w:rPr>
              <w:tab/>
            </w:r>
            <w:r w:rsidR="00EB6B5D">
              <w:rPr>
                <w:noProof/>
                <w:webHidden/>
              </w:rPr>
              <w:fldChar w:fldCharType="begin"/>
            </w:r>
            <w:r w:rsidR="00EB6B5D">
              <w:rPr>
                <w:noProof/>
                <w:webHidden/>
              </w:rPr>
              <w:instrText xml:space="preserve"> PAGEREF _Toc176864611 \h </w:instrText>
            </w:r>
            <w:r w:rsidR="00EB6B5D">
              <w:rPr>
                <w:noProof/>
                <w:webHidden/>
              </w:rPr>
            </w:r>
            <w:r w:rsidR="00EB6B5D">
              <w:rPr>
                <w:noProof/>
                <w:webHidden/>
              </w:rPr>
              <w:fldChar w:fldCharType="separate"/>
            </w:r>
            <w:r w:rsidR="00010123">
              <w:rPr>
                <w:noProof/>
                <w:webHidden/>
              </w:rPr>
              <w:t>266</w:t>
            </w:r>
            <w:r w:rsidR="00EB6B5D">
              <w:rPr>
                <w:noProof/>
                <w:webHidden/>
              </w:rPr>
              <w:fldChar w:fldCharType="end"/>
            </w:r>
          </w:hyperlink>
        </w:p>
        <w:p w14:paraId="5D1DEE7D" w14:textId="1D96E1DC" w:rsidR="00EB6B5D" w:rsidRDefault="00000000">
          <w:pPr>
            <w:pStyle w:val="TOC2"/>
            <w:tabs>
              <w:tab w:val="right" w:leader="dot" w:pos="10790"/>
            </w:tabs>
            <w:rPr>
              <w:noProof/>
            </w:rPr>
          </w:pPr>
          <w:hyperlink w:anchor="_Toc176864612" w:history="1">
            <w:r w:rsidR="00EB6B5D" w:rsidRPr="00633202">
              <w:rPr>
                <w:rStyle w:val="Hyperlink"/>
                <w:noProof/>
              </w:rPr>
              <w:t>P113 a retiré (a été retiré par)</w:t>
            </w:r>
            <w:r w:rsidR="00EB6B5D">
              <w:rPr>
                <w:noProof/>
                <w:webHidden/>
              </w:rPr>
              <w:tab/>
            </w:r>
            <w:r w:rsidR="00EB6B5D">
              <w:rPr>
                <w:noProof/>
                <w:webHidden/>
              </w:rPr>
              <w:fldChar w:fldCharType="begin"/>
            </w:r>
            <w:r w:rsidR="00EB6B5D">
              <w:rPr>
                <w:noProof/>
                <w:webHidden/>
              </w:rPr>
              <w:instrText xml:space="preserve"> PAGEREF _Toc176864612 \h </w:instrText>
            </w:r>
            <w:r w:rsidR="00EB6B5D">
              <w:rPr>
                <w:noProof/>
                <w:webHidden/>
              </w:rPr>
            </w:r>
            <w:r w:rsidR="00EB6B5D">
              <w:rPr>
                <w:noProof/>
                <w:webHidden/>
              </w:rPr>
              <w:fldChar w:fldCharType="separate"/>
            </w:r>
            <w:r w:rsidR="00010123">
              <w:rPr>
                <w:noProof/>
                <w:webHidden/>
              </w:rPr>
              <w:t>267</w:t>
            </w:r>
            <w:r w:rsidR="00EB6B5D">
              <w:rPr>
                <w:noProof/>
                <w:webHidden/>
              </w:rPr>
              <w:fldChar w:fldCharType="end"/>
            </w:r>
          </w:hyperlink>
        </w:p>
        <w:p w14:paraId="60530D32" w14:textId="42CDEA07" w:rsidR="00EB6B5D" w:rsidRDefault="00000000">
          <w:pPr>
            <w:pStyle w:val="TOC2"/>
            <w:tabs>
              <w:tab w:val="right" w:leader="dot" w:pos="10790"/>
            </w:tabs>
            <w:rPr>
              <w:noProof/>
            </w:rPr>
          </w:pPr>
          <w:hyperlink w:anchor="_Toc176864613" w:history="1">
            <w:r w:rsidR="00EB6B5D" w:rsidRPr="00633202">
              <w:rPr>
                <w:rStyle w:val="Hyperlink"/>
                <w:noProof/>
              </w:rPr>
              <w:t>P121 se superpose partiellement à</w:t>
            </w:r>
            <w:r w:rsidR="00EB6B5D">
              <w:rPr>
                <w:noProof/>
                <w:webHidden/>
              </w:rPr>
              <w:tab/>
            </w:r>
            <w:r w:rsidR="00EB6B5D">
              <w:rPr>
                <w:noProof/>
                <w:webHidden/>
              </w:rPr>
              <w:fldChar w:fldCharType="begin"/>
            </w:r>
            <w:r w:rsidR="00EB6B5D">
              <w:rPr>
                <w:noProof/>
                <w:webHidden/>
              </w:rPr>
              <w:instrText xml:space="preserve"> PAGEREF _Toc176864613 \h </w:instrText>
            </w:r>
            <w:r w:rsidR="00EB6B5D">
              <w:rPr>
                <w:noProof/>
                <w:webHidden/>
              </w:rPr>
            </w:r>
            <w:r w:rsidR="00EB6B5D">
              <w:rPr>
                <w:noProof/>
                <w:webHidden/>
              </w:rPr>
              <w:fldChar w:fldCharType="separate"/>
            </w:r>
            <w:r w:rsidR="00010123">
              <w:rPr>
                <w:noProof/>
                <w:webHidden/>
              </w:rPr>
              <w:t>267</w:t>
            </w:r>
            <w:r w:rsidR="00EB6B5D">
              <w:rPr>
                <w:noProof/>
                <w:webHidden/>
              </w:rPr>
              <w:fldChar w:fldCharType="end"/>
            </w:r>
          </w:hyperlink>
        </w:p>
        <w:p w14:paraId="6D2E248F" w14:textId="0BAFCC53" w:rsidR="00EB6B5D" w:rsidRDefault="00000000">
          <w:pPr>
            <w:pStyle w:val="TOC2"/>
            <w:tabs>
              <w:tab w:val="right" w:leader="dot" w:pos="10790"/>
            </w:tabs>
            <w:rPr>
              <w:noProof/>
            </w:rPr>
          </w:pPr>
          <w:hyperlink w:anchor="_Toc176864614" w:history="1">
            <w:r w:rsidR="00EB6B5D" w:rsidRPr="00633202">
              <w:rPr>
                <w:rStyle w:val="Hyperlink"/>
                <w:noProof/>
              </w:rPr>
              <w:t>P122 est limitrophe de</w:t>
            </w:r>
            <w:r w:rsidR="00EB6B5D">
              <w:rPr>
                <w:noProof/>
                <w:webHidden/>
              </w:rPr>
              <w:tab/>
            </w:r>
            <w:r w:rsidR="00EB6B5D">
              <w:rPr>
                <w:noProof/>
                <w:webHidden/>
              </w:rPr>
              <w:fldChar w:fldCharType="begin"/>
            </w:r>
            <w:r w:rsidR="00EB6B5D">
              <w:rPr>
                <w:noProof/>
                <w:webHidden/>
              </w:rPr>
              <w:instrText xml:space="preserve"> PAGEREF _Toc176864614 \h </w:instrText>
            </w:r>
            <w:r w:rsidR="00EB6B5D">
              <w:rPr>
                <w:noProof/>
                <w:webHidden/>
              </w:rPr>
            </w:r>
            <w:r w:rsidR="00EB6B5D">
              <w:rPr>
                <w:noProof/>
                <w:webHidden/>
              </w:rPr>
              <w:fldChar w:fldCharType="separate"/>
            </w:r>
            <w:r w:rsidR="00010123">
              <w:rPr>
                <w:noProof/>
                <w:webHidden/>
              </w:rPr>
              <w:t>268</w:t>
            </w:r>
            <w:r w:rsidR="00EB6B5D">
              <w:rPr>
                <w:noProof/>
                <w:webHidden/>
              </w:rPr>
              <w:fldChar w:fldCharType="end"/>
            </w:r>
          </w:hyperlink>
        </w:p>
        <w:p w14:paraId="1E3D6349" w14:textId="59B14E6F" w:rsidR="00EB6B5D" w:rsidRDefault="00000000">
          <w:pPr>
            <w:pStyle w:val="TOC2"/>
            <w:tabs>
              <w:tab w:val="right" w:leader="dot" w:pos="10790"/>
            </w:tabs>
            <w:rPr>
              <w:noProof/>
            </w:rPr>
          </w:pPr>
          <w:hyperlink w:anchor="_Toc176864615" w:history="1">
            <w:r w:rsidR="00EB6B5D" w:rsidRPr="00633202">
              <w:rPr>
                <w:rStyle w:val="Hyperlink"/>
                <w:noProof/>
              </w:rPr>
              <w:t>P123 a eu pour résultat (a résulté de)</w:t>
            </w:r>
            <w:r w:rsidR="00EB6B5D">
              <w:rPr>
                <w:noProof/>
                <w:webHidden/>
              </w:rPr>
              <w:tab/>
            </w:r>
            <w:r w:rsidR="00EB6B5D">
              <w:rPr>
                <w:noProof/>
                <w:webHidden/>
              </w:rPr>
              <w:fldChar w:fldCharType="begin"/>
            </w:r>
            <w:r w:rsidR="00EB6B5D">
              <w:rPr>
                <w:noProof/>
                <w:webHidden/>
              </w:rPr>
              <w:instrText xml:space="preserve"> PAGEREF _Toc176864615 \h </w:instrText>
            </w:r>
            <w:r w:rsidR="00EB6B5D">
              <w:rPr>
                <w:noProof/>
                <w:webHidden/>
              </w:rPr>
            </w:r>
            <w:r w:rsidR="00EB6B5D">
              <w:rPr>
                <w:noProof/>
                <w:webHidden/>
              </w:rPr>
              <w:fldChar w:fldCharType="separate"/>
            </w:r>
            <w:r w:rsidR="00010123">
              <w:rPr>
                <w:noProof/>
                <w:webHidden/>
              </w:rPr>
              <w:t>269</w:t>
            </w:r>
            <w:r w:rsidR="00EB6B5D">
              <w:rPr>
                <w:noProof/>
                <w:webHidden/>
              </w:rPr>
              <w:fldChar w:fldCharType="end"/>
            </w:r>
          </w:hyperlink>
        </w:p>
        <w:p w14:paraId="34169933" w14:textId="5C534C07" w:rsidR="00EB6B5D" w:rsidRDefault="00000000">
          <w:pPr>
            <w:pStyle w:val="TOC2"/>
            <w:tabs>
              <w:tab w:val="right" w:leader="dot" w:pos="10790"/>
            </w:tabs>
            <w:rPr>
              <w:noProof/>
            </w:rPr>
          </w:pPr>
          <w:hyperlink w:anchor="_Toc176864616" w:history="1">
            <w:r w:rsidR="00EB6B5D" w:rsidRPr="00633202">
              <w:rPr>
                <w:rStyle w:val="Hyperlink"/>
                <w:noProof/>
              </w:rPr>
              <w:t>P124 a transformé (a été transformé par)</w:t>
            </w:r>
            <w:r w:rsidR="00EB6B5D">
              <w:rPr>
                <w:noProof/>
                <w:webHidden/>
              </w:rPr>
              <w:tab/>
            </w:r>
            <w:r w:rsidR="00EB6B5D">
              <w:rPr>
                <w:noProof/>
                <w:webHidden/>
              </w:rPr>
              <w:fldChar w:fldCharType="begin"/>
            </w:r>
            <w:r w:rsidR="00EB6B5D">
              <w:rPr>
                <w:noProof/>
                <w:webHidden/>
              </w:rPr>
              <w:instrText xml:space="preserve"> PAGEREF _Toc176864616 \h </w:instrText>
            </w:r>
            <w:r w:rsidR="00EB6B5D">
              <w:rPr>
                <w:noProof/>
                <w:webHidden/>
              </w:rPr>
            </w:r>
            <w:r w:rsidR="00EB6B5D">
              <w:rPr>
                <w:noProof/>
                <w:webHidden/>
              </w:rPr>
              <w:fldChar w:fldCharType="separate"/>
            </w:r>
            <w:r w:rsidR="00010123">
              <w:rPr>
                <w:noProof/>
                <w:webHidden/>
              </w:rPr>
              <w:t>270</w:t>
            </w:r>
            <w:r w:rsidR="00EB6B5D">
              <w:rPr>
                <w:noProof/>
                <w:webHidden/>
              </w:rPr>
              <w:fldChar w:fldCharType="end"/>
            </w:r>
          </w:hyperlink>
        </w:p>
        <w:p w14:paraId="61FFFD69" w14:textId="3383679A" w:rsidR="00EB6B5D" w:rsidRDefault="00000000">
          <w:pPr>
            <w:pStyle w:val="TOC2"/>
            <w:tabs>
              <w:tab w:val="right" w:leader="dot" w:pos="10790"/>
            </w:tabs>
            <w:rPr>
              <w:noProof/>
            </w:rPr>
          </w:pPr>
          <w:hyperlink w:anchor="_Toc176864617" w:history="1">
            <w:r w:rsidR="00EB6B5D" w:rsidRPr="00633202">
              <w:rPr>
                <w:rStyle w:val="Hyperlink"/>
                <w:noProof/>
              </w:rPr>
              <w:t>P125 a mobilisé l’objet du type (a été le type d’objet employé pour)</w:t>
            </w:r>
            <w:r w:rsidR="00EB6B5D">
              <w:rPr>
                <w:noProof/>
                <w:webHidden/>
              </w:rPr>
              <w:tab/>
            </w:r>
            <w:r w:rsidR="00EB6B5D">
              <w:rPr>
                <w:noProof/>
                <w:webHidden/>
              </w:rPr>
              <w:fldChar w:fldCharType="begin"/>
            </w:r>
            <w:r w:rsidR="00EB6B5D">
              <w:rPr>
                <w:noProof/>
                <w:webHidden/>
              </w:rPr>
              <w:instrText xml:space="preserve"> PAGEREF _Toc176864617 \h </w:instrText>
            </w:r>
            <w:r w:rsidR="00EB6B5D">
              <w:rPr>
                <w:noProof/>
                <w:webHidden/>
              </w:rPr>
            </w:r>
            <w:r w:rsidR="00EB6B5D">
              <w:rPr>
                <w:noProof/>
                <w:webHidden/>
              </w:rPr>
              <w:fldChar w:fldCharType="separate"/>
            </w:r>
            <w:r w:rsidR="00010123">
              <w:rPr>
                <w:noProof/>
                <w:webHidden/>
              </w:rPr>
              <w:t>271</w:t>
            </w:r>
            <w:r w:rsidR="00EB6B5D">
              <w:rPr>
                <w:noProof/>
                <w:webHidden/>
              </w:rPr>
              <w:fldChar w:fldCharType="end"/>
            </w:r>
          </w:hyperlink>
        </w:p>
        <w:p w14:paraId="34A994B7" w14:textId="169ACDDE" w:rsidR="00EB6B5D" w:rsidRDefault="00000000">
          <w:pPr>
            <w:pStyle w:val="TOC2"/>
            <w:tabs>
              <w:tab w:val="right" w:leader="dot" w:pos="10790"/>
            </w:tabs>
            <w:rPr>
              <w:noProof/>
            </w:rPr>
          </w:pPr>
          <w:hyperlink w:anchor="_Toc176864618" w:history="1">
            <w:r w:rsidR="00EB6B5D" w:rsidRPr="00633202">
              <w:rPr>
                <w:rStyle w:val="Hyperlink"/>
                <w:noProof/>
              </w:rPr>
              <w:t>P126 a employé (a été employé dans)</w:t>
            </w:r>
            <w:r w:rsidR="00EB6B5D">
              <w:rPr>
                <w:noProof/>
                <w:webHidden/>
              </w:rPr>
              <w:tab/>
            </w:r>
            <w:r w:rsidR="00EB6B5D">
              <w:rPr>
                <w:noProof/>
                <w:webHidden/>
              </w:rPr>
              <w:fldChar w:fldCharType="begin"/>
            </w:r>
            <w:r w:rsidR="00EB6B5D">
              <w:rPr>
                <w:noProof/>
                <w:webHidden/>
              </w:rPr>
              <w:instrText xml:space="preserve"> PAGEREF _Toc176864618 \h </w:instrText>
            </w:r>
            <w:r w:rsidR="00EB6B5D">
              <w:rPr>
                <w:noProof/>
                <w:webHidden/>
              </w:rPr>
            </w:r>
            <w:r w:rsidR="00EB6B5D">
              <w:rPr>
                <w:noProof/>
                <w:webHidden/>
              </w:rPr>
              <w:fldChar w:fldCharType="separate"/>
            </w:r>
            <w:r w:rsidR="00010123">
              <w:rPr>
                <w:noProof/>
                <w:webHidden/>
              </w:rPr>
              <w:t>272</w:t>
            </w:r>
            <w:r w:rsidR="00EB6B5D">
              <w:rPr>
                <w:noProof/>
                <w:webHidden/>
              </w:rPr>
              <w:fldChar w:fldCharType="end"/>
            </w:r>
          </w:hyperlink>
        </w:p>
        <w:p w14:paraId="68BAF5B6" w14:textId="4A0E2392" w:rsidR="00EB6B5D" w:rsidRDefault="00000000">
          <w:pPr>
            <w:pStyle w:val="TOC2"/>
            <w:tabs>
              <w:tab w:val="right" w:leader="dot" w:pos="10790"/>
            </w:tabs>
            <w:rPr>
              <w:noProof/>
            </w:rPr>
          </w:pPr>
          <w:hyperlink w:anchor="_Toc176864619" w:history="1">
            <w:r w:rsidR="00EB6B5D" w:rsidRPr="00633202">
              <w:rPr>
                <w:rStyle w:val="Hyperlink"/>
                <w:noProof/>
              </w:rPr>
              <w:t>P127 a pour terme général (a pour terme spécifique)</w:t>
            </w:r>
            <w:r w:rsidR="00EB6B5D">
              <w:rPr>
                <w:noProof/>
                <w:webHidden/>
              </w:rPr>
              <w:tab/>
            </w:r>
            <w:r w:rsidR="00EB6B5D">
              <w:rPr>
                <w:noProof/>
                <w:webHidden/>
              </w:rPr>
              <w:fldChar w:fldCharType="begin"/>
            </w:r>
            <w:r w:rsidR="00EB6B5D">
              <w:rPr>
                <w:noProof/>
                <w:webHidden/>
              </w:rPr>
              <w:instrText xml:space="preserve"> PAGEREF _Toc176864619 \h </w:instrText>
            </w:r>
            <w:r w:rsidR="00EB6B5D">
              <w:rPr>
                <w:noProof/>
                <w:webHidden/>
              </w:rPr>
            </w:r>
            <w:r w:rsidR="00EB6B5D">
              <w:rPr>
                <w:noProof/>
                <w:webHidden/>
              </w:rPr>
              <w:fldChar w:fldCharType="separate"/>
            </w:r>
            <w:r w:rsidR="00010123">
              <w:rPr>
                <w:noProof/>
                <w:webHidden/>
              </w:rPr>
              <w:t>273</w:t>
            </w:r>
            <w:r w:rsidR="00EB6B5D">
              <w:rPr>
                <w:noProof/>
                <w:webHidden/>
              </w:rPr>
              <w:fldChar w:fldCharType="end"/>
            </w:r>
          </w:hyperlink>
        </w:p>
        <w:p w14:paraId="67714106" w14:textId="52A8BBC5" w:rsidR="00EB6B5D" w:rsidRDefault="00000000">
          <w:pPr>
            <w:pStyle w:val="TOC2"/>
            <w:tabs>
              <w:tab w:val="right" w:leader="dot" w:pos="10790"/>
            </w:tabs>
            <w:rPr>
              <w:noProof/>
            </w:rPr>
          </w:pPr>
          <w:hyperlink w:anchor="_Toc176864620" w:history="1">
            <w:r w:rsidR="00EB6B5D" w:rsidRPr="00633202">
              <w:rPr>
                <w:rStyle w:val="Hyperlink"/>
                <w:noProof/>
              </w:rPr>
              <w:t>P128 est le support de (a pour support)</w:t>
            </w:r>
            <w:r w:rsidR="00EB6B5D">
              <w:rPr>
                <w:noProof/>
                <w:webHidden/>
              </w:rPr>
              <w:tab/>
            </w:r>
            <w:r w:rsidR="00EB6B5D">
              <w:rPr>
                <w:noProof/>
                <w:webHidden/>
              </w:rPr>
              <w:fldChar w:fldCharType="begin"/>
            </w:r>
            <w:r w:rsidR="00EB6B5D">
              <w:rPr>
                <w:noProof/>
                <w:webHidden/>
              </w:rPr>
              <w:instrText xml:space="preserve"> PAGEREF _Toc176864620 \h </w:instrText>
            </w:r>
            <w:r w:rsidR="00EB6B5D">
              <w:rPr>
                <w:noProof/>
                <w:webHidden/>
              </w:rPr>
            </w:r>
            <w:r w:rsidR="00EB6B5D">
              <w:rPr>
                <w:noProof/>
                <w:webHidden/>
              </w:rPr>
              <w:fldChar w:fldCharType="separate"/>
            </w:r>
            <w:r w:rsidR="00010123">
              <w:rPr>
                <w:noProof/>
                <w:webHidden/>
              </w:rPr>
              <w:t>274</w:t>
            </w:r>
            <w:r w:rsidR="00EB6B5D">
              <w:rPr>
                <w:noProof/>
                <w:webHidden/>
              </w:rPr>
              <w:fldChar w:fldCharType="end"/>
            </w:r>
          </w:hyperlink>
        </w:p>
        <w:p w14:paraId="7ED87152" w14:textId="4055C6C4" w:rsidR="00EB6B5D" w:rsidRDefault="00000000">
          <w:pPr>
            <w:pStyle w:val="TOC2"/>
            <w:tabs>
              <w:tab w:val="right" w:leader="dot" w:pos="10790"/>
            </w:tabs>
            <w:rPr>
              <w:noProof/>
            </w:rPr>
          </w:pPr>
          <w:hyperlink w:anchor="_Toc176864621" w:history="1">
            <w:r w:rsidR="00EB6B5D" w:rsidRPr="00633202">
              <w:rPr>
                <w:rStyle w:val="Hyperlink"/>
                <w:noProof/>
              </w:rPr>
              <w:t>P129 a pour sujet (est le sujet de)</w:t>
            </w:r>
            <w:r w:rsidR="00EB6B5D">
              <w:rPr>
                <w:noProof/>
                <w:webHidden/>
              </w:rPr>
              <w:tab/>
            </w:r>
            <w:r w:rsidR="00EB6B5D">
              <w:rPr>
                <w:noProof/>
                <w:webHidden/>
              </w:rPr>
              <w:fldChar w:fldCharType="begin"/>
            </w:r>
            <w:r w:rsidR="00EB6B5D">
              <w:rPr>
                <w:noProof/>
                <w:webHidden/>
              </w:rPr>
              <w:instrText xml:space="preserve"> PAGEREF _Toc176864621 \h </w:instrText>
            </w:r>
            <w:r w:rsidR="00EB6B5D">
              <w:rPr>
                <w:noProof/>
                <w:webHidden/>
              </w:rPr>
            </w:r>
            <w:r w:rsidR="00EB6B5D">
              <w:rPr>
                <w:noProof/>
                <w:webHidden/>
              </w:rPr>
              <w:fldChar w:fldCharType="separate"/>
            </w:r>
            <w:r w:rsidR="00010123">
              <w:rPr>
                <w:noProof/>
                <w:webHidden/>
              </w:rPr>
              <w:t>275</w:t>
            </w:r>
            <w:r w:rsidR="00EB6B5D">
              <w:rPr>
                <w:noProof/>
                <w:webHidden/>
              </w:rPr>
              <w:fldChar w:fldCharType="end"/>
            </w:r>
          </w:hyperlink>
        </w:p>
        <w:p w14:paraId="50805771" w14:textId="4CC97508" w:rsidR="00EB6B5D" w:rsidRDefault="00000000">
          <w:pPr>
            <w:pStyle w:val="TOC2"/>
            <w:tabs>
              <w:tab w:val="right" w:leader="dot" w:pos="10790"/>
            </w:tabs>
            <w:rPr>
              <w:noProof/>
            </w:rPr>
          </w:pPr>
          <w:hyperlink w:anchor="_Toc176864622" w:history="1">
            <w:r w:rsidR="00EB6B5D" w:rsidRPr="00633202">
              <w:rPr>
                <w:rStyle w:val="Hyperlink"/>
                <w:noProof/>
              </w:rPr>
              <w:t>P130 présente les caractéristiques de (a les caractéristiques aussi présentes sur)</w:t>
            </w:r>
            <w:r w:rsidR="00EB6B5D">
              <w:rPr>
                <w:noProof/>
                <w:webHidden/>
              </w:rPr>
              <w:tab/>
            </w:r>
            <w:r w:rsidR="00EB6B5D">
              <w:rPr>
                <w:noProof/>
                <w:webHidden/>
              </w:rPr>
              <w:fldChar w:fldCharType="begin"/>
            </w:r>
            <w:r w:rsidR="00EB6B5D">
              <w:rPr>
                <w:noProof/>
                <w:webHidden/>
              </w:rPr>
              <w:instrText xml:space="preserve"> PAGEREF _Toc176864622 \h </w:instrText>
            </w:r>
            <w:r w:rsidR="00EB6B5D">
              <w:rPr>
                <w:noProof/>
                <w:webHidden/>
              </w:rPr>
            </w:r>
            <w:r w:rsidR="00EB6B5D">
              <w:rPr>
                <w:noProof/>
                <w:webHidden/>
              </w:rPr>
              <w:fldChar w:fldCharType="separate"/>
            </w:r>
            <w:r w:rsidR="00010123">
              <w:rPr>
                <w:noProof/>
                <w:webHidden/>
              </w:rPr>
              <w:t>276</w:t>
            </w:r>
            <w:r w:rsidR="00EB6B5D">
              <w:rPr>
                <w:noProof/>
                <w:webHidden/>
              </w:rPr>
              <w:fldChar w:fldCharType="end"/>
            </w:r>
          </w:hyperlink>
        </w:p>
        <w:p w14:paraId="66A75F3E" w14:textId="56FE1A05" w:rsidR="00EB6B5D" w:rsidRDefault="00000000">
          <w:pPr>
            <w:pStyle w:val="TOC2"/>
            <w:tabs>
              <w:tab w:val="right" w:leader="dot" w:pos="10790"/>
            </w:tabs>
            <w:rPr>
              <w:noProof/>
            </w:rPr>
          </w:pPr>
          <w:hyperlink w:anchor="_Toc176864623" w:history="1">
            <w:r w:rsidR="00EB6B5D" w:rsidRPr="00633202">
              <w:rPr>
                <w:rStyle w:val="Hyperlink"/>
                <w:noProof/>
              </w:rPr>
              <w:t>P132 recoupe spatio-temporellement</w:t>
            </w:r>
            <w:r w:rsidR="00EB6B5D">
              <w:rPr>
                <w:noProof/>
                <w:webHidden/>
              </w:rPr>
              <w:tab/>
            </w:r>
            <w:r w:rsidR="00EB6B5D">
              <w:rPr>
                <w:noProof/>
                <w:webHidden/>
              </w:rPr>
              <w:fldChar w:fldCharType="begin"/>
            </w:r>
            <w:r w:rsidR="00EB6B5D">
              <w:rPr>
                <w:noProof/>
                <w:webHidden/>
              </w:rPr>
              <w:instrText xml:space="preserve"> PAGEREF _Toc176864623 \h </w:instrText>
            </w:r>
            <w:r w:rsidR="00EB6B5D">
              <w:rPr>
                <w:noProof/>
                <w:webHidden/>
              </w:rPr>
            </w:r>
            <w:r w:rsidR="00EB6B5D">
              <w:rPr>
                <w:noProof/>
                <w:webHidden/>
              </w:rPr>
              <w:fldChar w:fldCharType="separate"/>
            </w:r>
            <w:r w:rsidR="00010123">
              <w:rPr>
                <w:noProof/>
                <w:webHidden/>
              </w:rPr>
              <w:t>277</w:t>
            </w:r>
            <w:r w:rsidR="00EB6B5D">
              <w:rPr>
                <w:noProof/>
                <w:webHidden/>
              </w:rPr>
              <w:fldChar w:fldCharType="end"/>
            </w:r>
          </w:hyperlink>
        </w:p>
        <w:p w14:paraId="3DFDBB85" w14:textId="44581179" w:rsidR="00EB6B5D" w:rsidRDefault="00000000">
          <w:pPr>
            <w:pStyle w:val="TOC2"/>
            <w:tabs>
              <w:tab w:val="right" w:leader="dot" w:pos="10790"/>
            </w:tabs>
            <w:rPr>
              <w:noProof/>
            </w:rPr>
          </w:pPr>
          <w:hyperlink w:anchor="_Toc176864624" w:history="1">
            <w:r w:rsidR="00EB6B5D" w:rsidRPr="00633202">
              <w:rPr>
                <w:rStyle w:val="Hyperlink"/>
                <w:noProof/>
              </w:rPr>
              <w:t>P133 est distinct spatio-temporellement de</w:t>
            </w:r>
            <w:r w:rsidR="00EB6B5D">
              <w:rPr>
                <w:noProof/>
                <w:webHidden/>
              </w:rPr>
              <w:tab/>
            </w:r>
            <w:r w:rsidR="00EB6B5D">
              <w:rPr>
                <w:noProof/>
                <w:webHidden/>
              </w:rPr>
              <w:fldChar w:fldCharType="begin"/>
            </w:r>
            <w:r w:rsidR="00EB6B5D">
              <w:rPr>
                <w:noProof/>
                <w:webHidden/>
              </w:rPr>
              <w:instrText xml:space="preserve"> PAGEREF _Toc176864624 \h </w:instrText>
            </w:r>
            <w:r w:rsidR="00EB6B5D">
              <w:rPr>
                <w:noProof/>
                <w:webHidden/>
              </w:rPr>
            </w:r>
            <w:r w:rsidR="00EB6B5D">
              <w:rPr>
                <w:noProof/>
                <w:webHidden/>
              </w:rPr>
              <w:fldChar w:fldCharType="separate"/>
            </w:r>
            <w:r w:rsidR="00010123">
              <w:rPr>
                <w:noProof/>
                <w:webHidden/>
              </w:rPr>
              <w:t>278</w:t>
            </w:r>
            <w:r w:rsidR="00EB6B5D">
              <w:rPr>
                <w:noProof/>
                <w:webHidden/>
              </w:rPr>
              <w:fldChar w:fldCharType="end"/>
            </w:r>
          </w:hyperlink>
        </w:p>
        <w:p w14:paraId="4A0FA9AB" w14:textId="6CD0DB3A" w:rsidR="00EB6B5D" w:rsidRDefault="00000000">
          <w:pPr>
            <w:pStyle w:val="TOC2"/>
            <w:tabs>
              <w:tab w:val="right" w:leader="dot" w:pos="10790"/>
            </w:tabs>
            <w:rPr>
              <w:noProof/>
            </w:rPr>
          </w:pPr>
          <w:hyperlink w:anchor="_Toc176864625" w:history="1">
            <w:r w:rsidR="00EB6B5D" w:rsidRPr="00633202">
              <w:rPr>
                <w:rStyle w:val="Hyperlink"/>
                <w:noProof/>
              </w:rPr>
              <w:t>P134 a continué (a été continué par)</w:t>
            </w:r>
            <w:r w:rsidR="00EB6B5D">
              <w:rPr>
                <w:noProof/>
                <w:webHidden/>
              </w:rPr>
              <w:tab/>
            </w:r>
            <w:r w:rsidR="00EB6B5D">
              <w:rPr>
                <w:noProof/>
                <w:webHidden/>
              </w:rPr>
              <w:fldChar w:fldCharType="begin"/>
            </w:r>
            <w:r w:rsidR="00EB6B5D">
              <w:rPr>
                <w:noProof/>
                <w:webHidden/>
              </w:rPr>
              <w:instrText xml:space="preserve"> PAGEREF _Toc176864625 \h </w:instrText>
            </w:r>
            <w:r w:rsidR="00EB6B5D">
              <w:rPr>
                <w:noProof/>
                <w:webHidden/>
              </w:rPr>
            </w:r>
            <w:r w:rsidR="00EB6B5D">
              <w:rPr>
                <w:noProof/>
                <w:webHidden/>
              </w:rPr>
              <w:fldChar w:fldCharType="separate"/>
            </w:r>
            <w:r w:rsidR="00010123">
              <w:rPr>
                <w:noProof/>
                <w:webHidden/>
              </w:rPr>
              <w:t>279</w:t>
            </w:r>
            <w:r w:rsidR="00EB6B5D">
              <w:rPr>
                <w:noProof/>
                <w:webHidden/>
              </w:rPr>
              <w:fldChar w:fldCharType="end"/>
            </w:r>
          </w:hyperlink>
        </w:p>
        <w:p w14:paraId="55ECE27B" w14:textId="2C888D27" w:rsidR="00EB6B5D" w:rsidRDefault="00000000">
          <w:pPr>
            <w:pStyle w:val="TOC2"/>
            <w:tabs>
              <w:tab w:val="right" w:leader="dot" w:pos="10790"/>
            </w:tabs>
            <w:rPr>
              <w:noProof/>
            </w:rPr>
          </w:pPr>
          <w:hyperlink w:anchor="_Toc176864626" w:history="1">
            <w:r w:rsidR="00EB6B5D" w:rsidRPr="00633202">
              <w:rPr>
                <w:rStyle w:val="Hyperlink"/>
                <w:noProof/>
              </w:rPr>
              <w:t>P135 a créé le type (a été créé par)</w:t>
            </w:r>
            <w:r w:rsidR="00EB6B5D">
              <w:rPr>
                <w:noProof/>
                <w:webHidden/>
              </w:rPr>
              <w:tab/>
            </w:r>
            <w:r w:rsidR="00EB6B5D">
              <w:rPr>
                <w:noProof/>
                <w:webHidden/>
              </w:rPr>
              <w:fldChar w:fldCharType="begin"/>
            </w:r>
            <w:r w:rsidR="00EB6B5D">
              <w:rPr>
                <w:noProof/>
                <w:webHidden/>
              </w:rPr>
              <w:instrText xml:space="preserve"> PAGEREF _Toc176864626 \h </w:instrText>
            </w:r>
            <w:r w:rsidR="00EB6B5D">
              <w:rPr>
                <w:noProof/>
                <w:webHidden/>
              </w:rPr>
            </w:r>
            <w:r w:rsidR="00EB6B5D">
              <w:rPr>
                <w:noProof/>
                <w:webHidden/>
              </w:rPr>
              <w:fldChar w:fldCharType="separate"/>
            </w:r>
            <w:r w:rsidR="00010123">
              <w:rPr>
                <w:noProof/>
                <w:webHidden/>
              </w:rPr>
              <w:t>280</w:t>
            </w:r>
            <w:r w:rsidR="00EB6B5D">
              <w:rPr>
                <w:noProof/>
                <w:webHidden/>
              </w:rPr>
              <w:fldChar w:fldCharType="end"/>
            </w:r>
          </w:hyperlink>
        </w:p>
        <w:p w14:paraId="7BB96EF5" w14:textId="31CA1AF1" w:rsidR="00EB6B5D" w:rsidRDefault="00000000">
          <w:pPr>
            <w:pStyle w:val="TOC2"/>
            <w:tabs>
              <w:tab w:val="right" w:leader="dot" w:pos="10790"/>
            </w:tabs>
            <w:rPr>
              <w:noProof/>
            </w:rPr>
          </w:pPr>
          <w:hyperlink w:anchor="_Toc176864627" w:history="1">
            <w:r w:rsidR="00EB6B5D" w:rsidRPr="00633202">
              <w:rPr>
                <w:rStyle w:val="Hyperlink"/>
                <w:noProof/>
              </w:rPr>
              <w:t>P136 a été fondé sur (a fondé la création du type)</w:t>
            </w:r>
            <w:r w:rsidR="00EB6B5D">
              <w:rPr>
                <w:noProof/>
                <w:webHidden/>
              </w:rPr>
              <w:tab/>
            </w:r>
            <w:r w:rsidR="00EB6B5D">
              <w:rPr>
                <w:noProof/>
                <w:webHidden/>
              </w:rPr>
              <w:fldChar w:fldCharType="begin"/>
            </w:r>
            <w:r w:rsidR="00EB6B5D">
              <w:rPr>
                <w:noProof/>
                <w:webHidden/>
              </w:rPr>
              <w:instrText xml:space="preserve"> PAGEREF _Toc176864627 \h </w:instrText>
            </w:r>
            <w:r w:rsidR="00EB6B5D">
              <w:rPr>
                <w:noProof/>
                <w:webHidden/>
              </w:rPr>
            </w:r>
            <w:r w:rsidR="00EB6B5D">
              <w:rPr>
                <w:noProof/>
                <w:webHidden/>
              </w:rPr>
              <w:fldChar w:fldCharType="separate"/>
            </w:r>
            <w:r w:rsidR="00010123">
              <w:rPr>
                <w:noProof/>
                <w:webHidden/>
              </w:rPr>
              <w:t>281</w:t>
            </w:r>
            <w:r w:rsidR="00EB6B5D">
              <w:rPr>
                <w:noProof/>
                <w:webHidden/>
              </w:rPr>
              <w:fldChar w:fldCharType="end"/>
            </w:r>
          </w:hyperlink>
        </w:p>
        <w:p w14:paraId="13E2AAE3" w14:textId="7322567D" w:rsidR="00EB6B5D" w:rsidRDefault="00000000">
          <w:pPr>
            <w:pStyle w:val="TOC2"/>
            <w:tabs>
              <w:tab w:val="right" w:leader="dot" w:pos="10790"/>
            </w:tabs>
            <w:rPr>
              <w:noProof/>
            </w:rPr>
          </w:pPr>
          <w:hyperlink w:anchor="_Toc176864628" w:history="1">
            <w:r w:rsidR="00EB6B5D" w:rsidRPr="00633202">
              <w:rPr>
                <w:rStyle w:val="Hyperlink"/>
                <w:noProof/>
              </w:rPr>
              <w:t>P137 exemplifie (est exemplifié par)</w:t>
            </w:r>
            <w:r w:rsidR="00EB6B5D">
              <w:rPr>
                <w:noProof/>
                <w:webHidden/>
              </w:rPr>
              <w:tab/>
            </w:r>
            <w:r w:rsidR="00EB6B5D">
              <w:rPr>
                <w:noProof/>
                <w:webHidden/>
              </w:rPr>
              <w:fldChar w:fldCharType="begin"/>
            </w:r>
            <w:r w:rsidR="00EB6B5D">
              <w:rPr>
                <w:noProof/>
                <w:webHidden/>
              </w:rPr>
              <w:instrText xml:space="preserve"> PAGEREF _Toc176864628 \h </w:instrText>
            </w:r>
            <w:r w:rsidR="00EB6B5D">
              <w:rPr>
                <w:noProof/>
                <w:webHidden/>
              </w:rPr>
            </w:r>
            <w:r w:rsidR="00EB6B5D">
              <w:rPr>
                <w:noProof/>
                <w:webHidden/>
              </w:rPr>
              <w:fldChar w:fldCharType="separate"/>
            </w:r>
            <w:r w:rsidR="00010123">
              <w:rPr>
                <w:noProof/>
                <w:webHidden/>
              </w:rPr>
              <w:t>282</w:t>
            </w:r>
            <w:r w:rsidR="00EB6B5D">
              <w:rPr>
                <w:noProof/>
                <w:webHidden/>
              </w:rPr>
              <w:fldChar w:fldCharType="end"/>
            </w:r>
          </w:hyperlink>
        </w:p>
        <w:p w14:paraId="79C27FEF" w14:textId="143CF53B" w:rsidR="00EB6B5D" w:rsidRDefault="00000000">
          <w:pPr>
            <w:pStyle w:val="TOC2"/>
            <w:tabs>
              <w:tab w:val="right" w:leader="dot" w:pos="10790"/>
            </w:tabs>
            <w:rPr>
              <w:noProof/>
            </w:rPr>
          </w:pPr>
          <w:hyperlink w:anchor="_Toc176864629" w:history="1">
            <w:r w:rsidR="00EB6B5D" w:rsidRPr="00633202">
              <w:rPr>
                <w:rStyle w:val="Hyperlink"/>
                <w:noProof/>
              </w:rPr>
              <w:t>P138 représente (est représenté par)</w:t>
            </w:r>
            <w:r w:rsidR="00EB6B5D">
              <w:rPr>
                <w:noProof/>
                <w:webHidden/>
              </w:rPr>
              <w:tab/>
            </w:r>
            <w:r w:rsidR="00EB6B5D">
              <w:rPr>
                <w:noProof/>
                <w:webHidden/>
              </w:rPr>
              <w:fldChar w:fldCharType="begin"/>
            </w:r>
            <w:r w:rsidR="00EB6B5D">
              <w:rPr>
                <w:noProof/>
                <w:webHidden/>
              </w:rPr>
              <w:instrText xml:space="preserve"> PAGEREF _Toc176864629 \h </w:instrText>
            </w:r>
            <w:r w:rsidR="00EB6B5D">
              <w:rPr>
                <w:noProof/>
                <w:webHidden/>
              </w:rPr>
            </w:r>
            <w:r w:rsidR="00EB6B5D">
              <w:rPr>
                <w:noProof/>
                <w:webHidden/>
              </w:rPr>
              <w:fldChar w:fldCharType="separate"/>
            </w:r>
            <w:r w:rsidR="00010123">
              <w:rPr>
                <w:noProof/>
                <w:webHidden/>
              </w:rPr>
              <w:t>283</w:t>
            </w:r>
            <w:r w:rsidR="00EB6B5D">
              <w:rPr>
                <w:noProof/>
                <w:webHidden/>
              </w:rPr>
              <w:fldChar w:fldCharType="end"/>
            </w:r>
          </w:hyperlink>
        </w:p>
        <w:p w14:paraId="35B2D9E1" w14:textId="56F6BBE4" w:rsidR="00EB6B5D" w:rsidRDefault="00000000">
          <w:pPr>
            <w:pStyle w:val="TOC2"/>
            <w:tabs>
              <w:tab w:val="right" w:leader="dot" w:pos="10790"/>
            </w:tabs>
            <w:rPr>
              <w:noProof/>
            </w:rPr>
          </w:pPr>
          <w:hyperlink w:anchor="_Toc176864630" w:history="1">
            <w:r w:rsidR="00EB6B5D" w:rsidRPr="00633202">
              <w:rPr>
                <w:rStyle w:val="Hyperlink"/>
                <w:noProof/>
              </w:rPr>
              <w:t>P139 a pour forme alternative (est la forme alternative de)</w:t>
            </w:r>
            <w:r w:rsidR="00EB6B5D">
              <w:rPr>
                <w:noProof/>
                <w:webHidden/>
              </w:rPr>
              <w:tab/>
            </w:r>
            <w:r w:rsidR="00EB6B5D">
              <w:rPr>
                <w:noProof/>
                <w:webHidden/>
              </w:rPr>
              <w:fldChar w:fldCharType="begin"/>
            </w:r>
            <w:r w:rsidR="00EB6B5D">
              <w:rPr>
                <w:noProof/>
                <w:webHidden/>
              </w:rPr>
              <w:instrText xml:space="preserve"> PAGEREF _Toc176864630 \h </w:instrText>
            </w:r>
            <w:r w:rsidR="00EB6B5D">
              <w:rPr>
                <w:noProof/>
                <w:webHidden/>
              </w:rPr>
            </w:r>
            <w:r w:rsidR="00EB6B5D">
              <w:rPr>
                <w:noProof/>
                <w:webHidden/>
              </w:rPr>
              <w:fldChar w:fldCharType="separate"/>
            </w:r>
            <w:r w:rsidR="00010123">
              <w:rPr>
                <w:noProof/>
                <w:webHidden/>
              </w:rPr>
              <w:t>284</w:t>
            </w:r>
            <w:r w:rsidR="00EB6B5D">
              <w:rPr>
                <w:noProof/>
                <w:webHidden/>
              </w:rPr>
              <w:fldChar w:fldCharType="end"/>
            </w:r>
          </w:hyperlink>
        </w:p>
        <w:p w14:paraId="295D4F80" w14:textId="69F12BE3" w:rsidR="00EB6B5D" w:rsidRDefault="00000000">
          <w:pPr>
            <w:pStyle w:val="TOC2"/>
            <w:tabs>
              <w:tab w:val="right" w:leader="dot" w:pos="10790"/>
            </w:tabs>
            <w:rPr>
              <w:noProof/>
            </w:rPr>
          </w:pPr>
          <w:hyperlink w:anchor="_Toc176864631" w:history="1">
            <w:r w:rsidR="00EB6B5D" w:rsidRPr="00633202">
              <w:rPr>
                <w:rStyle w:val="Hyperlink"/>
                <w:noProof/>
              </w:rPr>
              <w:t>P140 a assigné l’attribut à (a reçu l’attribut par)</w:t>
            </w:r>
            <w:r w:rsidR="00EB6B5D">
              <w:rPr>
                <w:noProof/>
                <w:webHidden/>
              </w:rPr>
              <w:tab/>
            </w:r>
            <w:r w:rsidR="00EB6B5D">
              <w:rPr>
                <w:noProof/>
                <w:webHidden/>
              </w:rPr>
              <w:fldChar w:fldCharType="begin"/>
            </w:r>
            <w:r w:rsidR="00EB6B5D">
              <w:rPr>
                <w:noProof/>
                <w:webHidden/>
              </w:rPr>
              <w:instrText xml:space="preserve"> PAGEREF _Toc176864631 \h </w:instrText>
            </w:r>
            <w:r w:rsidR="00EB6B5D">
              <w:rPr>
                <w:noProof/>
                <w:webHidden/>
              </w:rPr>
            </w:r>
            <w:r w:rsidR="00EB6B5D">
              <w:rPr>
                <w:noProof/>
                <w:webHidden/>
              </w:rPr>
              <w:fldChar w:fldCharType="separate"/>
            </w:r>
            <w:r w:rsidR="00010123">
              <w:rPr>
                <w:noProof/>
                <w:webHidden/>
              </w:rPr>
              <w:t>285</w:t>
            </w:r>
            <w:r w:rsidR="00EB6B5D">
              <w:rPr>
                <w:noProof/>
                <w:webHidden/>
              </w:rPr>
              <w:fldChar w:fldCharType="end"/>
            </w:r>
          </w:hyperlink>
        </w:p>
        <w:p w14:paraId="7BBFB544" w14:textId="40D96340" w:rsidR="00EB6B5D" w:rsidRDefault="00000000">
          <w:pPr>
            <w:pStyle w:val="TOC2"/>
            <w:tabs>
              <w:tab w:val="right" w:leader="dot" w:pos="10790"/>
            </w:tabs>
            <w:rPr>
              <w:noProof/>
            </w:rPr>
          </w:pPr>
          <w:hyperlink w:anchor="_Toc176864632" w:history="1">
            <w:r w:rsidR="00EB6B5D" w:rsidRPr="00633202">
              <w:rPr>
                <w:rStyle w:val="Hyperlink"/>
                <w:noProof/>
              </w:rPr>
              <w:t>P141 a attribué (a été attribué par)</w:t>
            </w:r>
            <w:r w:rsidR="00EB6B5D">
              <w:rPr>
                <w:noProof/>
                <w:webHidden/>
              </w:rPr>
              <w:tab/>
            </w:r>
            <w:r w:rsidR="00EB6B5D">
              <w:rPr>
                <w:noProof/>
                <w:webHidden/>
              </w:rPr>
              <w:fldChar w:fldCharType="begin"/>
            </w:r>
            <w:r w:rsidR="00EB6B5D">
              <w:rPr>
                <w:noProof/>
                <w:webHidden/>
              </w:rPr>
              <w:instrText xml:space="preserve"> PAGEREF _Toc176864632 \h </w:instrText>
            </w:r>
            <w:r w:rsidR="00EB6B5D">
              <w:rPr>
                <w:noProof/>
                <w:webHidden/>
              </w:rPr>
            </w:r>
            <w:r w:rsidR="00EB6B5D">
              <w:rPr>
                <w:noProof/>
                <w:webHidden/>
              </w:rPr>
              <w:fldChar w:fldCharType="separate"/>
            </w:r>
            <w:r w:rsidR="00010123">
              <w:rPr>
                <w:noProof/>
                <w:webHidden/>
              </w:rPr>
              <w:t>287</w:t>
            </w:r>
            <w:r w:rsidR="00EB6B5D">
              <w:rPr>
                <w:noProof/>
                <w:webHidden/>
              </w:rPr>
              <w:fldChar w:fldCharType="end"/>
            </w:r>
          </w:hyperlink>
        </w:p>
        <w:p w14:paraId="0499F4C2" w14:textId="0A226A4B" w:rsidR="00EB6B5D" w:rsidRDefault="00000000">
          <w:pPr>
            <w:pStyle w:val="TOC2"/>
            <w:tabs>
              <w:tab w:val="right" w:leader="dot" w:pos="10790"/>
            </w:tabs>
            <w:rPr>
              <w:noProof/>
            </w:rPr>
          </w:pPr>
          <w:hyperlink w:anchor="_Toc176864633" w:history="1">
            <w:r w:rsidR="00EB6B5D" w:rsidRPr="00633202">
              <w:rPr>
                <w:rStyle w:val="Hyperlink"/>
                <w:noProof/>
              </w:rPr>
              <w:t>P142 a mobilisé comme élément (a été mobilisé dans)</w:t>
            </w:r>
            <w:r w:rsidR="00EB6B5D">
              <w:rPr>
                <w:noProof/>
                <w:webHidden/>
              </w:rPr>
              <w:tab/>
            </w:r>
            <w:r w:rsidR="00EB6B5D">
              <w:rPr>
                <w:noProof/>
                <w:webHidden/>
              </w:rPr>
              <w:fldChar w:fldCharType="begin"/>
            </w:r>
            <w:r w:rsidR="00EB6B5D">
              <w:rPr>
                <w:noProof/>
                <w:webHidden/>
              </w:rPr>
              <w:instrText xml:space="preserve"> PAGEREF _Toc176864633 \h </w:instrText>
            </w:r>
            <w:r w:rsidR="00EB6B5D">
              <w:rPr>
                <w:noProof/>
                <w:webHidden/>
              </w:rPr>
            </w:r>
            <w:r w:rsidR="00EB6B5D">
              <w:rPr>
                <w:noProof/>
                <w:webHidden/>
              </w:rPr>
              <w:fldChar w:fldCharType="separate"/>
            </w:r>
            <w:r w:rsidR="00010123">
              <w:rPr>
                <w:noProof/>
                <w:webHidden/>
              </w:rPr>
              <w:t>288</w:t>
            </w:r>
            <w:r w:rsidR="00EB6B5D">
              <w:rPr>
                <w:noProof/>
                <w:webHidden/>
              </w:rPr>
              <w:fldChar w:fldCharType="end"/>
            </w:r>
          </w:hyperlink>
        </w:p>
        <w:p w14:paraId="214F5E1E" w14:textId="7479EC99" w:rsidR="00EB6B5D" w:rsidRDefault="00000000">
          <w:pPr>
            <w:pStyle w:val="TOC2"/>
            <w:tabs>
              <w:tab w:val="right" w:leader="dot" w:pos="10790"/>
            </w:tabs>
            <w:rPr>
              <w:noProof/>
            </w:rPr>
          </w:pPr>
          <w:hyperlink w:anchor="_Toc176864634" w:history="1">
            <w:r w:rsidR="00EB6B5D" w:rsidRPr="00633202">
              <w:rPr>
                <w:rStyle w:val="Hyperlink"/>
                <w:noProof/>
              </w:rPr>
              <w:t>P143 a fait adhérer (a adhéré par)</w:t>
            </w:r>
            <w:r w:rsidR="00EB6B5D">
              <w:rPr>
                <w:noProof/>
                <w:webHidden/>
              </w:rPr>
              <w:tab/>
            </w:r>
            <w:r w:rsidR="00EB6B5D">
              <w:rPr>
                <w:noProof/>
                <w:webHidden/>
              </w:rPr>
              <w:fldChar w:fldCharType="begin"/>
            </w:r>
            <w:r w:rsidR="00EB6B5D">
              <w:rPr>
                <w:noProof/>
                <w:webHidden/>
              </w:rPr>
              <w:instrText xml:space="preserve"> PAGEREF _Toc176864634 \h </w:instrText>
            </w:r>
            <w:r w:rsidR="00EB6B5D">
              <w:rPr>
                <w:noProof/>
                <w:webHidden/>
              </w:rPr>
            </w:r>
            <w:r w:rsidR="00EB6B5D">
              <w:rPr>
                <w:noProof/>
                <w:webHidden/>
              </w:rPr>
              <w:fldChar w:fldCharType="separate"/>
            </w:r>
            <w:r w:rsidR="00010123">
              <w:rPr>
                <w:noProof/>
                <w:webHidden/>
              </w:rPr>
              <w:t>289</w:t>
            </w:r>
            <w:r w:rsidR="00EB6B5D">
              <w:rPr>
                <w:noProof/>
                <w:webHidden/>
              </w:rPr>
              <w:fldChar w:fldCharType="end"/>
            </w:r>
          </w:hyperlink>
        </w:p>
        <w:p w14:paraId="7CDA5BBE" w14:textId="58030E44" w:rsidR="00EB6B5D" w:rsidRDefault="00000000">
          <w:pPr>
            <w:pStyle w:val="TOC2"/>
            <w:tabs>
              <w:tab w:val="right" w:leader="dot" w:pos="10790"/>
            </w:tabs>
            <w:rPr>
              <w:noProof/>
            </w:rPr>
          </w:pPr>
          <w:hyperlink w:anchor="_Toc176864635" w:history="1">
            <w:r w:rsidR="00EB6B5D" w:rsidRPr="00633202">
              <w:rPr>
                <w:rStyle w:val="Hyperlink"/>
                <w:noProof/>
              </w:rPr>
              <w:t>P144 a fait adhérer à (a accueilli le membre par)</w:t>
            </w:r>
            <w:r w:rsidR="00EB6B5D">
              <w:rPr>
                <w:noProof/>
                <w:webHidden/>
              </w:rPr>
              <w:tab/>
            </w:r>
            <w:r w:rsidR="00EB6B5D">
              <w:rPr>
                <w:noProof/>
                <w:webHidden/>
              </w:rPr>
              <w:fldChar w:fldCharType="begin"/>
            </w:r>
            <w:r w:rsidR="00EB6B5D">
              <w:rPr>
                <w:noProof/>
                <w:webHidden/>
              </w:rPr>
              <w:instrText xml:space="preserve"> PAGEREF _Toc176864635 \h </w:instrText>
            </w:r>
            <w:r w:rsidR="00EB6B5D">
              <w:rPr>
                <w:noProof/>
                <w:webHidden/>
              </w:rPr>
            </w:r>
            <w:r w:rsidR="00EB6B5D">
              <w:rPr>
                <w:noProof/>
                <w:webHidden/>
              </w:rPr>
              <w:fldChar w:fldCharType="separate"/>
            </w:r>
            <w:r w:rsidR="00010123">
              <w:rPr>
                <w:noProof/>
                <w:webHidden/>
              </w:rPr>
              <w:t>290</w:t>
            </w:r>
            <w:r w:rsidR="00EB6B5D">
              <w:rPr>
                <w:noProof/>
                <w:webHidden/>
              </w:rPr>
              <w:fldChar w:fldCharType="end"/>
            </w:r>
          </w:hyperlink>
        </w:p>
        <w:p w14:paraId="5FFE86BA" w14:textId="2B5F2A2E" w:rsidR="00EB6B5D" w:rsidRDefault="00000000">
          <w:pPr>
            <w:pStyle w:val="TOC2"/>
            <w:tabs>
              <w:tab w:val="right" w:leader="dot" w:pos="10790"/>
            </w:tabs>
            <w:rPr>
              <w:noProof/>
            </w:rPr>
          </w:pPr>
          <w:hyperlink w:anchor="_Toc176864636" w:history="1">
            <w:r w:rsidR="00EB6B5D" w:rsidRPr="00633202">
              <w:rPr>
                <w:rStyle w:val="Hyperlink"/>
                <w:noProof/>
              </w:rPr>
              <w:t>P145 a dissocié (est dissocié par)</w:t>
            </w:r>
            <w:r w:rsidR="00EB6B5D">
              <w:rPr>
                <w:noProof/>
                <w:webHidden/>
              </w:rPr>
              <w:tab/>
            </w:r>
            <w:r w:rsidR="00EB6B5D">
              <w:rPr>
                <w:noProof/>
                <w:webHidden/>
              </w:rPr>
              <w:fldChar w:fldCharType="begin"/>
            </w:r>
            <w:r w:rsidR="00EB6B5D">
              <w:rPr>
                <w:noProof/>
                <w:webHidden/>
              </w:rPr>
              <w:instrText xml:space="preserve"> PAGEREF _Toc176864636 \h </w:instrText>
            </w:r>
            <w:r w:rsidR="00EB6B5D">
              <w:rPr>
                <w:noProof/>
                <w:webHidden/>
              </w:rPr>
            </w:r>
            <w:r w:rsidR="00EB6B5D">
              <w:rPr>
                <w:noProof/>
                <w:webHidden/>
              </w:rPr>
              <w:fldChar w:fldCharType="separate"/>
            </w:r>
            <w:r w:rsidR="00010123">
              <w:rPr>
                <w:noProof/>
                <w:webHidden/>
              </w:rPr>
              <w:t>291</w:t>
            </w:r>
            <w:r w:rsidR="00EB6B5D">
              <w:rPr>
                <w:noProof/>
                <w:webHidden/>
              </w:rPr>
              <w:fldChar w:fldCharType="end"/>
            </w:r>
          </w:hyperlink>
        </w:p>
        <w:p w14:paraId="42836D67" w14:textId="0150C009" w:rsidR="00EB6B5D" w:rsidRDefault="00000000">
          <w:pPr>
            <w:pStyle w:val="TOC2"/>
            <w:tabs>
              <w:tab w:val="right" w:leader="dot" w:pos="10790"/>
            </w:tabs>
            <w:rPr>
              <w:noProof/>
            </w:rPr>
          </w:pPr>
          <w:hyperlink w:anchor="_Toc176864637" w:history="1">
            <w:r w:rsidR="00EB6B5D" w:rsidRPr="00633202">
              <w:rPr>
                <w:rStyle w:val="Hyperlink"/>
                <w:noProof/>
              </w:rPr>
              <w:t>P146 a dissocié de (a perdu le membre par)</w:t>
            </w:r>
            <w:r w:rsidR="00EB6B5D">
              <w:rPr>
                <w:noProof/>
                <w:webHidden/>
              </w:rPr>
              <w:tab/>
            </w:r>
            <w:r w:rsidR="00EB6B5D">
              <w:rPr>
                <w:noProof/>
                <w:webHidden/>
              </w:rPr>
              <w:fldChar w:fldCharType="begin"/>
            </w:r>
            <w:r w:rsidR="00EB6B5D">
              <w:rPr>
                <w:noProof/>
                <w:webHidden/>
              </w:rPr>
              <w:instrText xml:space="preserve"> PAGEREF _Toc176864637 \h </w:instrText>
            </w:r>
            <w:r w:rsidR="00EB6B5D">
              <w:rPr>
                <w:noProof/>
                <w:webHidden/>
              </w:rPr>
            </w:r>
            <w:r w:rsidR="00EB6B5D">
              <w:rPr>
                <w:noProof/>
                <w:webHidden/>
              </w:rPr>
              <w:fldChar w:fldCharType="separate"/>
            </w:r>
            <w:r w:rsidR="00010123">
              <w:rPr>
                <w:noProof/>
                <w:webHidden/>
              </w:rPr>
              <w:t>292</w:t>
            </w:r>
            <w:r w:rsidR="00EB6B5D">
              <w:rPr>
                <w:noProof/>
                <w:webHidden/>
              </w:rPr>
              <w:fldChar w:fldCharType="end"/>
            </w:r>
          </w:hyperlink>
        </w:p>
        <w:p w14:paraId="4708EE78" w14:textId="6835EF75" w:rsidR="00EB6B5D" w:rsidRDefault="00000000">
          <w:pPr>
            <w:pStyle w:val="TOC2"/>
            <w:tabs>
              <w:tab w:val="right" w:leader="dot" w:pos="10790"/>
            </w:tabs>
            <w:rPr>
              <w:noProof/>
            </w:rPr>
          </w:pPr>
          <w:hyperlink w:anchor="_Toc176864638" w:history="1">
            <w:r w:rsidR="00EB6B5D" w:rsidRPr="00633202">
              <w:rPr>
                <w:rStyle w:val="Hyperlink"/>
                <w:noProof/>
              </w:rPr>
              <w:t>P147 a géré (a été géré par)</w:t>
            </w:r>
            <w:r w:rsidR="00EB6B5D">
              <w:rPr>
                <w:noProof/>
                <w:webHidden/>
              </w:rPr>
              <w:tab/>
            </w:r>
            <w:r w:rsidR="00EB6B5D">
              <w:rPr>
                <w:noProof/>
                <w:webHidden/>
              </w:rPr>
              <w:fldChar w:fldCharType="begin"/>
            </w:r>
            <w:r w:rsidR="00EB6B5D">
              <w:rPr>
                <w:noProof/>
                <w:webHidden/>
              </w:rPr>
              <w:instrText xml:space="preserve"> PAGEREF _Toc176864638 \h </w:instrText>
            </w:r>
            <w:r w:rsidR="00EB6B5D">
              <w:rPr>
                <w:noProof/>
                <w:webHidden/>
              </w:rPr>
            </w:r>
            <w:r w:rsidR="00EB6B5D">
              <w:rPr>
                <w:noProof/>
                <w:webHidden/>
              </w:rPr>
              <w:fldChar w:fldCharType="separate"/>
            </w:r>
            <w:r w:rsidR="00010123">
              <w:rPr>
                <w:noProof/>
                <w:webHidden/>
              </w:rPr>
              <w:t>293</w:t>
            </w:r>
            <w:r w:rsidR="00EB6B5D">
              <w:rPr>
                <w:noProof/>
                <w:webHidden/>
              </w:rPr>
              <w:fldChar w:fldCharType="end"/>
            </w:r>
          </w:hyperlink>
        </w:p>
        <w:p w14:paraId="3CB15A92" w14:textId="71705994" w:rsidR="00EB6B5D" w:rsidRDefault="00000000">
          <w:pPr>
            <w:pStyle w:val="TOC2"/>
            <w:tabs>
              <w:tab w:val="right" w:leader="dot" w:pos="10790"/>
            </w:tabs>
            <w:rPr>
              <w:noProof/>
            </w:rPr>
          </w:pPr>
          <w:hyperlink w:anchor="_Toc176864639" w:history="1">
            <w:r w:rsidR="00EB6B5D" w:rsidRPr="00633202">
              <w:rPr>
                <w:rStyle w:val="Hyperlink"/>
                <w:noProof/>
              </w:rPr>
              <w:t>P148 a pour composant (est le composant de)</w:t>
            </w:r>
            <w:r w:rsidR="00EB6B5D">
              <w:rPr>
                <w:noProof/>
                <w:webHidden/>
              </w:rPr>
              <w:tab/>
            </w:r>
            <w:r w:rsidR="00EB6B5D">
              <w:rPr>
                <w:noProof/>
                <w:webHidden/>
              </w:rPr>
              <w:fldChar w:fldCharType="begin"/>
            </w:r>
            <w:r w:rsidR="00EB6B5D">
              <w:rPr>
                <w:noProof/>
                <w:webHidden/>
              </w:rPr>
              <w:instrText xml:space="preserve"> PAGEREF _Toc176864639 \h </w:instrText>
            </w:r>
            <w:r w:rsidR="00EB6B5D">
              <w:rPr>
                <w:noProof/>
                <w:webHidden/>
              </w:rPr>
            </w:r>
            <w:r w:rsidR="00EB6B5D">
              <w:rPr>
                <w:noProof/>
                <w:webHidden/>
              </w:rPr>
              <w:fldChar w:fldCharType="separate"/>
            </w:r>
            <w:r w:rsidR="00010123">
              <w:rPr>
                <w:noProof/>
                <w:webHidden/>
              </w:rPr>
              <w:t>294</w:t>
            </w:r>
            <w:r w:rsidR="00EB6B5D">
              <w:rPr>
                <w:noProof/>
                <w:webHidden/>
              </w:rPr>
              <w:fldChar w:fldCharType="end"/>
            </w:r>
          </w:hyperlink>
        </w:p>
        <w:p w14:paraId="7AEC58DE" w14:textId="17984C9B" w:rsidR="00EB6B5D" w:rsidRDefault="00000000">
          <w:pPr>
            <w:pStyle w:val="TOC2"/>
            <w:tabs>
              <w:tab w:val="right" w:leader="dot" w:pos="10790"/>
            </w:tabs>
            <w:rPr>
              <w:noProof/>
            </w:rPr>
          </w:pPr>
          <w:hyperlink w:anchor="_Toc176864640" w:history="1">
            <w:r w:rsidR="00EB6B5D" w:rsidRPr="00633202">
              <w:rPr>
                <w:rStyle w:val="Hyperlink"/>
                <w:noProof/>
              </w:rPr>
              <w:t>P150 définit les éléments typiques de (définit l’ensemble typique pour)</w:t>
            </w:r>
            <w:r w:rsidR="00EB6B5D">
              <w:rPr>
                <w:noProof/>
                <w:webHidden/>
              </w:rPr>
              <w:tab/>
            </w:r>
            <w:r w:rsidR="00EB6B5D">
              <w:rPr>
                <w:noProof/>
                <w:webHidden/>
              </w:rPr>
              <w:fldChar w:fldCharType="begin"/>
            </w:r>
            <w:r w:rsidR="00EB6B5D">
              <w:rPr>
                <w:noProof/>
                <w:webHidden/>
              </w:rPr>
              <w:instrText xml:space="preserve"> PAGEREF _Toc176864640 \h </w:instrText>
            </w:r>
            <w:r w:rsidR="00EB6B5D">
              <w:rPr>
                <w:noProof/>
                <w:webHidden/>
              </w:rPr>
            </w:r>
            <w:r w:rsidR="00EB6B5D">
              <w:rPr>
                <w:noProof/>
                <w:webHidden/>
              </w:rPr>
              <w:fldChar w:fldCharType="separate"/>
            </w:r>
            <w:r w:rsidR="00010123">
              <w:rPr>
                <w:noProof/>
                <w:webHidden/>
              </w:rPr>
              <w:t>295</w:t>
            </w:r>
            <w:r w:rsidR="00EB6B5D">
              <w:rPr>
                <w:noProof/>
                <w:webHidden/>
              </w:rPr>
              <w:fldChar w:fldCharType="end"/>
            </w:r>
          </w:hyperlink>
        </w:p>
        <w:p w14:paraId="581A47F0" w14:textId="7788B084" w:rsidR="00EB6B5D" w:rsidRDefault="00000000">
          <w:pPr>
            <w:pStyle w:val="TOC2"/>
            <w:tabs>
              <w:tab w:val="right" w:leader="dot" w:pos="10790"/>
            </w:tabs>
            <w:rPr>
              <w:noProof/>
            </w:rPr>
          </w:pPr>
          <w:hyperlink w:anchor="_Toc176864641" w:history="1">
            <w:r w:rsidR="00EB6B5D" w:rsidRPr="00633202">
              <w:rPr>
                <w:rStyle w:val="Hyperlink"/>
                <w:noProof/>
              </w:rPr>
              <w:t>P151 a été formé à partir de (a participé à)</w:t>
            </w:r>
            <w:r w:rsidR="00EB6B5D">
              <w:rPr>
                <w:noProof/>
                <w:webHidden/>
              </w:rPr>
              <w:tab/>
            </w:r>
            <w:r w:rsidR="00EB6B5D">
              <w:rPr>
                <w:noProof/>
                <w:webHidden/>
              </w:rPr>
              <w:fldChar w:fldCharType="begin"/>
            </w:r>
            <w:r w:rsidR="00EB6B5D">
              <w:rPr>
                <w:noProof/>
                <w:webHidden/>
              </w:rPr>
              <w:instrText xml:space="preserve"> PAGEREF _Toc176864641 \h </w:instrText>
            </w:r>
            <w:r w:rsidR="00EB6B5D">
              <w:rPr>
                <w:noProof/>
                <w:webHidden/>
              </w:rPr>
            </w:r>
            <w:r w:rsidR="00EB6B5D">
              <w:rPr>
                <w:noProof/>
                <w:webHidden/>
              </w:rPr>
              <w:fldChar w:fldCharType="separate"/>
            </w:r>
            <w:r w:rsidR="00010123">
              <w:rPr>
                <w:noProof/>
                <w:webHidden/>
              </w:rPr>
              <w:t>296</w:t>
            </w:r>
            <w:r w:rsidR="00EB6B5D">
              <w:rPr>
                <w:noProof/>
                <w:webHidden/>
              </w:rPr>
              <w:fldChar w:fldCharType="end"/>
            </w:r>
          </w:hyperlink>
        </w:p>
        <w:p w14:paraId="0346B5CE" w14:textId="66277CB6" w:rsidR="00EB6B5D" w:rsidRDefault="00000000">
          <w:pPr>
            <w:pStyle w:val="TOC2"/>
            <w:tabs>
              <w:tab w:val="right" w:leader="dot" w:pos="10790"/>
            </w:tabs>
            <w:rPr>
              <w:noProof/>
            </w:rPr>
          </w:pPr>
          <w:hyperlink w:anchor="_Toc176864642" w:history="1">
            <w:r w:rsidR="00EB6B5D" w:rsidRPr="00633202">
              <w:rPr>
                <w:rStyle w:val="Hyperlink"/>
                <w:noProof/>
              </w:rPr>
              <w:t>P152 a pour parent (est le parent de)</w:t>
            </w:r>
            <w:r w:rsidR="00EB6B5D">
              <w:rPr>
                <w:noProof/>
                <w:webHidden/>
              </w:rPr>
              <w:tab/>
            </w:r>
            <w:r w:rsidR="00EB6B5D">
              <w:rPr>
                <w:noProof/>
                <w:webHidden/>
              </w:rPr>
              <w:fldChar w:fldCharType="begin"/>
            </w:r>
            <w:r w:rsidR="00EB6B5D">
              <w:rPr>
                <w:noProof/>
                <w:webHidden/>
              </w:rPr>
              <w:instrText xml:space="preserve"> PAGEREF _Toc176864642 \h </w:instrText>
            </w:r>
            <w:r w:rsidR="00EB6B5D">
              <w:rPr>
                <w:noProof/>
                <w:webHidden/>
              </w:rPr>
            </w:r>
            <w:r w:rsidR="00EB6B5D">
              <w:rPr>
                <w:noProof/>
                <w:webHidden/>
              </w:rPr>
              <w:fldChar w:fldCharType="separate"/>
            </w:r>
            <w:r w:rsidR="00010123">
              <w:rPr>
                <w:noProof/>
                <w:webHidden/>
              </w:rPr>
              <w:t>297</w:t>
            </w:r>
            <w:r w:rsidR="00EB6B5D">
              <w:rPr>
                <w:noProof/>
                <w:webHidden/>
              </w:rPr>
              <w:fldChar w:fldCharType="end"/>
            </w:r>
          </w:hyperlink>
        </w:p>
        <w:p w14:paraId="4AB95DBA" w14:textId="4DBCFE3C" w:rsidR="00EB6B5D" w:rsidRDefault="00000000">
          <w:pPr>
            <w:pStyle w:val="TOC2"/>
            <w:tabs>
              <w:tab w:val="right" w:leader="dot" w:pos="10790"/>
            </w:tabs>
            <w:rPr>
              <w:noProof/>
            </w:rPr>
          </w:pPr>
          <w:hyperlink w:anchor="_Toc176864643" w:history="1">
            <w:r w:rsidR="00EB6B5D" w:rsidRPr="00633202">
              <w:rPr>
                <w:rStyle w:val="Hyperlink"/>
                <w:noProof/>
              </w:rPr>
              <w:t>P156 occupe (est occupé par)</w:t>
            </w:r>
            <w:r w:rsidR="00EB6B5D">
              <w:rPr>
                <w:noProof/>
                <w:webHidden/>
              </w:rPr>
              <w:tab/>
            </w:r>
            <w:r w:rsidR="00EB6B5D">
              <w:rPr>
                <w:noProof/>
                <w:webHidden/>
              </w:rPr>
              <w:fldChar w:fldCharType="begin"/>
            </w:r>
            <w:r w:rsidR="00EB6B5D">
              <w:rPr>
                <w:noProof/>
                <w:webHidden/>
              </w:rPr>
              <w:instrText xml:space="preserve"> PAGEREF _Toc176864643 \h </w:instrText>
            </w:r>
            <w:r w:rsidR="00EB6B5D">
              <w:rPr>
                <w:noProof/>
                <w:webHidden/>
              </w:rPr>
            </w:r>
            <w:r w:rsidR="00EB6B5D">
              <w:rPr>
                <w:noProof/>
                <w:webHidden/>
              </w:rPr>
              <w:fldChar w:fldCharType="separate"/>
            </w:r>
            <w:r w:rsidR="00010123">
              <w:rPr>
                <w:noProof/>
                <w:webHidden/>
              </w:rPr>
              <w:t>298</w:t>
            </w:r>
            <w:r w:rsidR="00EB6B5D">
              <w:rPr>
                <w:noProof/>
                <w:webHidden/>
              </w:rPr>
              <w:fldChar w:fldCharType="end"/>
            </w:r>
          </w:hyperlink>
        </w:p>
        <w:p w14:paraId="444D83C3" w14:textId="43BF5E30" w:rsidR="00EB6B5D" w:rsidRDefault="00000000">
          <w:pPr>
            <w:pStyle w:val="TOC2"/>
            <w:tabs>
              <w:tab w:val="right" w:leader="dot" w:pos="10790"/>
            </w:tabs>
            <w:rPr>
              <w:noProof/>
            </w:rPr>
          </w:pPr>
          <w:hyperlink w:anchor="_Toc176864644" w:history="1">
            <w:r w:rsidR="00EB6B5D" w:rsidRPr="00633202">
              <w:rPr>
                <w:rStyle w:val="Hyperlink"/>
                <w:noProof/>
              </w:rPr>
              <w:t>P157 est à l’arrêt par rapport à (procure l’espace de référence pour)</w:t>
            </w:r>
            <w:r w:rsidR="00EB6B5D">
              <w:rPr>
                <w:noProof/>
                <w:webHidden/>
              </w:rPr>
              <w:tab/>
            </w:r>
            <w:r w:rsidR="00EB6B5D">
              <w:rPr>
                <w:noProof/>
                <w:webHidden/>
              </w:rPr>
              <w:fldChar w:fldCharType="begin"/>
            </w:r>
            <w:r w:rsidR="00EB6B5D">
              <w:rPr>
                <w:noProof/>
                <w:webHidden/>
              </w:rPr>
              <w:instrText xml:space="preserve"> PAGEREF _Toc176864644 \h </w:instrText>
            </w:r>
            <w:r w:rsidR="00EB6B5D">
              <w:rPr>
                <w:noProof/>
                <w:webHidden/>
              </w:rPr>
            </w:r>
            <w:r w:rsidR="00EB6B5D">
              <w:rPr>
                <w:noProof/>
                <w:webHidden/>
              </w:rPr>
              <w:fldChar w:fldCharType="separate"/>
            </w:r>
            <w:r w:rsidR="00010123">
              <w:rPr>
                <w:noProof/>
                <w:webHidden/>
              </w:rPr>
              <w:t>300</w:t>
            </w:r>
            <w:r w:rsidR="00EB6B5D">
              <w:rPr>
                <w:noProof/>
                <w:webHidden/>
              </w:rPr>
              <w:fldChar w:fldCharType="end"/>
            </w:r>
          </w:hyperlink>
        </w:p>
        <w:p w14:paraId="6CC49C7D" w14:textId="0643A6FF" w:rsidR="00EB6B5D" w:rsidRDefault="00000000">
          <w:pPr>
            <w:pStyle w:val="TOC2"/>
            <w:tabs>
              <w:tab w:val="right" w:leader="dot" w:pos="10790"/>
            </w:tabs>
            <w:rPr>
              <w:noProof/>
            </w:rPr>
          </w:pPr>
          <w:hyperlink w:anchor="_Toc176864645" w:history="1">
            <w:r w:rsidR="00EB6B5D" w:rsidRPr="00633202">
              <w:rPr>
                <w:rStyle w:val="Hyperlink"/>
                <w:noProof/>
              </w:rPr>
              <w:t>P160 a pour projection temporelle (est la projection temporelle de)</w:t>
            </w:r>
            <w:r w:rsidR="00EB6B5D">
              <w:rPr>
                <w:noProof/>
                <w:webHidden/>
              </w:rPr>
              <w:tab/>
            </w:r>
            <w:r w:rsidR="00EB6B5D">
              <w:rPr>
                <w:noProof/>
                <w:webHidden/>
              </w:rPr>
              <w:fldChar w:fldCharType="begin"/>
            </w:r>
            <w:r w:rsidR="00EB6B5D">
              <w:rPr>
                <w:noProof/>
                <w:webHidden/>
              </w:rPr>
              <w:instrText xml:space="preserve"> PAGEREF _Toc176864645 \h </w:instrText>
            </w:r>
            <w:r w:rsidR="00EB6B5D">
              <w:rPr>
                <w:noProof/>
                <w:webHidden/>
              </w:rPr>
            </w:r>
            <w:r w:rsidR="00EB6B5D">
              <w:rPr>
                <w:noProof/>
                <w:webHidden/>
              </w:rPr>
              <w:fldChar w:fldCharType="separate"/>
            </w:r>
            <w:r w:rsidR="00010123">
              <w:rPr>
                <w:noProof/>
                <w:webHidden/>
              </w:rPr>
              <w:t>301</w:t>
            </w:r>
            <w:r w:rsidR="00EB6B5D">
              <w:rPr>
                <w:noProof/>
                <w:webHidden/>
              </w:rPr>
              <w:fldChar w:fldCharType="end"/>
            </w:r>
          </w:hyperlink>
        </w:p>
        <w:p w14:paraId="4DB460A5" w14:textId="4084B2E4" w:rsidR="00EB6B5D" w:rsidRDefault="00000000">
          <w:pPr>
            <w:pStyle w:val="TOC2"/>
            <w:tabs>
              <w:tab w:val="right" w:leader="dot" w:pos="10790"/>
            </w:tabs>
            <w:rPr>
              <w:noProof/>
            </w:rPr>
          </w:pPr>
          <w:hyperlink w:anchor="_Toc176864646" w:history="1">
            <w:r w:rsidR="00EB6B5D" w:rsidRPr="00633202">
              <w:rPr>
                <w:rStyle w:val="Hyperlink"/>
                <w:noProof/>
              </w:rPr>
              <w:t>P161 a pour projection spatiale (est la projection spatiale de)</w:t>
            </w:r>
            <w:r w:rsidR="00EB6B5D">
              <w:rPr>
                <w:noProof/>
                <w:webHidden/>
              </w:rPr>
              <w:tab/>
            </w:r>
            <w:r w:rsidR="00EB6B5D">
              <w:rPr>
                <w:noProof/>
                <w:webHidden/>
              </w:rPr>
              <w:fldChar w:fldCharType="begin"/>
            </w:r>
            <w:r w:rsidR="00EB6B5D">
              <w:rPr>
                <w:noProof/>
                <w:webHidden/>
              </w:rPr>
              <w:instrText xml:space="preserve"> PAGEREF _Toc176864646 \h </w:instrText>
            </w:r>
            <w:r w:rsidR="00EB6B5D">
              <w:rPr>
                <w:noProof/>
                <w:webHidden/>
              </w:rPr>
            </w:r>
            <w:r w:rsidR="00EB6B5D">
              <w:rPr>
                <w:noProof/>
                <w:webHidden/>
              </w:rPr>
              <w:fldChar w:fldCharType="separate"/>
            </w:r>
            <w:r w:rsidR="00010123">
              <w:rPr>
                <w:noProof/>
                <w:webHidden/>
              </w:rPr>
              <w:t>301</w:t>
            </w:r>
            <w:r w:rsidR="00EB6B5D">
              <w:rPr>
                <w:noProof/>
                <w:webHidden/>
              </w:rPr>
              <w:fldChar w:fldCharType="end"/>
            </w:r>
          </w:hyperlink>
        </w:p>
        <w:p w14:paraId="1BEC6FE3" w14:textId="628C71E1" w:rsidR="00EB6B5D" w:rsidRDefault="00000000">
          <w:pPr>
            <w:pStyle w:val="TOC2"/>
            <w:tabs>
              <w:tab w:val="right" w:leader="dot" w:pos="10790"/>
            </w:tabs>
            <w:rPr>
              <w:noProof/>
            </w:rPr>
          </w:pPr>
          <w:hyperlink w:anchor="_Toc176864647" w:history="1">
            <w:r w:rsidR="00EB6B5D" w:rsidRPr="00633202">
              <w:rPr>
                <w:rStyle w:val="Hyperlink"/>
                <w:noProof/>
              </w:rPr>
              <w:t>P164 est temporellement spécifié par (spécifie temporellement)</w:t>
            </w:r>
            <w:r w:rsidR="00EB6B5D">
              <w:rPr>
                <w:noProof/>
                <w:webHidden/>
              </w:rPr>
              <w:tab/>
            </w:r>
            <w:r w:rsidR="00EB6B5D">
              <w:rPr>
                <w:noProof/>
                <w:webHidden/>
              </w:rPr>
              <w:fldChar w:fldCharType="begin"/>
            </w:r>
            <w:r w:rsidR="00EB6B5D">
              <w:rPr>
                <w:noProof/>
                <w:webHidden/>
              </w:rPr>
              <w:instrText xml:space="preserve"> PAGEREF _Toc176864647 \h </w:instrText>
            </w:r>
            <w:r w:rsidR="00EB6B5D">
              <w:rPr>
                <w:noProof/>
                <w:webHidden/>
              </w:rPr>
            </w:r>
            <w:r w:rsidR="00EB6B5D">
              <w:rPr>
                <w:noProof/>
                <w:webHidden/>
              </w:rPr>
              <w:fldChar w:fldCharType="separate"/>
            </w:r>
            <w:r w:rsidR="00010123">
              <w:rPr>
                <w:noProof/>
                <w:webHidden/>
              </w:rPr>
              <w:t>303</w:t>
            </w:r>
            <w:r w:rsidR="00EB6B5D">
              <w:rPr>
                <w:noProof/>
                <w:webHidden/>
              </w:rPr>
              <w:fldChar w:fldCharType="end"/>
            </w:r>
          </w:hyperlink>
        </w:p>
        <w:p w14:paraId="588D180D" w14:textId="4561CD20" w:rsidR="00EB6B5D" w:rsidRDefault="00000000">
          <w:pPr>
            <w:pStyle w:val="TOC2"/>
            <w:tabs>
              <w:tab w:val="right" w:leader="dot" w:pos="10790"/>
            </w:tabs>
            <w:rPr>
              <w:noProof/>
            </w:rPr>
          </w:pPr>
          <w:hyperlink w:anchor="_Toc176864648" w:history="1">
            <w:r w:rsidR="00EB6B5D" w:rsidRPr="00633202">
              <w:rPr>
                <w:rStyle w:val="Hyperlink"/>
                <w:noProof/>
              </w:rPr>
              <w:t>P165 inclut (est inclus dans)</w:t>
            </w:r>
            <w:r w:rsidR="00EB6B5D">
              <w:rPr>
                <w:noProof/>
                <w:webHidden/>
              </w:rPr>
              <w:tab/>
            </w:r>
            <w:r w:rsidR="00EB6B5D">
              <w:rPr>
                <w:noProof/>
                <w:webHidden/>
              </w:rPr>
              <w:fldChar w:fldCharType="begin"/>
            </w:r>
            <w:r w:rsidR="00EB6B5D">
              <w:rPr>
                <w:noProof/>
                <w:webHidden/>
              </w:rPr>
              <w:instrText xml:space="preserve"> PAGEREF _Toc176864648 \h </w:instrText>
            </w:r>
            <w:r w:rsidR="00EB6B5D">
              <w:rPr>
                <w:noProof/>
                <w:webHidden/>
              </w:rPr>
            </w:r>
            <w:r w:rsidR="00EB6B5D">
              <w:rPr>
                <w:noProof/>
                <w:webHidden/>
              </w:rPr>
              <w:fldChar w:fldCharType="separate"/>
            </w:r>
            <w:r w:rsidR="00010123">
              <w:rPr>
                <w:noProof/>
                <w:webHidden/>
              </w:rPr>
              <w:t>304</w:t>
            </w:r>
            <w:r w:rsidR="00EB6B5D">
              <w:rPr>
                <w:noProof/>
                <w:webHidden/>
              </w:rPr>
              <w:fldChar w:fldCharType="end"/>
            </w:r>
          </w:hyperlink>
        </w:p>
        <w:p w14:paraId="37E09A97" w14:textId="2EF7DA9D" w:rsidR="00EB6B5D" w:rsidRDefault="00000000">
          <w:pPr>
            <w:pStyle w:val="TOC2"/>
            <w:tabs>
              <w:tab w:val="right" w:leader="dot" w:pos="10790"/>
            </w:tabs>
            <w:rPr>
              <w:noProof/>
            </w:rPr>
          </w:pPr>
          <w:hyperlink w:anchor="_Toc176864649" w:history="1">
            <w:r w:rsidR="00EB6B5D" w:rsidRPr="00633202">
              <w:rPr>
                <w:rStyle w:val="Hyperlink"/>
                <w:noProof/>
              </w:rPr>
              <w:t>P166 a été une présence de (a eu pour présence)</w:t>
            </w:r>
            <w:r w:rsidR="00EB6B5D">
              <w:rPr>
                <w:noProof/>
                <w:webHidden/>
              </w:rPr>
              <w:tab/>
            </w:r>
            <w:r w:rsidR="00EB6B5D">
              <w:rPr>
                <w:noProof/>
                <w:webHidden/>
              </w:rPr>
              <w:fldChar w:fldCharType="begin"/>
            </w:r>
            <w:r w:rsidR="00EB6B5D">
              <w:rPr>
                <w:noProof/>
                <w:webHidden/>
              </w:rPr>
              <w:instrText xml:space="preserve"> PAGEREF _Toc176864649 \h </w:instrText>
            </w:r>
            <w:r w:rsidR="00EB6B5D">
              <w:rPr>
                <w:noProof/>
                <w:webHidden/>
              </w:rPr>
            </w:r>
            <w:r w:rsidR="00EB6B5D">
              <w:rPr>
                <w:noProof/>
                <w:webHidden/>
              </w:rPr>
              <w:fldChar w:fldCharType="separate"/>
            </w:r>
            <w:r w:rsidR="00010123">
              <w:rPr>
                <w:noProof/>
                <w:webHidden/>
              </w:rPr>
              <w:t>305</w:t>
            </w:r>
            <w:r w:rsidR="00EB6B5D">
              <w:rPr>
                <w:noProof/>
                <w:webHidden/>
              </w:rPr>
              <w:fldChar w:fldCharType="end"/>
            </w:r>
          </w:hyperlink>
        </w:p>
        <w:p w14:paraId="3E9773F7" w14:textId="5C99966E" w:rsidR="00EB6B5D" w:rsidRDefault="00000000">
          <w:pPr>
            <w:pStyle w:val="TOC2"/>
            <w:tabs>
              <w:tab w:val="right" w:leader="dot" w:pos="10790"/>
            </w:tabs>
            <w:rPr>
              <w:noProof/>
            </w:rPr>
          </w:pPr>
          <w:hyperlink w:anchor="_Toc176864650" w:history="1">
            <w:r w:rsidR="00EB6B5D" w:rsidRPr="00633202">
              <w:rPr>
                <w:rStyle w:val="Hyperlink"/>
                <w:noProof/>
              </w:rPr>
              <w:t>P167 s’inscrivait dans (comporte)</w:t>
            </w:r>
            <w:r w:rsidR="00EB6B5D">
              <w:rPr>
                <w:noProof/>
                <w:webHidden/>
              </w:rPr>
              <w:tab/>
            </w:r>
            <w:r w:rsidR="00EB6B5D">
              <w:rPr>
                <w:noProof/>
                <w:webHidden/>
              </w:rPr>
              <w:fldChar w:fldCharType="begin"/>
            </w:r>
            <w:r w:rsidR="00EB6B5D">
              <w:rPr>
                <w:noProof/>
                <w:webHidden/>
              </w:rPr>
              <w:instrText xml:space="preserve"> PAGEREF _Toc176864650 \h </w:instrText>
            </w:r>
            <w:r w:rsidR="00EB6B5D">
              <w:rPr>
                <w:noProof/>
                <w:webHidden/>
              </w:rPr>
            </w:r>
            <w:r w:rsidR="00EB6B5D">
              <w:rPr>
                <w:noProof/>
                <w:webHidden/>
              </w:rPr>
              <w:fldChar w:fldCharType="separate"/>
            </w:r>
            <w:r w:rsidR="00010123">
              <w:rPr>
                <w:noProof/>
                <w:webHidden/>
              </w:rPr>
              <w:t>306</w:t>
            </w:r>
            <w:r w:rsidR="00EB6B5D">
              <w:rPr>
                <w:noProof/>
                <w:webHidden/>
              </w:rPr>
              <w:fldChar w:fldCharType="end"/>
            </w:r>
          </w:hyperlink>
        </w:p>
        <w:p w14:paraId="53488DCA" w14:textId="53E298D5" w:rsidR="00EB6B5D" w:rsidRDefault="00000000">
          <w:pPr>
            <w:pStyle w:val="TOC2"/>
            <w:tabs>
              <w:tab w:val="right" w:leader="dot" w:pos="10790"/>
            </w:tabs>
            <w:rPr>
              <w:noProof/>
            </w:rPr>
          </w:pPr>
          <w:hyperlink w:anchor="_Toc176864651" w:history="1">
            <w:r w:rsidR="00EB6B5D" w:rsidRPr="00633202">
              <w:rPr>
                <w:rStyle w:val="Hyperlink"/>
                <w:noProof/>
              </w:rPr>
              <w:t>P168 lieu défini par (définit le lieu)</w:t>
            </w:r>
            <w:r w:rsidR="00EB6B5D">
              <w:rPr>
                <w:noProof/>
                <w:webHidden/>
              </w:rPr>
              <w:tab/>
            </w:r>
            <w:r w:rsidR="00EB6B5D">
              <w:rPr>
                <w:noProof/>
                <w:webHidden/>
              </w:rPr>
              <w:fldChar w:fldCharType="begin"/>
            </w:r>
            <w:r w:rsidR="00EB6B5D">
              <w:rPr>
                <w:noProof/>
                <w:webHidden/>
              </w:rPr>
              <w:instrText xml:space="preserve"> PAGEREF _Toc176864651 \h </w:instrText>
            </w:r>
            <w:r w:rsidR="00EB6B5D">
              <w:rPr>
                <w:noProof/>
                <w:webHidden/>
              </w:rPr>
            </w:r>
            <w:r w:rsidR="00EB6B5D">
              <w:rPr>
                <w:noProof/>
                <w:webHidden/>
              </w:rPr>
              <w:fldChar w:fldCharType="separate"/>
            </w:r>
            <w:r w:rsidR="00010123">
              <w:rPr>
                <w:noProof/>
                <w:webHidden/>
              </w:rPr>
              <w:t>307</w:t>
            </w:r>
            <w:r w:rsidR="00EB6B5D">
              <w:rPr>
                <w:noProof/>
                <w:webHidden/>
              </w:rPr>
              <w:fldChar w:fldCharType="end"/>
            </w:r>
          </w:hyperlink>
        </w:p>
        <w:p w14:paraId="21746E07" w14:textId="2D876CBA" w:rsidR="00EB6B5D" w:rsidRDefault="00000000">
          <w:pPr>
            <w:pStyle w:val="TOC2"/>
            <w:tabs>
              <w:tab w:val="right" w:leader="dot" w:pos="10790"/>
            </w:tabs>
            <w:rPr>
              <w:noProof/>
            </w:rPr>
          </w:pPr>
          <w:hyperlink w:anchor="_Toc176864652" w:history="1">
            <w:r w:rsidR="00EB6B5D" w:rsidRPr="00633202">
              <w:rPr>
                <w:rStyle w:val="Hyperlink"/>
                <w:noProof/>
              </w:rPr>
              <w:t>P169 définit le volume spatio-temporel (volume spatio-temporel défini par)</w:t>
            </w:r>
            <w:r w:rsidR="00EB6B5D">
              <w:rPr>
                <w:noProof/>
                <w:webHidden/>
              </w:rPr>
              <w:tab/>
            </w:r>
            <w:r w:rsidR="00EB6B5D">
              <w:rPr>
                <w:noProof/>
                <w:webHidden/>
              </w:rPr>
              <w:fldChar w:fldCharType="begin"/>
            </w:r>
            <w:r w:rsidR="00EB6B5D">
              <w:rPr>
                <w:noProof/>
                <w:webHidden/>
              </w:rPr>
              <w:instrText xml:space="preserve"> PAGEREF _Toc176864652 \h </w:instrText>
            </w:r>
            <w:r w:rsidR="00EB6B5D">
              <w:rPr>
                <w:noProof/>
                <w:webHidden/>
              </w:rPr>
            </w:r>
            <w:r w:rsidR="00EB6B5D">
              <w:rPr>
                <w:noProof/>
                <w:webHidden/>
              </w:rPr>
              <w:fldChar w:fldCharType="separate"/>
            </w:r>
            <w:r w:rsidR="00010123">
              <w:rPr>
                <w:noProof/>
                <w:webHidden/>
              </w:rPr>
              <w:t>308</w:t>
            </w:r>
            <w:r w:rsidR="00EB6B5D">
              <w:rPr>
                <w:noProof/>
                <w:webHidden/>
              </w:rPr>
              <w:fldChar w:fldCharType="end"/>
            </w:r>
          </w:hyperlink>
        </w:p>
        <w:p w14:paraId="0AADCEC0" w14:textId="4ED5B833" w:rsidR="00EB6B5D" w:rsidRDefault="00000000">
          <w:pPr>
            <w:pStyle w:val="TOC2"/>
            <w:tabs>
              <w:tab w:val="right" w:leader="dot" w:pos="10790"/>
            </w:tabs>
            <w:rPr>
              <w:noProof/>
            </w:rPr>
          </w:pPr>
          <w:hyperlink w:anchor="_Toc176864653" w:history="1">
            <w:r w:rsidR="00EB6B5D" w:rsidRPr="00633202">
              <w:rPr>
                <w:rStyle w:val="Hyperlink"/>
                <w:noProof/>
              </w:rPr>
              <w:t>P170 définit le temps (temps défini par)</w:t>
            </w:r>
            <w:r w:rsidR="00EB6B5D">
              <w:rPr>
                <w:noProof/>
                <w:webHidden/>
              </w:rPr>
              <w:tab/>
            </w:r>
            <w:r w:rsidR="00EB6B5D">
              <w:rPr>
                <w:noProof/>
                <w:webHidden/>
              </w:rPr>
              <w:fldChar w:fldCharType="begin"/>
            </w:r>
            <w:r w:rsidR="00EB6B5D">
              <w:rPr>
                <w:noProof/>
                <w:webHidden/>
              </w:rPr>
              <w:instrText xml:space="preserve"> PAGEREF _Toc176864653 \h </w:instrText>
            </w:r>
            <w:r w:rsidR="00EB6B5D">
              <w:rPr>
                <w:noProof/>
                <w:webHidden/>
              </w:rPr>
            </w:r>
            <w:r w:rsidR="00EB6B5D">
              <w:rPr>
                <w:noProof/>
                <w:webHidden/>
              </w:rPr>
              <w:fldChar w:fldCharType="separate"/>
            </w:r>
            <w:r w:rsidR="00010123">
              <w:rPr>
                <w:noProof/>
                <w:webHidden/>
              </w:rPr>
              <w:t>309</w:t>
            </w:r>
            <w:r w:rsidR="00EB6B5D">
              <w:rPr>
                <w:noProof/>
                <w:webHidden/>
              </w:rPr>
              <w:fldChar w:fldCharType="end"/>
            </w:r>
          </w:hyperlink>
        </w:p>
        <w:p w14:paraId="48E144CF" w14:textId="74FCCDC3" w:rsidR="00EB6B5D" w:rsidRDefault="00000000">
          <w:pPr>
            <w:pStyle w:val="TOC2"/>
            <w:tabs>
              <w:tab w:val="right" w:leader="dot" w:pos="10790"/>
            </w:tabs>
            <w:rPr>
              <w:noProof/>
            </w:rPr>
          </w:pPr>
          <w:hyperlink w:anchor="_Toc176864654" w:history="1">
            <w:r w:rsidR="00EB6B5D" w:rsidRPr="00633202">
              <w:rPr>
                <w:rStyle w:val="Hyperlink"/>
                <w:noProof/>
              </w:rPr>
              <w:t>P171 quelque part dans</w:t>
            </w:r>
            <w:r w:rsidR="00EB6B5D">
              <w:rPr>
                <w:noProof/>
                <w:webHidden/>
              </w:rPr>
              <w:tab/>
            </w:r>
            <w:r w:rsidR="00EB6B5D">
              <w:rPr>
                <w:noProof/>
                <w:webHidden/>
              </w:rPr>
              <w:fldChar w:fldCharType="begin"/>
            </w:r>
            <w:r w:rsidR="00EB6B5D">
              <w:rPr>
                <w:noProof/>
                <w:webHidden/>
              </w:rPr>
              <w:instrText xml:space="preserve"> PAGEREF _Toc176864654 \h </w:instrText>
            </w:r>
            <w:r w:rsidR="00EB6B5D">
              <w:rPr>
                <w:noProof/>
                <w:webHidden/>
              </w:rPr>
            </w:r>
            <w:r w:rsidR="00EB6B5D">
              <w:rPr>
                <w:noProof/>
                <w:webHidden/>
              </w:rPr>
              <w:fldChar w:fldCharType="separate"/>
            </w:r>
            <w:r w:rsidR="00010123">
              <w:rPr>
                <w:noProof/>
                <w:webHidden/>
              </w:rPr>
              <w:t>310</w:t>
            </w:r>
            <w:r w:rsidR="00EB6B5D">
              <w:rPr>
                <w:noProof/>
                <w:webHidden/>
              </w:rPr>
              <w:fldChar w:fldCharType="end"/>
            </w:r>
          </w:hyperlink>
        </w:p>
        <w:p w14:paraId="0519A7B9" w14:textId="2EBCA13A" w:rsidR="00EB6B5D" w:rsidRDefault="00000000">
          <w:pPr>
            <w:pStyle w:val="TOC2"/>
            <w:tabs>
              <w:tab w:val="right" w:leader="dot" w:pos="10790"/>
            </w:tabs>
            <w:rPr>
              <w:noProof/>
            </w:rPr>
          </w:pPr>
          <w:hyperlink w:anchor="_Toc176864655" w:history="1">
            <w:r w:rsidR="00EB6B5D" w:rsidRPr="00633202">
              <w:rPr>
                <w:rStyle w:val="Hyperlink"/>
                <w:noProof/>
              </w:rPr>
              <w:t>P172 contient</w:t>
            </w:r>
            <w:r w:rsidR="00EB6B5D">
              <w:rPr>
                <w:noProof/>
                <w:webHidden/>
              </w:rPr>
              <w:tab/>
            </w:r>
            <w:r w:rsidR="00EB6B5D">
              <w:rPr>
                <w:noProof/>
                <w:webHidden/>
              </w:rPr>
              <w:fldChar w:fldCharType="begin"/>
            </w:r>
            <w:r w:rsidR="00EB6B5D">
              <w:rPr>
                <w:noProof/>
                <w:webHidden/>
              </w:rPr>
              <w:instrText xml:space="preserve"> PAGEREF _Toc176864655 \h </w:instrText>
            </w:r>
            <w:r w:rsidR="00EB6B5D">
              <w:rPr>
                <w:noProof/>
                <w:webHidden/>
              </w:rPr>
            </w:r>
            <w:r w:rsidR="00EB6B5D">
              <w:rPr>
                <w:noProof/>
                <w:webHidden/>
              </w:rPr>
              <w:fldChar w:fldCharType="separate"/>
            </w:r>
            <w:r w:rsidR="00010123">
              <w:rPr>
                <w:noProof/>
                <w:webHidden/>
              </w:rPr>
              <w:t>311</w:t>
            </w:r>
            <w:r w:rsidR="00EB6B5D">
              <w:rPr>
                <w:noProof/>
                <w:webHidden/>
              </w:rPr>
              <w:fldChar w:fldCharType="end"/>
            </w:r>
          </w:hyperlink>
        </w:p>
        <w:p w14:paraId="4444149C" w14:textId="36F7F885" w:rsidR="00EB6B5D" w:rsidRDefault="00000000">
          <w:pPr>
            <w:pStyle w:val="TOC2"/>
            <w:tabs>
              <w:tab w:val="right" w:leader="dot" w:pos="10790"/>
            </w:tabs>
            <w:rPr>
              <w:noProof/>
            </w:rPr>
          </w:pPr>
          <w:hyperlink w:anchor="_Toc176864656" w:history="1">
            <w:r w:rsidR="00EB6B5D" w:rsidRPr="00633202">
              <w:rPr>
                <w:rStyle w:val="Hyperlink"/>
                <w:noProof/>
              </w:rPr>
              <w:t>P173 commence avant ou au moment de la fin de (se termine après ou au moment du début de)</w:t>
            </w:r>
            <w:r w:rsidR="00EB6B5D">
              <w:rPr>
                <w:noProof/>
                <w:webHidden/>
              </w:rPr>
              <w:tab/>
            </w:r>
            <w:r w:rsidR="00EB6B5D">
              <w:rPr>
                <w:noProof/>
                <w:webHidden/>
              </w:rPr>
              <w:fldChar w:fldCharType="begin"/>
            </w:r>
            <w:r w:rsidR="00EB6B5D">
              <w:rPr>
                <w:noProof/>
                <w:webHidden/>
              </w:rPr>
              <w:instrText xml:space="preserve"> PAGEREF _Toc176864656 \h </w:instrText>
            </w:r>
            <w:r w:rsidR="00EB6B5D">
              <w:rPr>
                <w:noProof/>
                <w:webHidden/>
              </w:rPr>
            </w:r>
            <w:r w:rsidR="00EB6B5D">
              <w:rPr>
                <w:noProof/>
                <w:webHidden/>
              </w:rPr>
              <w:fldChar w:fldCharType="separate"/>
            </w:r>
            <w:r w:rsidR="00010123">
              <w:rPr>
                <w:noProof/>
                <w:webHidden/>
              </w:rPr>
              <w:t>312</w:t>
            </w:r>
            <w:r w:rsidR="00EB6B5D">
              <w:rPr>
                <w:noProof/>
                <w:webHidden/>
              </w:rPr>
              <w:fldChar w:fldCharType="end"/>
            </w:r>
          </w:hyperlink>
        </w:p>
        <w:p w14:paraId="02D78B8D" w14:textId="124AC030" w:rsidR="00EB6B5D" w:rsidRDefault="00000000">
          <w:pPr>
            <w:pStyle w:val="TOC2"/>
            <w:tabs>
              <w:tab w:val="right" w:leader="dot" w:pos="10790"/>
            </w:tabs>
            <w:rPr>
              <w:noProof/>
            </w:rPr>
          </w:pPr>
          <w:hyperlink w:anchor="_Toc176864657" w:history="1">
            <w:r w:rsidR="00EB6B5D" w:rsidRPr="00633202">
              <w:rPr>
                <w:rStyle w:val="Hyperlink"/>
                <w:noProof/>
              </w:rPr>
              <w:t>P174 commence avant la fin de (se termine après le début de)</w:t>
            </w:r>
            <w:r w:rsidR="00EB6B5D">
              <w:rPr>
                <w:noProof/>
                <w:webHidden/>
              </w:rPr>
              <w:tab/>
            </w:r>
            <w:r w:rsidR="00EB6B5D">
              <w:rPr>
                <w:noProof/>
                <w:webHidden/>
              </w:rPr>
              <w:fldChar w:fldCharType="begin"/>
            </w:r>
            <w:r w:rsidR="00EB6B5D">
              <w:rPr>
                <w:noProof/>
                <w:webHidden/>
              </w:rPr>
              <w:instrText xml:space="preserve"> PAGEREF _Toc176864657 \h </w:instrText>
            </w:r>
            <w:r w:rsidR="00EB6B5D">
              <w:rPr>
                <w:noProof/>
                <w:webHidden/>
              </w:rPr>
            </w:r>
            <w:r w:rsidR="00EB6B5D">
              <w:rPr>
                <w:noProof/>
                <w:webHidden/>
              </w:rPr>
              <w:fldChar w:fldCharType="separate"/>
            </w:r>
            <w:r w:rsidR="00010123">
              <w:rPr>
                <w:noProof/>
                <w:webHidden/>
              </w:rPr>
              <w:t>314</w:t>
            </w:r>
            <w:r w:rsidR="00EB6B5D">
              <w:rPr>
                <w:noProof/>
                <w:webHidden/>
              </w:rPr>
              <w:fldChar w:fldCharType="end"/>
            </w:r>
          </w:hyperlink>
        </w:p>
        <w:p w14:paraId="221162C3" w14:textId="30C9A128" w:rsidR="00EB6B5D" w:rsidRDefault="00000000">
          <w:pPr>
            <w:pStyle w:val="TOC2"/>
            <w:tabs>
              <w:tab w:val="right" w:leader="dot" w:pos="10790"/>
            </w:tabs>
            <w:rPr>
              <w:noProof/>
            </w:rPr>
          </w:pPr>
          <w:hyperlink w:anchor="_Toc176864658" w:history="1">
            <w:r w:rsidR="00EB6B5D" w:rsidRPr="00633202">
              <w:rPr>
                <w:rStyle w:val="Hyperlink"/>
                <w:noProof/>
              </w:rPr>
              <w:t>P175 commence avant ou au moment du début de (commence après ou au moment du début de)</w:t>
            </w:r>
            <w:r w:rsidR="00EB6B5D">
              <w:rPr>
                <w:noProof/>
                <w:webHidden/>
              </w:rPr>
              <w:tab/>
            </w:r>
            <w:r w:rsidR="00EB6B5D">
              <w:rPr>
                <w:noProof/>
                <w:webHidden/>
              </w:rPr>
              <w:fldChar w:fldCharType="begin"/>
            </w:r>
            <w:r w:rsidR="00EB6B5D">
              <w:rPr>
                <w:noProof/>
                <w:webHidden/>
              </w:rPr>
              <w:instrText xml:space="preserve"> PAGEREF _Toc176864658 \h </w:instrText>
            </w:r>
            <w:r w:rsidR="00EB6B5D">
              <w:rPr>
                <w:noProof/>
                <w:webHidden/>
              </w:rPr>
            </w:r>
            <w:r w:rsidR="00EB6B5D">
              <w:rPr>
                <w:noProof/>
                <w:webHidden/>
              </w:rPr>
              <w:fldChar w:fldCharType="separate"/>
            </w:r>
            <w:r w:rsidR="00010123">
              <w:rPr>
                <w:noProof/>
                <w:webHidden/>
              </w:rPr>
              <w:t>317</w:t>
            </w:r>
            <w:r w:rsidR="00EB6B5D">
              <w:rPr>
                <w:noProof/>
                <w:webHidden/>
              </w:rPr>
              <w:fldChar w:fldCharType="end"/>
            </w:r>
          </w:hyperlink>
        </w:p>
        <w:p w14:paraId="100691B6" w14:textId="0466E3C0" w:rsidR="00EB6B5D" w:rsidRDefault="00000000">
          <w:pPr>
            <w:pStyle w:val="TOC2"/>
            <w:tabs>
              <w:tab w:val="right" w:leader="dot" w:pos="10790"/>
            </w:tabs>
            <w:rPr>
              <w:noProof/>
            </w:rPr>
          </w:pPr>
          <w:hyperlink w:anchor="_Toc176864659" w:history="1">
            <w:r w:rsidR="00EB6B5D" w:rsidRPr="00633202">
              <w:rPr>
                <w:rStyle w:val="Hyperlink"/>
                <w:noProof/>
              </w:rPr>
              <w:t>P176 commence avant le début de (commence après le début de)</w:t>
            </w:r>
            <w:r w:rsidR="00EB6B5D">
              <w:rPr>
                <w:noProof/>
                <w:webHidden/>
              </w:rPr>
              <w:tab/>
            </w:r>
            <w:r w:rsidR="00EB6B5D">
              <w:rPr>
                <w:noProof/>
                <w:webHidden/>
              </w:rPr>
              <w:fldChar w:fldCharType="begin"/>
            </w:r>
            <w:r w:rsidR="00EB6B5D">
              <w:rPr>
                <w:noProof/>
                <w:webHidden/>
              </w:rPr>
              <w:instrText xml:space="preserve"> PAGEREF _Toc176864659 \h </w:instrText>
            </w:r>
            <w:r w:rsidR="00EB6B5D">
              <w:rPr>
                <w:noProof/>
                <w:webHidden/>
              </w:rPr>
            </w:r>
            <w:r w:rsidR="00EB6B5D">
              <w:rPr>
                <w:noProof/>
                <w:webHidden/>
              </w:rPr>
              <w:fldChar w:fldCharType="separate"/>
            </w:r>
            <w:r w:rsidR="00010123">
              <w:rPr>
                <w:noProof/>
                <w:webHidden/>
              </w:rPr>
              <w:t>319</w:t>
            </w:r>
            <w:r w:rsidR="00EB6B5D">
              <w:rPr>
                <w:noProof/>
                <w:webHidden/>
              </w:rPr>
              <w:fldChar w:fldCharType="end"/>
            </w:r>
          </w:hyperlink>
        </w:p>
        <w:p w14:paraId="6710A671" w14:textId="68E04E37" w:rsidR="00EB6B5D" w:rsidRDefault="00000000">
          <w:pPr>
            <w:pStyle w:val="TOC2"/>
            <w:tabs>
              <w:tab w:val="right" w:leader="dot" w:pos="10790"/>
            </w:tabs>
            <w:rPr>
              <w:noProof/>
            </w:rPr>
          </w:pPr>
          <w:hyperlink w:anchor="_Toc176864660" w:history="1">
            <w:r w:rsidR="00EB6B5D" w:rsidRPr="00633202">
              <w:rPr>
                <w:rStyle w:val="Hyperlink"/>
                <w:noProof/>
              </w:rPr>
              <w:t>P177 a assigné le type de propriété (est le type de propriété assigné)</w:t>
            </w:r>
            <w:r w:rsidR="00EB6B5D">
              <w:rPr>
                <w:noProof/>
                <w:webHidden/>
              </w:rPr>
              <w:tab/>
            </w:r>
            <w:r w:rsidR="00EB6B5D">
              <w:rPr>
                <w:noProof/>
                <w:webHidden/>
              </w:rPr>
              <w:fldChar w:fldCharType="begin"/>
            </w:r>
            <w:r w:rsidR="00EB6B5D">
              <w:rPr>
                <w:noProof/>
                <w:webHidden/>
              </w:rPr>
              <w:instrText xml:space="preserve"> PAGEREF _Toc176864660 \h </w:instrText>
            </w:r>
            <w:r w:rsidR="00EB6B5D">
              <w:rPr>
                <w:noProof/>
                <w:webHidden/>
              </w:rPr>
            </w:r>
            <w:r w:rsidR="00EB6B5D">
              <w:rPr>
                <w:noProof/>
                <w:webHidden/>
              </w:rPr>
              <w:fldChar w:fldCharType="separate"/>
            </w:r>
            <w:r w:rsidR="00010123">
              <w:rPr>
                <w:noProof/>
                <w:webHidden/>
              </w:rPr>
              <w:t>321</w:t>
            </w:r>
            <w:r w:rsidR="00EB6B5D">
              <w:rPr>
                <w:noProof/>
                <w:webHidden/>
              </w:rPr>
              <w:fldChar w:fldCharType="end"/>
            </w:r>
          </w:hyperlink>
        </w:p>
        <w:p w14:paraId="04CE2727" w14:textId="384613B4" w:rsidR="00EB6B5D" w:rsidRDefault="00000000">
          <w:pPr>
            <w:pStyle w:val="TOC2"/>
            <w:tabs>
              <w:tab w:val="right" w:leader="dot" w:pos="10790"/>
            </w:tabs>
            <w:rPr>
              <w:noProof/>
            </w:rPr>
          </w:pPr>
          <w:hyperlink w:anchor="_Toc176864661" w:history="1">
            <w:r w:rsidR="00EB6B5D" w:rsidRPr="00633202">
              <w:rPr>
                <w:rStyle w:val="Hyperlink"/>
                <w:noProof/>
              </w:rPr>
              <w:t>P179 a eu pour prix de vente (a été le prix de vente de)</w:t>
            </w:r>
            <w:r w:rsidR="00EB6B5D">
              <w:rPr>
                <w:noProof/>
                <w:webHidden/>
              </w:rPr>
              <w:tab/>
            </w:r>
            <w:r w:rsidR="00EB6B5D">
              <w:rPr>
                <w:noProof/>
                <w:webHidden/>
              </w:rPr>
              <w:fldChar w:fldCharType="begin"/>
            </w:r>
            <w:r w:rsidR="00EB6B5D">
              <w:rPr>
                <w:noProof/>
                <w:webHidden/>
              </w:rPr>
              <w:instrText xml:space="preserve"> PAGEREF _Toc176864661 \h </w:instrText>
            </w:r>
            <w:r w:rsidR="00EB6B5D">
              <w:rPr>
                <w:noProof/>
                <w:webHidden/>
              </w:rPr>
            </w:r>
            <w:r w:rsidR="00EB6B5D">
              <w:rPr>
                <w:noProof/>
                <w:webHidden/>
              </w:rPr>
              <w:fldChar w:fldCharType="separate"/>
            </w:r>
            <w:r w:rsidR="00010123">
              <w:rPr>
                <w:noProof/>
                <w:webHidden/>
              </w:rPr>
              <w:t>323</w:t>
            </w:r>
            <w:r w:rsidR="00EB6B5D">
              <w:rPr>
                <w:noProof/>
                <w:webHidden/>
              </w:rPr>
              <w:fldChar w:fldCharType="end"/>
            </w:r>
          </w:hyperlink>
        </w:p>
        <w:p w14:paraId="73C0BE6F" w14:textId="75F77703" w:rsidR="00EB6B5D" w:rsidRDefault="00000000">
          <w:pPr>
            <w:pStyle w:val="TOC2"/>
            <w:tabs>
              <w:tab w:val="right" w:leader="dot" w:pos="10790"/>
            </w:tabs>
            <w:rPr>
              <w:noProof/>
            </w:rPr>
          </w:pPr>
          <w:hyperlink w:anchor="_Toc176864662" w:history="1">
            <w:r w:rsidR="00EB6B5D" w:rsidRPr="00633202">
              <w:rPr>
                <w:rStyle w:val="Hyperlink"/>
                <w:noProof/>
              </w:rPr>
              <w:t>P180 a pour unité monétaire (était l’unité monétaire de)</w:t>
            </w:r>
            <w:r w:rsidR="00EB6B5D">
              <w:rPr>
                <w:noProof/>
                <w:webHidden/>
              </w:rPr>
              <w:tab/>
            </w:r>
            <w:r w:rsidR="00EB6B5D">
              <w:rPr>
                <w:noProof/>
                <w:webHidden/>
              </w:rPr>
              <w:fldChar w:fldCharType="begin"/>
            </w:r>
            <w:r w:rsidR="00EB6B5D">
              <w:rPr>
                <w:noProof/>
                <w:webHidden/>
              </w:rPr>
              <w:instrText xml:space="preserve"> PAGEREF _Toc176864662 \h </w:instrText>
            </w:r>
            <w:r w:rsidR="00EB6B5D">
              <w:rPr>
                <w:noProof/>
                <w:webHidden/>
              </w:rPr>
            </w:r>
            <w:r w:rsidR="00EB6B5D">
              <w:rPr>
                <w:noProof/>
                <w:webHidden/>
              </w:rPr>
              <w:fldChar w:fldCharType="separate"/>
            </w:r>
            <w:r w:rsidR="00010123">
              <w:rPr>
                <w:noProof/>
                <w:webHidden/>
              </w:rPr>
              <w:t>324</w:t>
            </w:r>
            <w:r w:rsidR="00EB6B5D">
              <w:rPr>
                <w:noProof/>
                <w:webHidden/>
              </w:rPr>
              <w:fldChar w:fldCharType="end"/>
            </w:r>
          </w:hyperlink>
        </w:p>
        <w:p w14:paraId="44569C2A" w14:textId="075CDA35" w:rsidR="00EB6B5D" w:rsidRDefault="00000000">
          <w:pPr>
            <w:pStyle w:val="TOC2"/>
            <w:tabs>
              <w:tab w:val="right" w:leader="dot" w:pos="10790"/>
            </w:tabs>
            <w:rPr>
              <w:noProof/>
            </w:rPr>
          </w:pPr>
          <w:hyperlink w:anchor="_Toc176864663" w:history="1">
            <w:r w:rsidR="00EB6B5D" w:rsidRPr="00633202">
              <w:rPr>
                <w:rStyle w:val="Hyperlink"/>
                <w:noProof/>
              </w:rPr>
              <w:t>P182 se termine avant ou au moment du début de (commence après ou au moment de la fin de)</w:t>
            </w:r>
            <w:r w:rsidR="00EB6B5D">
              <w:rPr>
                <w:noProof/>
                <w:webHidden/>
              </w:rPr>
              <w:tab/>
            </w:r>
            <w:r w:rsidR="00EB6B5D">
              <w:rPr>
                <w:noProof/>
                <w:webHidden/>
              </w:rPr>
              <w:fldChar w:fldCharType="begin"/>
            </w:r>
            <w:r w:rsidR="00EB6B5D">
              <w:rPr>
                <w:noProof/>
                <w:webHidden/>
              </w:rPr>
              <w:instrText xml:space="preserve"> PAGEREF _Toc176864663 \h </w:instrText>
            </w:r>
            <w:r w:rsidR="00EB6B5D">
              <w:rPr>
                <w:noProof/>
                <w:webHidden/>
              </w:rPr>
            </w:r>
            <w:r w:rsidR="00EB6B5D">
              <w:rPr>
                <w:noProof/>
                <w:webHidden/>
              </w:rPr>
              <w:fldChar w:fldCharType="separate"/>
            </w:r>
            <w:r w:rsidR="00010123">
              <w:rPr>
                <w:noProof/>
                <w:webHidden/>
              </w:rPr>
              <w:t>325</w:t>
            </w:r>
            <w:r w:rsidR="00EB6B5D">
              <w:rPr>
                <w:noProof/>
                <w:webHidden/>
              </w:rPr>
              <w:fldChar w:fldCharType="end"/>
            </w:r>
          </w:hyperlink>
        </w:p>
        <w:p w14:paraId="49B1CA34" w14:textId="7BA043B3" w:rsidR="00EB6B5D" w:rsidRDefault="00000000">
          <w:pPr>
            <w:pStyle w:val="TOC2"/>
            <w:tabs>
              <w:tab w:val="right" w:leader="dot" w:pos="10790"/>
            </w:tabs>
            <w:rPr>
              <w:noProof/>
            </w:rPr>
          </w:pPr>
          <w:hyperlink w:anchor="_Toc176864664" w:history="1">
            <w:r w:rsidR="00EB6B5D" w:rsidRPr="00633202">
              <w:rPr>
                <w:rStyle w:val="Hyperlink"/>
                <w:noProof/>
              </w:rPr>
              <w:t>P183 se termine avant le début de (commence après la fin de)</w:t>
            </w:r>
            <w:r w:rsidR="00EB6B5D">
              <w:rPr>
                <w:noProof/>
                <w:webHidden/>
              </w:rPr>
              <w:tab/>
            </w:r>
            <w:r w:rsidR="00EB6B5D">
              <w:rPr>
                <w:noProof/>
                <w:webHidden/>
              </w:rPr>
              <w:fldChar w:fldCharType="begin"/>
            </w:r>
            <w:r w:rsidR="00EB6B5D">
              <w:rPr>
                <w:noProof/>
                <w:webHidden/>
              </w:rPr>
              <w:instrText xml:space="preserve"> PAGEREF _Toc176864664 \h </w:instrText>
            </w:r>
            <w:r w:rsidR="00EB6B5D">
              <w:rPr>
                <w:noProof/>
                <w:webHidden/>
              </w:rPr>
            </w:r>
            <w:r w:rsidR="00EB6B5D">
              <w:rPr>
                <w:noProof/>
                <w:webHidden/>
              </w:rPr>
              <w:fldChar w:fldCharType="separate"/>
            </w:r>
            <w:r w:rsidR="00010123">
              <w:rPr>
                <w:noProof/>
                <w:webHidden/>
              </w:rPr>
              <w:t>327</w:t>
            </w:r>
            <w:r w:rsidR="00EB6B5D">
              <w:rPr>
                <w:noProof/>
                <w:webHidden/>
              </w:rPr>
              <w:fldChar w:fldCharType="end"/>
            </w:r>
          </w:hyperlink>
        </w:p>
        <w:p w14:paraId="44A709A7" w14:textId="3F6D5F27" w:rsidR="00EB6B5D" w:rsidRDefault="00000000">
          <w:pPr>
            <w:pStyle w:val="TOC2"/>
            <w:tabs>
              <w:tab w:val="right" w:leader="dot" w:pos="10790"/>
            </w:tabs>
            <w:rPr>
              <w:noProof/>
            </w:rPr>
          </w:pPr>
          <w:hyperlink w:anchor="_Toc176864665" w:history="1">
            <w:r w:rsidR="00EB6B5D" w:rsidRPr="00633202">
              <w:rPr>
                <w:rStyle w:val="Hyperlink"/>
                <w:noProof/>
              </w:rPr>
              <w:t>P184 se termine avant ou au moment de la fin de (se termine au moment de ou après la fin de)</w:t>
            </w:r>
            <w:r w:rsidR="00EB6B5D">
              <w:rPr>
                <w:noProof/>
                <w:webHidden/>
              </w:rPr>
              <w:tab/>
            </w:r>
            <w:r w:rsidR="00EB6B5D">
              <w:rPr>
                <w:noProof/>
                <w:webHidden/>
              </w:rPr>
              <w:fldChar w:fldCharType="begin"/>
            </w:r>
            <w:r w:rsidR="00EB6B5D">
              <w:rPr>
                <w:noProof/>
                <w:webHidden/>
              </w:rPr>
              <w:instrText xml:space="preserve"> PAGEREF _Toc176864665 \h </w:instrText>
            </w:r>
            <w:r w:rsidR="00EB6B5D">
              <w:rPr>
                <w:noProof/>
                <w:webHidden/>
              </w:rPr>
            </w:r>
            <w:r w:rsidR="00EB6B5D">
              <w:rPr>
                <w:noProof/>
                <w:webHidden/>
              </w:rPr>
              <w:fldChar w:fldCharType="separate"/>
            </w:r>
            <w:r w:rsidR="00010123">
              <w:rPr>
                <w:noProof/>
                <w:webHidden/>
              </w:rPr>
              <w:t>329</w:t>
            </w:r>
            <w:r w:rsidR="00EB6B5D">
              <w:rPr>
                <w:noProof/>
                <w:webHidden/>
              </w:rPr>
              <w:fldChar w:fldCharType="end"/>
            </w:r>
          </w:hyperlink>
        </w:p>
        <w:p w14:paraId="572A2090" w14:textId="22329753" w:rsidR="00EB6B5D" w:rsidRDefault="00000000">
          <w:pPr>
            <w:pStyle w:val="TOC2"/>
            <w:tabs>
              <w:tab w:val="right" w:leader="dot" w:pos="10790"/>
            </w:tabs>
            <w:rPr>
              <w:noProof/>
            </w:rPr>
          </w:pPr>
          <w:hyperlink w:anchor="_Toc176864666" w:history="1">
            <w:r w:rsidR="00EB6B5D" w:rsidRPr="00633202">
              <w:rPr>
                <w:rStyle w:val="Hyperlink"/>
                <w:noProof/>
              </w:rPr>
              <w:t>P185 se termine avant la fin de (se termine après la fin de)</w:t>
            </w:r>
            <w:r w:rsidR="00EB6B5D">
              <w:rPr>
                <w:noProof/>
                <w:webHidden/>
              </w:rPr>
              <w:tab/>
            </w:r>
            <w:r w:rsidR="00EB6B5D">
              <w:rPr>
                <w:noProof/>
                <w:webHidden/>
              </w:rPr>
              <w:fldChar w:fldCharType="begin"/>
            </w:r>
            <w:r w:rsidR="00EB6B5D">
              <w:rPr>
                <w:noProof/>
                <w:webHidden/>
              </w:rPr>
              <w:instrText xml:space="preserve"> PAGEREF _Toc176864666 \h </w:instrText>
            </w:r>
            <w:r w:rsidR="00EB6B5D">
              <w:rPr>
                <w:noProof/>
                <w:webHidden/>
              </w:rPr>
            </w:r>
            <w:r w:rsidR="00EB6B5D">
              <w:rPr>
                <w:noProof/>
                <w:webHidden/>
              </w:rPr>
              <w:fldChar w:fldCharType="separate"/>
            </w:r>
            <w:r w:rsidR="00010123">
              <w:rPr>
                <w:noProof/>
                <w:webHidden/>
              </w:rPr>
              <w:t>331</w:t>
            </w:r>
            <w:r w:rsidR="00EB6B5D">
              <w:rPr>
                <w:noProof/>
                <w:webHidden/>
              </w:rPr>
              <w:fldChar w:fldCharType="end"/>
            </w:r>
          </w:hyperlink>
        </w:p>
        <w:p w14:paraId="06300670" w14:textId="0F9FDF21" w:rsidR="00EB6B5D" w:rsidRDefault="00000000">
          <w:pPr>
            <w:pStyle w:val="TOC2"/>
            <w:tabs>
              <w:tab w:val="right" w:leader="dot" w:pos="10790"/>
            </w:tabs>
            <w:rPr>
              <w:noProof/>
            </w:rPr>
          </w:pPr>
          <w:hyperlink w:anchor="_Toc176864667" w:history="1">
            <w:r w:rsidR="00EB6B5D" w:rsidRPr="00633202">
              <w:rPr>
                <w:rStyle w:val="Hyperlink"/>
                <w:noProof/>
              </w:rPr>
              <w:t>P186 a produit la chose du type (est produit par)</w:t>
            </w:r>
            <w:r w:rsidR="00EB6B5D">
              <w:rPr>
                <w:noProof/>
                <w:webHidden/>
              </w:rPr>
              <w:tab/>
            </w:r>
            <w:r w:rsidR="00EB6B5D">
              <w:rPr>
                <w:noProof/>
                <w:webHidden/>
              </w:rPr>
              <w:fldChar w:fldCharType="begin"/>
            </w:r>
            <w:r w:rsidR="00EB6B5D">
              <w:rPr>
                <w:noProof/>
                <w:webHidden/>
              </w:rPr>
              <w:instrText xml:space="preserve"> PAGEREF _Toc176864667 \h </w:instrText>
            </w:r>
            <w:r w:rsidR="00EB6B5D">
              <w:rPr>
                <w:noProof/>
                <w:webHidden/>
              </w:rPr>
            </w:r>
            <w:r w:rsidR="00EB6B5D">
              <w:rPr>
                <w:noProof/>
                <w:webHidden/>
              </w:rPr>
              <w:fldChar w:fldCharType="separate"/>
            </w:r>
            <w:r w:rsidR="00010123">
              <w:rPr>
                <w:noProof/>
                <w:webHidden/>
              </w:rPr>
              <w:t>333</w:t>
            </w:r>
            <w:r w:rsidR="00EB6B5D">
              <w:rPr>
                <w:noProof/>
                <w:webHidden/>
              </w:rPr>
              <w:fldChar w:fldCharType="end"/>
            </w:r>
          </w:hyperlink>
        </w:p>
        <w:p w14:paraId="7B73AD28" w14:textId="3FB8262A" w:rsidR="00EB6B5D" w:rsidRDefault="00000000">
          <w:pPr>
            <w:pStyle w:val="TOC2"/>
            <w:tabs>
              <w:tab w:val="right" w:leader="dot" w:pos="10790"/>
            </w:tabs>
            <w:rPr>
              <w:noProof/>
            </w:rPr>
          </w:pPr>
          <w:hyperlink w:anchor="_Toc176864668" w:history="1">
            <w:r w:rsidR="00EB6B5D" w:rsidRPr="00633202">
              <w:rPr>
                <w:rStyle w:val="Hyperlink"/>
                <w:noProof/>
              </w:rPr>
              <w:t>P187 a pour plan de production (est le plan de production de)</w:t>
            </w:r>
            <w:r w:rsidR="00EB6B5D">
              <w:rPr>
                <w:noProof/>
                <w:webHidden/>
              </w:rPr>
              <w:tab/>
            </w:r>
            <w:r w:rsidR="00EB6B5D">
              <w:rPr>
                <w:noProof/>
                <w:webHidden/>
              </w:rPr>
              <w:fldChar w:fldCharType="begin"/>
            </w:r>
            <w:r w:rsidR="00EB6B5D">
              <w:rPr>
                <w:noProof/>
                <w:webHidden/>
              </w:rPr>
              <w:instrText xml:space="preserve"> PAGEREF _Toc176864668 \h </w:instrText>
            </w:r>
            <w:r w:rsidR="00EB6B5D">
              <w:rPr>
                <w:noProof/>
                <w:webHidden/>
              </w:rPr>
            </w:r>
            <w:r w:rsidR="00EB6B5D">
              <w:rPr>
                <w:noProof/>
                <w:webHidden/>
              </w:rPr>
              <w:fldChar w:fldCharType="separate"/>
            </w:r>
            <w:r w:rsidR="00010123">
              <w:rPr>
                <w:noProof/>
                <w:webHidden/>
              </w:rPr>
              <w:t>334</w:t>
            </w:r>
            <w:r w:rsidR="00EB6B5D">
              <w:rPr>
                <w:noProof/>
                <w:webHidden/>
              </w:rPr>
              <w:fldChar w:fldCharType="end"/>
            </w:r>
          </w:hyperlink>
        </w:p>
        <w:p w14:paraId="1FC6D9C2" w14:textId="1F0444CD" w:rsidR="00EB6B5D" w:rsidRDefault="00000000">
          <w:pPr>
            <w:pStyle w:val="TOC2"/>
            <w:tabs>
              <w:tab w:val="right" w:leader="dot" w:pos="10790"/>
            </w:tabs>
            <w:rPr>
              <w:noProof/>
            </w:rPr>
          </w:pPr>
          <w:hyperlink w:anchor="_Toc176864669" w:history="1">
            <w:r w:rsidR="00EB6B5D" w:rsidRPr="00633202">
              <w:rPr>
                <w:rStyle w:val="Hyperlink"/>
                <w:noProof/>
              </w:rPr>
              <w:t>P188 nécessite l'outil (est l'outil de production de)</w:t>
            </w:r>
            <w:r w:rsidR="00EB6B5D">
              <w:rPr>
                <w:noProof/>
                <w:webHidden/>
              </w:rPr>
              <w:tab/>
            </w:r>
            <w:r w:rsidR="00EB6B5D">
              <w:rPr>
                <w:noProof/>
                <w:webHidden/>
              </w:rPr>
              <w:fldChar w:fldCharType="begin"/>
            </w:r>
            <w:r w:rsidR="00EB6B5D">
              <w:rPr>
                <w:noProof/>
                <w:webHidden/>
              </w:rPr>
              <w:instrText xml:space="preserve"> PAGEREF _Toc176864669 \h </w:instrText>
            </w:r>
            <w:r w:rsidR="00EB6B5D">
              <w:rPr>
                <w:noProof/>
                <w:webHidden/>
              </w:rPr>
            </w:r>
            <w:r w:rsidR="00EB6B5D">
              <w:rPr>
                <w:noProof/>
                <w:webHidden/>
              </w:rPr>
              <w:fldChar w:fldCharType="separate"/>
            </w:r>
            <w:r w:rsidR="00010123">
              <w:rPr>
                <w:noProof/>
                <w:webHidden/>
              </w:rPr>
              <w:t>335</w:t>
            </w:r>
            <w:r w:rsidR="00EB6B5D">
              <w:rPr>
                <w:noProof/>
                <w:webHidden/>
              </w:rPr>
              <w:fldChar w:fldCharType="end"/>
            </w:r>
          </w:hyperlink>
        </w:p>
        <w:p w14:paraId="2A9CB5A1" w14:textId="2B299F23" w:rsidR="00EB6B5D" w:rsidRDefault="00000000">
          <w:pPr>
            <w:pStyle w:val="TOC2"/>
            <w:tabs>
              <w:tab w:val="right" w:leader="dot" w:pos="10790"/>
            </w:tabs>
            <w:rPr>
              <w:noProof/>
            </w:rPr>
          </w:pPr>
          <w:hyperlink w:anchor="_Toc176864670" w:history="1">
            <w:r w:rsidR="00EB6B5D" w:rsidRPr="00633202">
              <w:rPr>
                <w:rStyle w:val="Hyperlink"/>
                <w:noProof/>
              </w:rPr>
              <w:t>P189 approxime (est approximé par)</w:t>
            </w:r>
            <w:r w:rsidR="00EB6B5D">
              <w:rPr>
                <w:noProof/>
                <w:webHidden/>
              </w:rPr>
              <w:tab/>
            </w:r>
            <w:r w:rsidR="00EB6B5D">
              <w:rPr>
                <w:noProof/>
                <w:webHidden/>
              </w:rPr>
              <w:fldChar w:fldCharType="begin"/>
            </w:r>
            <w:r w:rsidR="00EB6B5D">
              <w:rPr>
                <w:noProof/>
                <w:webHidden/>
              </w:rPr>
              <w:instrText xml:space="preserve"> PAGEREF _Toc176864670 \h </w:instrText>
            </w:r>
            <w:r w:rsidR="00EB6B5D">
              <w:rPr>
                <w:noProof/>
                <w:webHidden/>
              </w:rPr>
            </w:r>
            <w:r w:rsidR="00EB6B5D">
              <w:rPr>
                <w:noProof/>
                <w:webHidden/>
              </w:rPr>
              <w:fldChar w:fldCharType="separate"/>
            </w:r>
            <w:r w:rsidR="00010123">
              <w:rPr>
                <w:noProof/>
                <w:webHidden/>
              </w:rPr>
              <w:t>336</w:t>
            </w:r>
            <w:r w:rsidR="00EB6B5D">
              <w:rPr>
                <w:noProof/>
                <w:webHidden/>
              </w:rPr>
              <w:fldChar w:fldCharType="end"/>
            </w:r>
          </w:hyperlink>
        </w:p>
        <w:p w14:paraId="58F0A645" w14:textId="5CD1DC3A" w:rsidR="00EB6B5D" w:rsidRDefault="00000000">
          <w:pPr>
            <w:pStyle w:val="TOC2"/>
            <w:tabs>
              <w:tab w:val="right" w:leader="dot" w:pos="10790"/>
            </w:tabs>
            <w:rPr>
              <w:noProof/>
            </w:rPr>
          </w:pPr>
          <w:hyperlink w:anchor="_Toc176864671" w:history="1">
            <w:r w:rsidR="00EB6B5D" w:rsidRPr="00633202">
              <w:rPr>
                <w:rStyle w:val="Hyperlink"/>
                <w:noProof/>
              </w:rPr>
              <w:t>P190 a pour contenu symbolique</w:t>
            </w:r>
            <w:r w:rsidR="00EB6B5D">
              <w:rPr>
                <w:noProof/>
                <w:webHidden/>
              </w:rPr>
              <w:tab/>
            </w:r>
            <w:r w:rsidR="00EB6B5D">
              <w:rPr>
                <w:noProof/>
                <w:webHidden/>
              </w:rPr>
              <w:fldChar w:fldCharType="begin"/>
            </w:r>
            <w:r w:rsidR="00EB6B5D">
              <w:rPr>
                <w:noProof/>
                <w:webHidden/>
              </w:rPr>
              <w:instrText xml:space="preserve"> PAGEREF _Toc176864671 \h </w:instrText>
            </w:r>
            <w:r w:rsidR="00EB6B5D">
              <w:rPr>
                <w:noProof/>
                <w:webHidden/>
              </w:rPr>
            </w:r>
            <w:r w:rsidR="00EB6B5D">
              <w:rPr>
                <w:noProof/>
                <w:webHidden/>
              </w:rPr>
              <w:fldChar w:fldCharType="separate"/>
            </w:r>
            <w:r w:rsidR="00010123">
              <w:rPr>
                <w:noProof/>
                <w:webHidden/>
              </w:rPr>
              <w:t>337</w:t>
            </w:r>
            <w:r w:rsidR="00EB6B5D">
              <w:rPr>
                <w:noProof/>
                <w:webHidden/>
              </w:rPr>
              <w:fldChar w:fldCharType="end"/>
            </w:r>
          </w:hyperlink>
        </w:p>
        <w:p w14:paraId="23279B88" w14:textId="1D622443" w:rsidR="00EB6B5D" w:rsidRDefault="00000000">
          <w:pPr>
            <w:pStyle w:val="TOC2"/>
            <w:tabs>
              <w:tab w:val="right" w:leader="dot" w:pos="10790"/>
            </w:tabs>
            <w:rPr>
              <w:noProof/>
            </w:rPr>
          </w:pPr>
          <w:hyperlink w:anchor="_Toc176864672" w:history="1">
            <w:r w:rsidR="00EB6B5D" w:rsidRPr="00633202">
              <w:rPr>
                <w:rStyle w:val="Hyperlink"/>
                <w:noProof/>
              </w:rPr>
              <w:t>P191 a eu pour durée (était la durée de)</w:t>
            </w:r>
            <w:r w:rsidR="00EB6B5D">
              <w:rPr>
                <w:noProof/>
                <w:webHidden/>
              </w:rPr>
              <w:tab/>
            </w:r>
            <w:r w:rsidR="00EB6B5D">
              <w:rPr>
                <w:noProof/>
                <w:webHidden/>
              </w:rPr>
              <w:fldChar w:fldCharType="begin"/>
            </w:r>
            <w:r w:rsidR="00EB6B5D">
              <w:rPr>
                <w:noProof/>
                <w:webHidden/>
              </w:rPr>
              <w:instrText xml:space="preserve"> PAGEREF _Toc176864672 \h </w:instrText>
            </w:r>
            <w:r w:rsidR="00EB6B5D">
              <w:rPr>
                <w:noProof/>
                <w:webHidden/>
              </w:rPr>
            </w:r>
            <w:r w:rsidR="00EB6B5D">
              <w:rPr>
                <w:noProof/>
                <w:webHidden/>
              </w:rPr>
              <w:fldChar w:fldCharType="separate"/>
            </w:r>
            <w:r w:rsidR="00010123">
              <w:rPr>
                <w:noProof/>
                <w:webHidden/>
              </w:rPr>
              <w:t>339</w:t>
            </w:r>
            <w:r w:rsidR="00EB6B5D">
              <w:rPr>
                <w:noProof/>
                <w:webHidden/>
              </w:rPr>
              <w:fldChar w:fldCharType="end"/>
            </w:r>
          </w:hyperlink>
        </w:p>
        <w:p w14:paraId="41866A8D" w14:textId="359D8AE9" w:rsidR="00EB6B5D" w:rsidRDefault="00000000">
          <w:pPr>
            <w:pStyle w:val="TOC2"/>
            <w:tabs>
              <w:tab w:val="right" w:leader="dot" w:pos="10790"/>
            </w:tabs>
            <w:rPr>
              <w:noProof/>
            </w:rPr>
          </w:pPr>
          <w:hyperlink w:anchor="_Toc176864673" w:history="1">
            <w:r w:rsidR="00EB6B5D" w:rsidRPr="00633202">
              <w:rPr>
                <w:rStyle w:val="Hyperlink"/>
                <w:noProof/>
              </w:rPr>
              <w:t>P195 a été une présence de (a eu pour présence)</w:t>
            </w:r>
            <w:r w:rsidR="00EB6B5D">
              <w:rPr>
                <w:noProof/>
                <w:webHidden/>
              </w:rPr>
              <w:tab/>
            </w:r>
            <w:r w:rsidR="00EB6B5D">
              <w:rPr>
                <w:noProof/>
                <w:webHidden/>
              </w:rPr>
              <w:fldChar w:fldCharType="begin"/>
            </w:r>
            <w:r w:rsidR="00EB6B5D">
              <w:rPr>
                <w:noProof/>
                <w:webHidden/>
              </w:rPr>
              <w:instrText xml:space="preserve"> PAGEREF _Toc176864673 \h </w:instrText>
            </w:r>
            <w:r w:rsidR="00EB6B5D">
              <w:rPr>
                <w:noProof/>
                <w:webHidden/>
              </w:rPr>
            </w:r>
            <w:r w:rsidR="00EB6B5D">
              <w:rPr>
                <w:noProof/>
                <w:webHidden/>
              </w:rPr>
              <w:fldChar w:fldCharType="separate"/>
            </w:r>
            <w:r w:rsidR="00010123">
              <w:rPr>
                <w:noProof/>
                <w:webHidden/>
              </w:rPr>
              <w:t>339</w:t>
            </w:r>
            <w:r w:rsidR="00EB6B5D">
              <w:rPr>
                <w:noProof/>
                <w:webHidden/>
              </w:rPr>
              <w:fldChar w:fldCharType="end"/>
            </w:r>
          </w:hyperlink>
        </w:p>
        <w:p w14:paraId="5CB27B43" w14:textId="6BE6659A" w:rsidR="00EB6B5D" w:rsidRDefault="00000000">
          <w:pPr>
            <w:pStyle w:val="TOC2"/>
            <w:tabs>
              <w:tab w:val="right" w:leader="dot" w:pos="10790"/>
            </w:tabs>
            <w:rPr>
              <w:noProof/>
            </w:rPr>
          </w:pPr>
          <w:hyperlink w:anchor="_Toc176864674" w:history="1">
            <w:r w:rsidR="00EB6B5D" w:rsidRPr="00633202">
              <w:rPr>
                <w:rStyle w:val="Hyperlink"/>
                <w:noProof/>
              </w:rPr>
              <w:t>P196 définit (est défini par)</w:t>
            </w:r>
            <w:r w:rsidR="00EB6B5D">
              <w:rPr>
                <w:noProof/>
                <w:webHidden/>
              </w:rPr>
              <w:tab/>
            </w:r>
            <w:r w:rsidR="00EB6B5D">
              <w:rPr>
                <w:noProof/>
                <w:webHidden/>
              </w:rPr>
              <w:fldChar w:fldCharType="begin"/>
            </w:r>
            <w:r w:rsidR="00EB6B5D">
              <w:rPr>
                <w:noProof/>
                <w:webHidden/>
              </w:rPr>
              <w:instrText xml:space="preserve"> PAGEREF _Toc176864674 \h </w:instrText>
            </w:r>
            <w:r w:rsidR="00EB6B5D">
              <w:rPr>
                <w:noProof/>
                <w:webHidden/>
              </w:rPr>
            </w:r>
            <w:r w:rsidR="00EB6B5D">
              <w:rPr>
                <w:noProof/>
                <w:webHidden/>
              </w:rPr>
              <w:fldChar w:fldCharType="separate"/>
            </w:r>
            <w:r w:rsidR="00010123">
              <w:rPr>
                <w:noProof/>
                <w:webHidden/>
              </w:rPr>
              <w:t>340</w:t>
            </w:r>
            <w:r w:rsidR="00EB6B5D">
              <w:rPr>
                <w:noProof/>
                <w:webHidden/>
              </w:rPr>
              <w:fldChar w:fldCharType="end"/>
            </w:r>
          </w:hyperlink>
        </w:p>
        <w:p w14:paraId="462FA397" w14:textId="7B462F73" w:rsidR="00EB6B5D" w:rsidRDefault="00000000">
          <w:pPr>
            <w:pStyle w:val="TOC2"/>
            <w:tabs>
              <w:tab w:val="right" w:leader="dot" w:pos="10790"/>
            </w:tabs>
            <w:rPr>
              <w:noProof/>
            </w:rPr>
          </w:pPr>
          <w:hyperlink w:anchor="_Toc176864675" w:history="1">
            <w:r w:rsidR="00EB6B5D" w:rsidRPr="00633202">
              <w:rPr>
                <w:rStyle w:val="Hyperlink"/>
                <w:noProof/>
              </w:rPr>
              <w:t>P197 a couvert des parties de (a été partiellement couvert par)</w:t>
            </w:r>
            <w:r w:rsidR="00EB6B5D">
              <w:rPr>
                <w:noProof/>
                <w:webHidden/>
              </w:rPr>
              <w:tab/>
            </w:r>
            <w:r w:rsidR="00EB6B5D">
              <w:rPr>
                <w:noProof/>
                <w:webHidden/>
              </w:rPr>
              <w:fldChar w:fldCharType="begin"/>
            </w:r>
            <w:r w:rsidR="00EB6B5D">
              <w:rPr>
                <w:noProof/>
                <w:webHidden/>
              </w:rPr>
              <w:instrText xml:space="preserve"> PAGEREF _Toc176864675 \h </w:instrText>
            </w:r>
            <w:r w:rsidR="00EB6B5D">
              <w:rPr>
                <w:noProof/>
                <w:webHidden/>
              </w:rPr>
            </w:r>
            <w:r w:rsidR="00EB6B5D">
              <w:rPr>
                <w:noProof/>
                <w:webHidden/>
              </w:rPr>
              <w:fldChar w:fldCharType="separate"/>
            </w:r>
            <w:r w:rsidR="00010123">
              <w:rPr>
                <w:noProof/>
                <w:webHidden/>
              </w:rPr>
              <w:t>342</w:t>
            </w:r>
            <w:r w:rsidR="00EB6B5D">
              <w:rPr>
                <w:noProof/>
                <w:webHidden/>
              </w:rPr>
              <w:fldChar w:fldCharType="end"/>
            </w:r>
          </w:hyperlink>
        </w:p>
        <w:p w14:paraId="2CA3A110" w14:textId="1AF21099" w:rsidR="00EB6B5D" w:rsidRDefault="00000000">
          <w:pPr>
            <w:pStyle w:val="TOC2"/>
            <w:tabs>
              <w:tab w:val="right" w:leader="dot" w:pos="10790"/>
            </w:tabs>
            <w:rPr>
              <w:noProof/>
            </w:rPr>
          </w:pPr>
          <w:hyperlink w:anchor="_Toc176864676" w:history="1">
            <w:r w:rsidR="00EB6B5D" w:rsidRPr="00633202">
              <w:rPr>
                <w:rStyle w:val="Hyperlink"/>
                <w:noProof/>
              </w:rPr>
              <w:t>P198 contient ou soutient (est contenu ou soutenu par)</w:t>
            </w:r>
            <w:r w:rsidR="00EB6B5D">
              <w:rPr>
                <w:noProof/>
                <w:webHidden/>
              </w:rPr>
              <w:tab/>
            </w:r>
            <w:r w:rsidR="00EB6B5D">
              <w:rPr>
                <w:noProof/>
                <w:webHidden/>
              </w:rPr>
              <w:fldChar w:fldCharType="begin"/>
            </w:r>
            <w:r w:rsidR="00EB6B5D">
              <w:rPr>
                <w:noProof/>
                <w:webHidden/>
              </w:rPr>
              <w:instrText xml:space="preserve"> PAGEREF _Toc176864676 \h </w:instrText>
            </w:r>
            <w:r w:rsidR="00EB6B5D">
              <w:rPr>
                <w:noProof/>
                <w:webHidden/>
              </w:rPr>
            </w:r>
            <w:r w:rsidR="00EB6B5D">
              <w:rPr>
                <w:noProof/>
                <w:webHidden/>
              </w:rPr>
              <w:fldChar w:fldCharType="separate"/>
            </w:r>
            <w:r w:rsidR="00010123">
              <w:rPr>
                <w:noProof/>
                <w:webHidden/>
              </w:rPr>
              <w:t>342</w:t>
            </w:r>
            <w:r w:rsidR="00EB6B5D">
              <w:rPr>
                <w:noProof/>
                <w:webHidden/>
              </w:rPr>
              <w:fldChar w:fldCharType="end"/>
            </w:r>
          </w:hyperlink>
        </w:p>
        <w:p w14:paraId="1C66A80C" w14:textId="12D88F2E" w:rsidR="00EB6B5D" w:rsidRDefault="00000000">
          <w:pPr>
            <w:pStyle w:val="TOC1"/>
            <w:tabs>
              <w:tab w:val="right" w:leader="dot" w:pos="10790"/>
            </w:tabs>
            <w:rPr>
              <w:noProof/>
            </w:rPr>
          </w:pPr>
          <w:hyperlink w:anchor="_Toc176864677" w:history="1">
            <w:r w:rsidR="00EB6B5D" w:rsidRPr="00633202">
              <w:rPr>
                <w:rStyle w:val="Hyperlink"/>
                <w:noProof/>
              </w:rPr>
              <w:t>Bibliographie du CIDOC CRM</w:t>
            </w:r>
            <w:r w:rsidR="00EB6B5D">
              <w:rPr>
                <w:noProof/>
                <w:webHidden/>
              </w:rPr>
              <w:tab/>
            </w:r>
            <w:r w:rsidR="00EB6B5D">
              <w:rPr>
                <w:noProof/>
                <w:webHidden/>
              </w:rPr>
              <w:fldChar w:fldCharType="begin"/>
            </w:r>
            <w:r w:rsidR="00EB6B5D">
              <w:rPr>
                <w:noProof/>
                <w:webHidden/>
              </w:rPr>
              <w:instrText xml:space="preserve"> PAGEREF _Toc176864677 \h </w:instrText>
            </w:r>
            <w:r w:rsidR="00EB6B5D">
              <w:rPr>
                <w:noProof/>
                <w:webHidden/>
              </w:rPr>
            </w:r>
            <w:r w:rsidR="00EB6B5D">
              <w:rPr>
                <w:noProof/>
                <w:webHidden/>
              </w:rPr>
              <w:fldChar w:fldCharType="separate"/>
            </w:r>
            <w:r w:rsidR="00010123">
              <w:rPr>
                <w:noProof/>
                <w:webHidden/>
              </w:rPr>
              <w:t>344</w:t>
            </w:r>
            <w:r w:rsidR="00EB6B5D">
              <w:rPr>
                <w:noProof/>
                <w:webHidden/>
              </w:rPr>
              <w:fldChar w:fldCharType="end"/>
            </w:r>
          </w:hyperlink>
        </w:p>
        <w:p w14:paraId="2949A7E8" w14:textId="3854E280" w:rsidR="00EB6B5D" w:rsidRDefault="00000000">
          <w:pPr>
            <w:pStyle w:val="TOC1"/>
            <w:tabs>
              <w:tab w:val="right" w:leader="dot" w:pos="10790"/>
            </w:tabs>
            <w:rPr>
              <w:noProof/>
            </w:rPr>
          </w:pPr>
          <w:hyperlink w:anchor="_Toc176864678" w:history="1">
            <w:r w:rsidR="00EB6B5D" w:rsidRPr="00633202">
              <w:rPr>
                <w:rStyle w:val="Hyperlink"/>
                <w:noProof/>
              </w:rPr>
              <w:t>Annexe</w:t>
            </w:r>
            <w:r w:rsidR="00EB6B5D">
              <w:rPr>
                <w:noProof/>
                <w:webHidden/>
              </w:rPr>
              <w:tab/>
            </w:r>
            <w:r w:rsidR="00EB6B5D">
              <w:rPr>
                <w:noProof/>
                <w:webHidden/>
              </w:rPr>
              <w:fldChar w:fldCharType="begin"/>
            </w:r>
            <w:r w:rsidR="00EB6B5D">
              <w:rPr>
                <w:noProof/>
                <w:webHidden/>
              </w:rPr>
              <w:instrText xml:space="preserve"> PAGEREF _Toc176864678 \h </w:instrText>
            </w:r>
            <w:r w:rsidR="00EB6B5D">
              <w:rPr>
                <w:noProof/>
                <w:webHidden/>
              </w:rPr>
            </w:r>
            <w:r w:rsidR="00EB6B5D">
              <w:rPr>
                <w:noProof/>
                <w:webHidden/>
              </w:rPr>
              <w:fldChar w:fldCharType="separate"/>
            </w:r>
            <w:r w:rsidR="00010123">
              <w:rPr>
                <w:noProof/>
                <w:webHidden/>
              </w:rPr>
              <w:t>356</w:t>
            </w:r>
            <w:r w:rsidR="00EB6B5D">
              <w:rPr>
                <w:noProof/>
                <w:webHidden/>
              </w:rPr>
              <w:fldChar w:fldCharType="end"/>
            </w:r>
          </w:hyperlink>
        </w:p>
        <w:p w14:paraId="09BB3711" w14:textId="367582EE" w:rsidR="00EB6B5D" w:rsidRDefault="00000000">
          <w:pPr>
            <w:pStyle w:val="TOC2"/>
            <w:tabs>
              <w:tab w:val="right" w:leader="dot" w:pos="10790"/>
            </w:tabs>
            <w:rPr>
              <w:noProof/>
            </w:rPr>
          </w:pPr>
          <w:hyperlink w:anchor="_Toc176864679" w:history="1">
            <w:r w:rsidR="00EB6B5D" w:rsidRPr="00633202">
              <w:rPr>
                <w:rStyle w:val="Hyperlink"/>
                <w:noProof/>
              </w:rPr>
              <w:t>Classes et propriétés dépréciées</w:t>
            </w:r>
            <w:r w:rsidR="00EB6B5D">
              <w:rPr>
                <w:noProof/>
                <w:webHidden/>
              </w:rPr>
              <w:tab/>
            </w:r>
            <w:r w:rsidR="00EB6B5D">
              <w:rPr>
                <w:noProof/>
                <w:webHidden/>
              </w:rPr>
              <w:fldChar w:fldCharType="begin"/>
            </w:r>
            <w:r w:rsidR="00EB6B5D">
              <w:rPr>
                <w:noProof/>
                <w:webHidden/>
              </w:rPr>
              <w:instrText xml:space="preserve"> PAGEREF _Toc176864679 \h </w:instrText>
            </w:r>
            <w:r w:rsidR="00EB6B5D">
              <w:rPr>
                <w:noProof/>
                <w:webHidden/>
              </w:rPr>
            </w:r>
            <w:r w:rsidR="00EB6B5D">
              <w:rPr>
                <w:noProof/>
                <w:webHidden/>
              </w:rPr>
              <w:fldChar w:fldCharType="separate"/>
            </w:r>
            <w:r w:rsidR="00010123">
              <w:rPr>
                <w:noProof/>
                <w:webHidden/>
              </w:rPr>
              <w:t>356</w:t>
            </w:r>
            <w:r w:rsidR="00EB6B5D">
              <w:rPr>
                <w:noProof/>
                <w:webHidden/>
              </w:rPr>
              <w:fldChar w:fldCharType="end"/>
            </w:r>
          </w:hyperlink>
        </w:p>
        <w:p w14:paraId="6E3C3B19" w14:textId="300647B9" w:rsidR="00EB6B5D" w:rsidRDefault="00000000">
          <w:pPr>
            <w:pStyle w:val="TOC3"/>
            <w:tabs>
              <w:tab w:val="right" w:leader="dot" w:pos="10790"/>
            </w:tabs>
            <w:rPr>
              <w:noProof/>
            </w:rPr>
          </w:pPr>
          <w:hyperlink w:anchor="_Toc176864680" w:history="1">
            <w:r w:rsidR="00EB6B5D" w:rsidRPr="00633202">
              <w:rPr>
                <w:rStyle w:val="Hyperlink"/>
                <w:noProof/>
              </w:rPr>
              <w:t>Instructions de migration des classes dépréciées</w:t>
            </w:r>
            <w:r w:rsidR="00EB6B5D">
              <w:rPr>
                <w:noProof/>
                <w:webHidden/>
              </w:rPr>
              <w:tab/>
            </w:r>
            <w:r w:rsidR="00EB6B5D">
              <w:rPr>
                <w:noProof/>
                <w:webHidden/>
              </w:rPr>
              <w:fldChar w:fldCharType="begin"/>
            </w:r>
            <w:r w:rsidR="00EB6B5D">
              <w:rPr>
                <w:noProof/>
                <w:webHidden/>
              </w:rPr>
              <w:instrText xml:space="preserve"> PAGEREF _Toc176864680 \h </w:instrText>
            </w:r>
            <w:r w:rsidR="00EB6B5D">
              <w:rPr>
                <w:noProof/>
                <w:webHidden/>
              </w:rPr>
            </w:r>
            <w:r w:rsidR="00EB6B5D">
              <w:rPr>
                <w:noProof/>
                <w:webHidden/>
              </w:rPr>
              <w:fldChar w:fldCharType="separate"/>
            </w:r>
            <w:r w:rsidR="00010123">
              <w:rPr>
                <w:noProof/>
                <w:webHidden/>
              </w:rPr>
              <w:t>357</w:t>
            </w:r>
            <w:r w:rsidR="00EB6B5D">
              <w:rPr>
                <w:noProof/>
                <w:webHidden/>
              </w:rPr>
              <w:fldChar w:fldCharType="end"/>
            </w:r>
          </w:hyperlink>
        </w:p>
        <w:p w14:paraId="17B42991" w14:textId="4F2D6193" w:rsidR="00EB6B5D" w:rsidRDefault="00000000">
          <w:pPr>
            <w:pStyle w:val="TOC3"/>
            <w:tabs>
              <w:tab w:val="right" w:leader="dot" w:pos="10790"/>
            </w:tabs>
            <w:rPr>
              <w:noProof/>
            </w:rPr>
          </w:pPr>
          <w:hyperlink w:anchor="_Toc176864681" w:history="1">
            <w:r w:rsidR="00EB6B5D" w:rsidRPr="00633202">
              <w:rPr>
                <w:rStyle w:val="Hyperlink"/>
                <w:noProof/>
              </w:rPr>
              <w:t>Instructions de migration des propriétés dépréciées</w:t>
            </w:r>
            <w:r w:rsidR="00EB6B5D">
              <w:rPr>
                <w:noProof/>
                <w:webHidden/>
              </w:rPr>
              <w:tab/>
            </w:r>
            <w:r w:rsidR="00EB6B5D">
              <w:rPr>
                <w:noProof/>
                <w:webHidden/>
              </w:rPr>
              <w:fldChar w:fldCharType="begin"/>
            </w:r>
            <w:r w:rsidR="00EB6B5D">
              <w:rPr>
                <w:noProof/>
                <w:webHidden/>
              </w:rPr>
              <w:instrText xml:space="preserve"> PAGEREF _Toc176864681 \h </w:instrText>
            </w:r>
            <w:r w:rsidR="00EB6B5D">
              <w:rPr>
                <w:noProof/>
                <w:webHidden/>
              </w:rPr>
            </w:r>
            <w:r w:rsidR="00EB6B5D">
              <w:rPr>
                <w:noProof/>
                <w:webHidden/>
              </w:rPr>
              <w:fldChar w:fldCharType="separate"/>
            </w:r>
            <w:r w:rsidR="00010123">
              <w:rPr>
                <w:noProof/>
                <w:webHidden/>
              </w:rPr>
              <w:t>358</w:t>
            </w:r>
            <w:r w:rsidR="00EB6B5D">
              <w:rPr>
                <w:noProof/>
                <w:webHidden/>
              </w:rPr>
              <w:fldChar w:fldCharType="end"/>
            </w:r>
          </w:hyperlink>
        </w:p>
        <w:p w14:paraId="75AB6056" w14:textId="2E1B458F" w:rsidR="00EB6B5D" w:rsidRDefault="00000000">
          <w:pPr>
            <w:pStyle w:val="TOC2"/>
            <w:tabs>
              <w:tab w:val="right" w:leader="dot" w:pos="10790"/>
            </w:tabs>
            <w:rPr>
              <w:noProof/>
            </w:rPr>
          </w:pPr>
          <w:hyperlink w:anchor="_Toc176864682" w:history="1">
            <w:r w:rsidR="00EB6B5D" w:rsidRPr="00633202">
              <w:rPr>
                <w:rStyle w:val="Hyperlink"/>
                <w:noProof/>
              </w:rPr>
              <w:t>Modifications</w:t>
            </w:r>
            <w:r w:rsidR="00EB6B5D">
              <w:rPr>
                <w:noProof/>
                <w:webHidden/>
              </w:rPr>
              <w:tab/>
            </w:r>
            <w:r w:rsidR="00EB6B5D">
              <w:rPr>
                <w:noProof/>
                <w:webHidden/>
              </w:rPr>
              <w:fldChar w:fldCharType="begin"/>
            </w:r>
            <w:r w:rsidR="00EB6B5D">
              <w:rPr>
                <w:noProof/>
                <w:webHidden/>
              </w:rPr>
              <w:instrText xml:space="preserve"> PAGEREF _Toc176864682 \h </w:instrText>
            </w:r>
            <w:r w:rsidR="00EB6B5D">
              <w:rPr>
                <w:noProof/>
                <w:webHidden/>
              </w:rPr>
            </w:r>
            <w:r w:rsidR="00EB6B5D">
              <w:rPr>
                <w:noProof/>
                <w:webHidden/>
              </w:rPr>
              <w:fldChar w:fldCharType="separate"/>
            </w:r>
            <w:r w:rsidR="00010123">
              <w:rPr>
                <w:noProof/>
                <w:webHidden/>
              </w:rPr>
              <w:t>362</w:t>
            </w:r>
            <w:r w:rsidR="00EB6B5D">
              <w:rPr>
                <w:noProof/>
                <w:webHidden/>
              </w:rPr>
              <w:fldChar w:fldCharType="end"/>
            </w:r>
          </w:hyperlink>
        </w:p>
        <w:p w14:paraId="4A9BBA14" w14:textId="5C411D8A" w:rsidR="00EB6B5D" w:rsidRDefault="00000000">
          <w:pPr>
            <w:pStyle w:val="TOC1"/>
            <w:tabs>
              <w:tab w:val="right" w:leader="dot" w:pos="10790"/>
            </w:tabs>
            <w:rPr>
              <w:noProof/>
            </w:rPr>
          </w:pPr>
          <w:hyperlink w:anchor="_Toc176864683" w:history="1">
            <w:r w:rsidR="00EB6B5D" w:rsidRPr="00633202">
              <w:rPr>
                <w:rStyle w:val="Hyperlink"/>
                <w:noProof/>
              </w:rPr>
              <w:t>Bibliographie de la traduction</w:t>
            </w:r>
            <w:r w:rsidR="00EB6B5D">
              <w:rPr>
                <w:noProof/>
                <w:webHidden/>
              </w:rPr>
              <w:tab/>
            </w:r>
            <w:r w:rsidR="00EB6B5D">
              <w:rPr>
                <w:noProof/>
                <w:webHidden/>
              </w:rPr>
              <w:fldChar w:fldCharType="begin"/>
            </w:r>
            <w:r w:rsidR="00EB6B5D">
              <w:rPr>
                <w:noProof/>
                <w:webHidden/>
              </w:rPr>
              <w:instrText xml:space="preserve"> PAGEREF _Toc176864683 \h </w:instrText>
            </w:r>
            <w:r w:rsidR="00EB6B5D">
              <w:rPr>
                <w:noProof/>
                <w:webHidden/>
              </w:rPr>
            </w:r>
            <w:r w:rsidR="00EB6B5D">
              <w:rPr>
                <w:noProof/>
                <w:webHidden/>
              </w:rPr>
              <w:fldChar w:fldCharType="separate"/>
            </w:r>
            <w:r w:rsidR="00010123">
              <w:rPr>
                <w:noProof/>
                <w:webHidden/>
              </w:rPr>
              <w:t>362</w:t>
            </w:r>
            <w:r w:rsidR="00EB6B5D">
              <w:rPr>
                <w:noProof/>
                <w:webHidden/>
              </w:rPr>
              <w:fldChar w:fldCharType="end"/>
            </w:r>
          </w:hyperlink>
        </w:p>
        <w:p w14:paraId="533E6E67" w14:textId="150FB0D7" w:rsidR="00EB6B5D" w:rsidRDefault="00000000">
          <w:pPr>
            <w:pStyle w:val="TOC2"/>
            <w:tabs>
              <w:tab w:val="right" w:leader="dot" w:pos="10790"/>
            </w:tabs>
            <w:rPr>
              <w:noProof/>
            </w:rPr>
          </w:pPr>
          <w:hyperlink w:anchor="_Toc176864684" w:history="1">
            <w:r w:rsidR="00EB6B5D" w:rsidRPr="00633202">
              <w:rPr>
                <w:rStyle w:val="Hyperlink"/>
                <w:noProof/>
              </w:rPr>
              <w:t>Mentions de source des figures</w:t>
            </w:r>
            <w:r w:rsidR="00EB6B5D">
              <w:rPr>
                <w:noProof/>
                <w:webHidden/>
              </w:rPr>
              <w:tab/>
            </w:r>
            <w:r w:rsidR="00EB6B5D">
              <w:rPr>
                <w:noProof/>
                <w:webHidden/>
              </w:rPr>
              <w:fldChar w:fldCharType="begin"/>
            </w:r>
            <w:r w:rsidR="00EB6B5D">
              <w:rPr>
                <w:noProof/>
                <w:webHidden/>
              </w:rPr>
              <w:instrText xml:space="preserve"> PAGEREF _Toc176864684 \h </w:instrText>
            </w:r>
            <w:r w:rsidR="00EB6B5D">
              <w:rPr>
                <w:noProof/>
                <w:webHidden/>
              </w:rPr>
            </w:r>
            <w:r w:rsidR="00EB6B5D">
              <w:rPr>
                <w:noProof/>
                <w:webHidden/>
              </w:rPr>
              <w:fldChar w:fldCharType="separate"/>
            </w:r>
            <w:r w:rsidR="00010123">
              <w:rPr>
                <w:noProof/>
                <w:webHidden/>
              </w:rPr>
              <w:t>368</w:t>
            </w:r>
            <w:r w:rsidR="00EB6B5D">
              <w:rPr>
                <w:noProof/>
                <w:webHidden/>
              </w:rPr>
              <w:fldChar w:fldCharType="end"/>
            </w:r>
          </w:hyperlink>
        </w:p>
        <w:p w14:paraId="09F83499" w14:textId="742C8028" w:rsidR="00EB6B5D" w:rsidRDefault="00EB6B5D">
          <w:r>
            <w:rPr>
              <w:b/>
              <w:bCs/>
              <w:noProof/>
            </w:rPr>
            <w:fldChar w:fldCharType="end"/>
          </w:r>
        </w:p>
      </w:sdtContent>
    </w:sdt>
    <w:p w14:paraId="42AE1318" w14:textId="0A4DE4E7" w:rsidR="00665C52" w:rsidRDefault="00EB6B5D">
      <w:pPr>
        <w:spacing w:after="0"/>
      </w:pPr>
      <w:r>
        <w:br w:type="page"/>
      </w:r>
    </w:p>
    <w:p w14:paraId="477FC17A" w14:textId="77777777" w:rsidR="0084489F" w:rsidRDefault="00110FE6">
      <w:pPr>
        <w:pStyle w:val="Heading1"/>
      </w:pPr>
      <w:bookmarkStart w:id="1" w:name="_Toc176864401"/>
      <w:bookmarkStart w:id="2" w:name="preface-des-traducteurtrices"/>
      <w:bookmarkEnd w:id="0"/>
      <w:r w:rsidRPr="246FBB6F">
        <w:rPr>
          <w:lang w:val="fr-FR"/>
        </w:rPr>
        <w:lastRenderedPageBreak/>
        <w:t>Préface des traducteur·trice·s</w:t>
      </w:r>
      <w:bookmarkEnd w:id="1"/>
    </w:p>
    <w:p w14:paraId="0B2E3EF0" w14:textId="77777777" w:rsidR="0084489F" w:rsidRDefault="00110FE6">
      <w:pPr>
        <w:pStyle w:val="FirstParagraph"/>
      </w:pPr>
      <w:r>
        <w:t>Le Modèle conceptuel de référence du Comité international pour la documentation du Conseil international des musées (ci-après « CIDOC CRM ») est la norme qu’utilisent de nombreuses organisations patrimoniales pour l’échange et l’intégration des jeux de données et des spécifications relatifs aux collections muséales. À l’heure actuelle, il est développé et maintenu à jour exclusivement en anglais par le CRM SIG, un sous-groupe du Conseil international des musées (ICOM). Or, une réutilisation de contenus sémantiques francophones repose en grande partie, et pour beaucoup d’organisations, sur la disponibilité d’une version traduite à jour et réutilisable du CIDOC CRM.</w:t>
      </w:r>
    </w:p>
    <w:p w14:paraId="083139F5" w14:textId="77777777" w:rsidR="0084489F" w:rsidRDefault="00110FE6">
      <w:pPr>
        <w:pStyle w:val="BodyText"/>
      </w:pPr>
      <w:r>
        <w:t>C'est l'objectif de cette traduction que d'offrir une version en français stable, rigoureuse et accessible à la communauté patrimoniale. Elle a été réalisée par un regroupement de professionnels dont l'expertise porte sur les données ouvertes et liées, le patrimoine, la traduction, le catalogage ainsi que l'analyse de données muséales.</w:t>
      </w:r>
    </w:p>
    <w:p w14:paraId="63892B64" w14:textId="77777777" w:rsidR="0084489F" w:rsidRDefault="00110FE6">
      <w:pPr>
        <w:pStyle w:val="BodyText"/>
      </w:pPr>
      <w:r>
        <w:t>Les termes et formulations choisis font l’objet de recherches et de discussions exhaustives qui sont, lorsque c’est pertinent, recensées dans les sections consacrées aux notes de traduction de chaque tableau. Ces choix ne sont donc pas arbitraires et reposent d’abord et avant tout sur les quatre principes suivants :</w:t>
      </w:r>
    </w:p>
    <w:p w14:paraId="20528ECB" w14:textId="77777777" w:rsidR="0084489F" w:rsidRDefault="00110FE6" w:rsidP="00806324">
      <w:pPr>
        <w:numPr>
          <w:ilvl w:val="0"/>
          <w:numId w:val="1"/>
        </w:numPr>
      </w:pPr>
      <w:r w:rsidRPr="246FBB6F">
        <w:rPr>
          <w:lang w:val="fr-FR"/>
        </w:rPr>
        <w:t>signification (c.-à-d. transmission du sens initial du texte plutôt que reproduction d'un équivalent littéral en français);</w:t>
      </w:r>
    </w:p>
    <w:p w14:paraId="1A3CD811" w14:textId="77777777" w:rsidR="0084489F" w:rsidRDefault="00110FE6" w:rsidP="00806324">
      <w:pPr>
        <w:numPr>
          <w:ilvl w:val="0"/>
          <w:numId w:val="1"/>
        </w:numPr>
      </w:pPr>
      <w:r w:rsidRPr="246FBB6F">
        <w:rPr>
          <w:lang w:val="fr-FR"/>
        </w:rPr>
        <w:t>précision (c.-à-d. choix des termes les plus appropriés de manière uniforme et ajout de notes explicatives au sein du texte lorsque cela s’avère nécessaire);</w:t>
      </w:r>
    </w:p>
    <w:p w14:paraId="2B39C13E" w14:textId="77777777" w:rsidR="0084489F" w:rsidRDefault="00110FE6" w:rsidP="00806324">
      <w:pPr>
        <w:numPr>
          <w:ilvl w:val="0"/>
          <w:numId w:val="1"/>
        </w:numPr>
      </w:pPr>
      <w:r w:rsidRPr="246FBB6F">
        <w:rPr>
          <w:lang w:val="fr-FR"/>
        </w:rPr>
        <w:t>simplicité (c.-à-d. formulations les plus simples et courtes possibles);</w:t>
      </w:r>
    </w:p>
    <w:p w14:paraId="61B742C9" w14:textId="77777777" w:rsidR="0084489F" w:rsidRDefault="00110FE6" w:rsidP="00806324">
      <w:pPr>
        <w:numPr>
          <w:ilvl w:val="0"/>
          <w:numId w:val="1"/>
        </w:numPr>
      </w:pPr>
      <w:r w:rsidRPr="246FBB6F">
        <w:rPr>
          <w:lang w:val="fr-FR"/>
        </w:rPr>
        <w:t>inclusivité (c.-à-d. formulations non genrées autant que possible et usage du point médian à des fins d'inclusivité).</w:t>
      </w:r>
    </w:p>
    <w:p w14:paraId="4E89FC00" w14:textId="77777777" w:rsidR="0084489F" w:rsidRDefault="00110FE6">
      <w:pPr>
        <w:pStyle w:val="FirstParagraph"/>
      </w:pPr>
      <w:r>
        <w:t xml:space="preserve">Des précisions méthodologiques, gabarits et contenus pédagogiques sont disponibles sur le site web de la Traduction en français du CIDOC CRM au </w:t>
      </w:r>
      <w:hyperlink r:id="rId14">
        <w:r>
          <w:rPr>
            <w:rStyle w:val="Hyperlink"/>
          </w:rPr>
          <w:t>https://cidoc-crm-fr.info/</w:t>
        </w:r>
      </w:hyperlink>
      <w:r>
        <w:t>.</w:t>
      </w:r>
    </w:p>
    <w:p w14:paraId="1E9563D1" w14:textId="77777777" w:rsidR="0084489F" w:rsidRDefault="00110FE6">
      <w:pPr>
        <w:pStyle w:val="BodyText"/>
      </w:pPr>
      <w:r>
        <w:t>Depuis la publication de la version 7.1.2, les entités ayant subi des changements substantiels incluent :</w:t>
      </w:r>
    </w:p>
    <w:p w14:paraId="64231E44" w14:textId="77777777" w:rsidR="0084489F" w:rsidRDefault="00110FE6" w:rsidP="00806324">
      <w:pPr>
        <w:numPr>
          <w:ilvl w:val="0"/>
          <w:numId w:val="2"/>
        </w:numPr>
      </w:pPr>
      <w:r w:rsidRPr="246FBB6F">
        <w:rPr>
          <w:rStyle w:val="VerbatimChar"/>
          <w:lang w:val="fr-FR"/>
        </w:rPr>
        <w:t>E4_Période</w:t>
      </w:r>
      <w:r w:rsidRPr="246FBB6F">
        <w:rPr>
          <w:lang w:val="fr-FR"/>
        </w:rPr>
        <w:t>;</w:t>
      </w:r>
    </w:p>
    <w:p w14:paraId="324D12A3" w14:textId="77777777" w:rsidR="0084489F" w:rsidRDefault="00110FE6" w:rsidP="00806324">
      <w:pPr>
        <w:numPr>
          <w:ilvl w:val="0"/>
          <w:numId w:val="2"/>
        </w:numPr>
      </w:pPr>
      <w:r w:rsidRPr="246FBB6F">
        <w:rPr>
          <w:rStyle w:val="VerbatimChar"/>
          <w:lang w:val="fr-FR"/>
        </w:rPr>
        <w:t>P7_a_eu_lieu_dans (a_été_témoin_de)</w:t>
      </w:r>
      <w:r w:rsidRPr="246FBB6F">
        <w:rPr>
          <w:lang w:val="fr-FR"/>
        </w:rPr>
        <w:t>;</w:t>
      </w:r>
    </w:p>
    <w:p w14:paraId="51D0BB53" w14:textId="77777777" w:rsidR="0084489F" w:rsidRDefault="00110FE6" w:rsidP="00806324">
      <w:pPr>
        <w:numPr>
          <w:ilvl w:val="0"/>
          <w:numId w:val="2"/>
        </w:numPr>
      </w:pPr>
      <w:r w:rsidRPr="246FBB6F">
        <w:rPr>
          <w:rStyle w:val="VerbatimChar"/>
          <w:lang w:val="fr-FR"/>
        </w:rPr>
        <w:t>P103_a_eu_pour_raison_d’être (a_été_la_raison_d’être_de)</w:t>
      </w:r>
      <w:r w:rsidRPr="246FBB6F">
        <w:rPr>
          <w:lang w:val="fr-FR"/>
        </w:rPr>
        <w:t>;</w:t>
      </w:r>
    </w:p>
    <w:p w14:paraId="4FAF3D43" w14:textId="77777777" w:rsidR="0084489F" w:rsidRDefault="00110FE6" w:rsidP="00806324">
      <w:pPr>
        <w:numPr>
          <w:ilvl w:val="0"/>
          <w:numId w:val="2"/>
        </w:numPr>
      </w:pPr>
      <w:r w:rsidRPr="246FBB6F">
        <w:rPr>
          <w:rStyle w:val="VerbatimChar"/>
          <w:lang w:val="fr-FR"/>
        </w:rPr>
        <w:t>P161_a_pour_projection_spatiale (est_la_projection_spatiale_de)</w:t>
      </w:r>
      <w:r w:rsidRPr="246FBB6F">
        <w:rPr>
          <w:lang w:val="fr-FR"/>
        </w:rPr>
        <w:t>.</w:t>
      </w:r>
    </w:p>
    <w:p w14:paraId="10CE1294" w14:textId="77777777" w:rsidR="0084489F" w:rsidRDefault="00110FE6">
      <w:pPr>
        <w:pStyle w:val="FirstParagraph"/>
      </w:pPr>
      <w:r w:rsidRPr="246FBB6F">
        <w:rPr>
          <w:lang w:val="fr-FR"/>
        </w:rPr>
        <w:t>Ceci est une traduction de la version (7.1.3) miroir du standard officiel ISO 21127:2023 , lequel remplace la précédente version officielle ISO 21127:2014.</w:t>
      </w:r>
    </w:p>
    <w:p w14:paraId="19131394" w14:textId="77777777" w:rsidR="00DF071D" w:rsidRDefault="00DF071D" w:rsidP="00DF071D">
      <w:pPr>
        <w:pStyle w:val="BodyText"/>
      </w:pPr>
    </w:p>
    <w:p w14:paraId="17C0F1D5" w14:textId="77777777" w:rsidR="00DF071D" w:rsidRPr="00DF071D" w:rsidRDefault="00DF071D" w:rsidP="00DF071D">
      <w:pPr>
        <w:pStyle w:val="BodyText"/>
      </w:pPr>
    </w:p>
    <w:p w14:paraId="4CAB6612" w14:textId="77777777" w:rsidR="0084489F" w:rsidRDefault="00110FE6">
      <w:pPr>
        <w:pStyle w:val="Heading1"/>
      </w:pPr>
      <w:bookmarkStart w:id="3" w:name="_Toc176864402"/>
      <w:bookmarkStart w:id="4" w:name="X320c53a66ab821ca8a7abb0e20fe5057b3e6114"/>
      <w:bookmarkEnd w:id="2"/>
      <w:r w:rsidRPr="246FBB6F">
        <w:rPr>
          <w:lang w:val="fr-FR"/>
        </w:rPr>
        <w:lastRenderedPageBreak/>
        <w:t>Comment interpréter les tableaux et les interventions des traducteur·trice·s</w:t>
      </w:r>
      <w:bookmarkEnd w:id="3"/>
    </w:p>
    <w:p w14:paraId="6677A41E" w14:textId="77777777" w:rsidR="0084489F" w:rsidRDefault="00110FE6">
      <w:pPr>
        <w:pStyle w:val="FirstParagraph"/>
      </w:pPr>
      <w:r>
        <w:t>Les classes et propriétés sont signalées par une police et un surlignage qui permet de rapidement les distinguer (voir exemple ci-bas). La mise en page par tableau est utilisée pour définir en sections des ensembles de textes traduits.</w:t>
      </w:r>
    </w:p>
    <w:p w14:paraId="16DFFC1A" w14:textId="77777777" w:rsidR="0084489F" w:rsidRDefault="00110FE6">
      <w:pPr>
        <w:pStyle w:val="BodyText"/>
      </w:pPr>
      <w:r>
        <w:t>Les lignes intitulées « Notes de traduction » et « Références » sont utilisées pour bonifier la traduction de précisions ou de références utilisées lors de celle-ci. De plus, il arrive que l'ajout de notes explicatives dans le texte soit nécessaire à sa compréhension. Lorsque c'est le cas, celles-ci sont ajoutées entre crochets et précédées de la mention « n.d.t. ».</w:t>
      </w:r>
    </w:p>
    <w:p w14:paraId="29D725D2" w14:textId="77777777" w:rsidR="0084489F" w:rsidRDefault="00110FE6">
      <w:pPr>
        <w:pStyle w:val="BodyText"/>
      </w:pPr>
      <w:r w:rsidRPr="246FBB6F">
        <w:rPr>
          <w:lang w:val="fr-FR"/>
        </w:rPr>
        <w:t>À titre d'exemple, dans l'enregistrement suivant, les éléments en bleu et en caractères gras sont des additions des traducteur·trice·s (N.B. une partie du texte a été retirée à des fins de simplification, la définition complète se trouve en corps de texte) :</w:t>
      </w:r>
    </w:p>
    <w:p w14:paraId="55993159" w14:textId="77777777" w:rsidR="00DF071D" w:rsidRPr="00DF071D" w:rsidRDefault="00DF071D" w:rsidP="00DF071D">
      <w:pPr>
        <w:spacing w:after="180"/>
        <w:rPr>
          <w:b/>
          <w:bCs/>
          <w:sz w:val="28"/>
          <w:szCs w:val="28"/>
        </w:rPr>
      </w:pPr>
      <w:r w:rsidRPr="00DF071D">
        <w:rPr>
          <w:b/>
          <w:bCs/>
          <w:sz w:val="28"/>
          <w:szCs w:val="28"/>
        </w:rPr>
        <w:t>E18 Chose matérielle</w:t>
      </w:r>
    </w:p>
    <w:p w14:paraId="71070483" w14:textId="77777777" w:rsidR="00DF071D" w:rsidRPr="00DF071D" w:rsidRDefault="00DF071D" w:rsidP="00DF071D">
      <w:pPr>
        <w:spacing w:after="0"/>
      </w:pPr>
      <w:r w:rsidRPr="00DF071D">
        <w:t>Sous-classe de</w:t>
      </w:r>
    </w:p>
    <w:p w14:paraId="354505FC" w14:textId="77777777" w:rsidR="00DF071D" w:rsidRPr="00DF071D" w:rsidRDefault="00DF071D" w:rsidP="00DF071D">
      <w:pPr>
        <w:spacing w:after="100"/>
        <w:ind w:firstLine="720"/>
        <w:rPr>
          <w:rFonts w:ascii="Consolas" w:hAnsi="Consolas"/>
          <w:sz w:val="22"/>
          <w:shd w:val="clear" w:color="auto" w:fill="EAEEF3"/>
        </w:rPr>
      </w:pPr>
      <w:r w:rsidRPr="00DF071D">
        <w:rPr>
          <w:rFonts w:ascii="Consolas" w:hAnsi="Consolas"/>
          <w:sz w:val="22"/>
          <w:shd w:val="clear" w:color="auto" w:fill="EAEEF3"/>
        </w:rPr>
        <w:t xml:space="preserve">E72_Objet_juridique </w:t>
      </w:r>
    </w:p>
    <w:p w14:paraId="340359B5" w14:textId="77777777" w:rsidR="00DF071D" w:rsidRPr="00DF071D" w:rsidRDefault="00DF071D" w:rsidP="00DF071D">
      <w:pPr>
        <w:spacing w:after="0"/>
      </w:pPr>
      <w:r w:rsidRPr="00DF071D">
        <w:t>Super-classe de</w:t>
      </w:r>
    </w:p>
    <w:p w14:paraId="7F954154" w14:textId="77777777" w:rsidR="00DF071D" w:rsidRPr="00DF071D" w:rsidRDefault="00DF071D" w:rsidP="00DF071D">
      <w:pPr>
        <w:spacing w:after="0"/>
        <w:ind w:firstLine="720"/>
      </w:pPr>
      <w:r w:rsidRPr="00DF071D">
        <w:rPr>
          <w:rFonts w:ascii="Consolas" w:hAnsi="Consolas"/>
          <w:sz w:val="22"/>
          <w:shd w:val="clear" w:color="auto" w:fill="EAEEF3"/>
        </w:rPr>
        <w:t>E19_Objet_matérielE24_Chose_matérielle_élaborée_par_l’humain</w:t>
      </w:r>
    </w:p>
    <w:p w14:paraId="1BF825C9" w14:textId="77777777" w:rsidR="00DF071D" w:rsidRPr="00DF071D" w:rsidRDefault="00DF071D" w:rsidP="00DF071D">
      <w:pPr>
        <w:spacing w:after="0"/>
        <w:ind w:firstLine="720"/>
      </w:pPr>
      <w:r w:rsidRPr="00DF071D">
        <w:rPr>
          <w:rFonts w:ascii="Consolas" w:hAnsi="Consolas"/>
          <w:sz w:val="22"/>
          <w:shd w:val="clear" w:color="auto" w:fill="EAEEF3"/>
        </w:rPr>
        <w:t>E26_Caractéristique_physique</w:t>
      </w:r>
    </w:p>
    <w:p w14:paraId="19CE43A6" w14:textId="77777777" w:rsidR="00DF071D" w:rsidRPr="00DF071D" w:rsidRDefault="00DF071D" w:rsidP="00DF071D">
      <w:pPr>
        <w:spacing w:before="180" w:after="0"/>
      </w:pPr>
      <w:r w:rsidRPr="00DF071D">
        <w:t>Note d’application</w:t>
      </w:r>
    </w:p>
    <w:p w14:paraId="1905F08D" w14:textId="77777777" w:rsidR="00DF071D" w:rsidRPr="00DF071D" w:rsidRDefault="00DF071D" w:rsidP="00DF071D">
      <w:pPr>
        <w:spacing w:after="0"/>
        <w:ind w:left="709"/>
      </w:pPr>
      <w:r w:rsidRPr="00DF071D">
        <w:t xml:space="preserve">Cette classe comprend toutes les entités physiques persistantes présentant une forme raisonnablement stable, </w:t>
      </w:r>
      <w:r w:rsidRPr="00DF071D">
        <w:rPr>
          <w:b/>
          <w:bCs/>
          <w:color w:val="4F81BD" w:themeColor="accent1"/>
        </w:rPr>
        <w:t>[n.d.t. qu’elles aient été]</w:t>
      </w:r>
      <w:r w:rsidRPr="00DF071D">
        <w:t xml:space="preserve"> élaborées par l’humain ou </w:t>
      </w:r>
      <w:r w:rsidRPr="00DF071D">
        <w:rPr>
          <w:b/>
          <w:bCs/>
          <w:color w:val="4F81BD" w:themeColor="accent1"/>
        </w:rPr>
        <w:t>[n.d.t. qu’elles soient]</w:t>
      </w:r>
      <w:r w:rsidRPr="00DF071D">
        <w:t xml:space="preserve"> naturelles.</w:t>
      </w:r>
    </w:p>
    <w:p w14:paraId="13EA225F" w14:textId="77777777" w:rsidR="00DF071D" w:rsidRPr="00DF071D" w:rsidRDefault="00DF071D" w:rsidP="00DF071D">
      <w:pPr>
        <w:spacing w:before="180" w:after="180"/>
      </w:pPr>
      <w:r w:rsidRPr="00DF071D">
        <w:t>Exemples</w:t>
      </w:r>
    </w:p>
    <w:p w14:paraId="1835657D" w14:textId="77777777" w:rsidR="00DF071D" w:rsidRPr="00DF071D" w:rsidRDefault="00DF071D" w:rsidP="00806324">
      <w:pPr>
        <w:numPr>
          <w:ilvl w:val="0"/>
          <w:numId w:val="2"/>
        </w:numPr>
        <w:spacing w:after="0"/>
      </w:pPr>
      <w:r w:rsidRPr="246FBB6F">
        <w:rPr>
          <w:lang w:val="fr-FR"/>
        </w:rPr>
        <w:t>Le diamant Cullinan (E19_Objet_matériel) (Scarratt et Shor, 2006)</w:t>
      </w:r>
    </w:p>
    <w:p w14:paraId="5383311E" w14:textId="77777777" w:rsidR="00DF071D" w:rsidRPr="00DF071D" w:rsidRDefault="00DF071D" w:rsidP="00806324">
      <w:pPr>
        <w:numPr>
          <w:ilvl w:val="0"/>
          <w:numId w:val="2"/>
        </w:numPr>
        <w:spacing w:after="0"/>
      </w:pPr>
      <w:r w:rsidRPr="246FBB6F">
        <w:rPr>
          <w:lang w:val="fr-FR"/>
        </w:rPr>
        <w:t xml:space="preserve">La grotte </w:t>
      </w:r>
      <w:r w:rsidRPr="246FBB6F">
        <w:rPr>
          <w:i/>
          <w:iCs/>
          <w:lang w:val="fr-FR"/>
        </w:rPr>
        <w:t>Ideon Andron</w:t>
      </w:r>
      <w:r w:rsidRPr="246FBB6F">
        <w:rPr>
          <w:lang w:val="fr-FR"/>
        </w:rPr>
        <w:t xml:space="preserve"> en Crète (E26_Caractéristique_physique) (Smith, 1844-49)</w:t>
      </w:r>
    </w:p>
    <w:p w14:paraId="6B003B64" w14:textId="77777777" w:rsidR="00DF071D" w:rsidRPr="00DF071D" w:rsidRDefault="00DF071D" w:rsidP="00806324">
      <w:pPr>
        <w:numPr>
          <w:ilvl w:val="0"/>
          <w:numId w:val="2"/>
        </w:numPr>
        <w:spacing w:after="0"/>
      </w:pPr>
      <w:r w:rsidRPr="246FBB6F">
        <w:rPr>
          <w:lang w:val="fr-FR"/>
        </w:rPr>
        <w:t xml:space="preserve">La </w:t>
      </w:r>
      <w:r w:rsidRPr="246FBB6F">
        <w:rPr>
          <w:i/>
          <w:iCs/>
          <w:lang w:val="fr-FR"/>
        </w:rPr>
        <w:t>Monna Lisa</w:t>
      </w:r>
      <w:r w:rsidRPr="246FBB6F">
        <w:rPr>
          <w:lang w:val="fr-FR"/>
        </w:rPr>
        <w:t xml:space="preserve"> (E22_Objet_élaboré_par_l’humain) (Mohem, 2006)</w:t>
      </w:r>
    </w:p>
    <w:p w14:paraId="02F34FF6" w14:textId="77777777" w:rsidR="00DF071D" w:rsidRPr="00DF071D" w:rsidRDefault="00DF071D" w:rsidP="00DF071D">
      <w:pPr>
        <w:spacing w:before="180" w:after="180"/>
        <w:ind w:left="709" w:hanging="709"/>
      </w:pPr>
      <w:r w:rsidRPr="00DF071D">
        <w:t>Logique</w:t>
      </w:r>
      <w:r w:rsidRPr="00DF071D">
        <w:br/>
        <w:t>E18(x) ⇒ E72(x)</w:t>
      </w:r>
    </w:p>
    <w:p w14:paraId="4B4F41BF" w14:textId="77777777" w:rsidR="00DF071D" w:rsidRPr="00DF071D" w:rsidRDefault="00DF071D" w:rsidP="00DF071D">
      <w:pPr>
        <w:spacing w:before="180" w:after="180"/>
        <w:ind w:left="709" w:hanging="709"/>
      </w:pPr>
      <w:r w:rsidRPr="246FBB6F">
        <w:rPr>
          <w:lang w:val="fr-FR"/>
        </w:rPr>
        <w:t>Propriétés</w:t>
      </w:r>
      <w:r w:rsidRPr="00DF071D">
        <w:br/>
      </w:r>
      <w:r w:rsidRPr="246FBB6F">
        <w:rPr>
          <w:rFonts w:ascii="Consolas" w:hAnsi="Consolas"/>
          <w:sz w:val="22"/>
          <w:szCs w:val="22"/>
          <w:shd w:val="clear" w:color="auto" w:fill="EAEEF3"/>
          <w:lang w:val="fr-FR"/>
        </w:rPr>
        <w:t>P44_a_pour_état_matériel (est_l’état_matériel_de)</w:t>
      </w:r>
      <w:r w:rsidRPr="246FBB6F">
        <w:rPr>
          <w:lang w:val="fr-FR"/>
        </w:rPr>
        <w:t xml:space="preserve"> : </w:t>
      </w:r>
      <w:r w:rsidRPr="246FBB6F">
        <w:rPr>
          <w:rFonts w:ascii="Consolas" w:hAnsi="Consolas"/>
          <w:sz w:val="22"/>
          <w:szCs w:val="22"/>
          <w:shd w:val="clear" w:color="auto" w:fill="EAEEF3"/>
          <w:lang w:val="fr-FR"/>
        </w:rPr>
        <w:t>E3_État_matériel</w:t>
      </w:r>
      <w:r w:rsidRPr="00DF071D">
        <w:br/>
      </w:r>
      <w:r w:rsidRPr="246FBB6F">
        <w:rPr>
          <w:rFonts w:ascii="Consolas" w:hAnsi="Consolas"/>
          <w:sz w:val="22"/>
          <w:szCs w:val="22"/>
          <w:shd w:val="clear" w:color="auto" w:fill="EAEEF3"/>
          <w:lang w:val="fr-FR"/>
        </w:rPr>
        <w:t>P45_comprend (est_inclus_dans)</w:t>
      </w:r>
      <w:r w:rsidRPr="246FBB6F">
        <w:rPr>
          <w:lang w:val="fr-FR"/>
        </w:rPr>
        <w:t xml:space="preserve"> : </w:t>
      </w:r>
      <w:r w:rsidRPr="246FBB6F">
        <w:rPr>
          <w:rFonts w:ascii="Consolas" w:hAnsi="Consolas"/>
          <w:sz w:val="22"/>
          <w:szCs w:val="22"/>
          <w:shd w:val="clear" w:color="auto" w:fill="EAEEF3"/>
          <w:lang w:val="fr-FR"/>
        </w:rPr>
        <w:t>E57_Matériau</w:t>
      </w:r>
    </w:p>
    <w:p w14:paraId="3A9A0AC4" w14:textId="77777777" w:rsidR="00DF071D" w:rsidRPr="00DF071D" w:rsidRDefault="00DF071D" w:rsidP="00DF071D">
      <w:pPr>
        <w:spacing w:after="100"/>
        <w:ind w:firstLine="709"/>
        <w:rPr>
          <w:color w:val="4F81BD" w:themeColor="accent1"/>
          <w:sz w:val="22"/>
          <w:szCs w:val="22"/>
        </w:rPr>
      </w:pPr>
      <w:r w:rsidRPr="00DF071D">
        <w:rPr>
          <w:b/>
          <w:bCs/>
          <w:i/>
          <w:iCs/>
          <w:color w:val="4F81BD" w:themeColor="accent1"/>
          <w:sz w:val="22"/>
          <w:szCs w:val="22"/>
        </w:rPr>
        <w:t>Note de traduction</w:t>
      </w:r>
    </w:p>
    <w:p w14:paraId="429BCB88" w14:textId="77777777" w:rsidR="00DF071D" w:rsidRPr="00DF071D" w:rsidRDefault="00DF071D" w:rsidP="246FBB6F">
      <w:pPr>
        <w:spacing w:after="0"/>
        <w:ind w:left="709"/>
        <w:rPr>
          <w:color w:val="4F81BD" w:themeColor="accent1"/>
          <w:sz w:val="22"/>
          <w:szCs w:val="22"/>
          <w:lang w:val="fr-FR"/>
        </w:rPr>
      </w:pPr>
      <w:r w:rsidRPr="246FBB6F">
        <w:rPr>
          <w:color w:val="4F81BD" w:themeColor="accent1"/>
          <w:sz w:val="22"/>
          <w:szCs w:val="22"/>
          <w:lang w:val="fr-FR"/>
        </w:rPr>
        <w:t>Dans la première phrase de la note d’application, il existe une incertitude à savoir si « human-made » et « natural » font référence aux « items » ou à la « stable form ». Cette incertitude n’empêche pas la compréhension de la phrase, mais la décision a été prise de faire référence aux « items » par l’ajout de « qu’elles soient ».</w:t>
      </w:r>
    </w:p>
    <w:p w14:paraId="6DDC0170" w14:textId="77777777" w:rsidR="00DF071D" w:rsidRPr="00DF071D" w:rsidRDefault="00DF071D" w:rsidP="00DF071D">
      <w:pPr>
        <w:spacing w:before="180" w:after="180"/>
        <w:ind w:firstLine="709"/>
        <w:rPr>
          <w:color w:val="4F81BD" w:themeColor="accent1"/>
          <w:sz w:val="22"/>
          <w:szCs w:val="22"/>
        </w:rPr>
      </w:pPr>
      <w:r w:rsidRPr="00DF071D">
        <w:rPr>
          <w:b/>
          <w:bCs/>
          <w:i/>
          <w:iCs/>
          <w:color w:val="4F81BD" w:themeColor="accent1"/>
          <w:sz w:val="22"/>
          <w:szCs w:val="22"/>
        </w:rPr>
        <w:t>Références</w:t>
      </w:r>
    </w:p>
    <w:p w14:paraId="22A233C7" w14:textId="77777777" w:rsidR="00CD44D3" w:rsidRDefault="00DF071D" w:rsidP="246FBB6F">
      <w:pPr>
        <w:spacing w:before="180" w:after="180"/>
        <w:ind w:left="709"/>
        <w:rPr>
          <w:color w:val="4F81BD" w:themeColor="accent1"/>
          <w:sz w:val="22"/>
          <w:szCs w:val="22"/>
          <w:lang w:val="fr-FR"/>
        </w:rPr>
        <w:sectPr w:rsidR="00CD44D3" w:rsidSect="00665C52">
          <w:footerReference w:type="default" r:id="rId15"/>
          <w:pgSz w:w="12240" w:h="15840"/>
          <w:pgMar w:top="720" w:right="720" w:bottom="720" w:left="720" w:header="0" w:footer="0" w:gutter="0"/>
          <w:pgNumType w:fmt="lowerRoman"/>
          <w:cols w:space="720"/>
          <w:formProt w:val="0"/>
          <w:docGrid w:linePitch="326"/>
        </w:sectPr>
      </w:pPr>
      <w:r w:rsidRPr="246FBB6F">
        <w:rPr>
          <w:color w:val="4F81BD" w:themeColor="accent1"/>
          <w:sz w:val="22"/>
          <w:szCs w:val="22"/>
          <w:lang w:val="fr-FR"/>
        </w:rPr>
        <w:t xml:space="preserve">De Vinci, Léonard. </w:t>
      </w:r>
      <w:r w:rsidRPr="246FBB6F">
        <w:rPr>
          <w:i/>
          <w:iCs/>
          <w:color w:val="4F81BD" w:themeColor="accent1"/>
          <w:sz w:val="22"/>
          <w:szCs w:val="22"/>
          <w:lang w:val="fr-FR"/>
        </w:rPr>
        <w:t>Portrait de Lisa Gherardini, épouse de Francesco del Giocondo, dit La Joconde ou Monna Lisa</w:t>
      </w:r>
      <w:r w:rsidRPr="246FBB6F">
        <w:rPr>
          <w:color w:val="4F81BD" w:themeColor="accent1"/>
          <w:sz w:val="22"/>
          <w:szCs w:val="22"/>
          <w:lang w:val="fr-FR"/>
        </w:rPr>
        <w:t xml:space="preserve">. 1503. Huile sur bois (peuplier), 77 x 53 cm. Salle 711. Musée du Louvre. </w:t>
      </w:r>
      <w:hyperlink r:id="rId16">
        <w:r w:rsidRPr="246FBB6F">
          <w:rPr>
            <w:color w:val="4F81BD" w:themeColor="accent1"/>
            <w:sz w:val="22"/>
            <w:szCs w:val="22"/>
            <w:lang w:val="fr-FR"/>
          </w:rPr>
          <w:t>https://collections.louvre.fr/en/ark:/53355/cl010062370</w:t>
        </w:r>
      </w:hyperlink>
      <w:r w:rsidRPr="246FBB6F">
        <w:rPr>
          <w:color w:val="4F81BD" w:themeColor="accent1"/>
          <w:sz w:val="22"/>
          <w:szCs w:val="22"/>
          <w:lang w:val="fr-FR"/>
        </w:rPr>
        <w:t>.</w:t>
      </w:r>
    </w:p>
    <w:p w14:paraId="11A6A64E" w14:textId="77777777" w:rsidR="0084489F" w:rsidRDefault="00110FE6">
      <w:pPr>
        <w:pStyle w:val="Heading1"/>
      </w:pPr>
      <w:bookmarkStart w:id="5" w:name="_Toc176864403"/>
      <w:bookmarkStart w:id="6" w:name="contenus-traduits"/>
      <w:bookmarkEnd w:id="4"/>
      <w:r>
        <w:lastRenderedPageBreak/>
        <w:t>Contenus traduits</w:t>
      </w:r>
      <w:bookmarkEnd w:id="5"/>
    </w:p>
    <w:p w14:paraId="59509BEA" w14:textId="77777777" w:rsidR="00DF071D" w:rsidRPr="00ED5D84" w:rsidRDefault="00DF071D" w:rsidP="00DF071D">
      <w:pPr>
        <w:pStyle w:val="BodyText"/>
        <w:spacing w:after="0"/>
      </w:pPr>
      <w:r>
        <w:t>Les sections suivantes jusqu’à la « Bibliographie de la traduction » ont été traduites à partir de la version originale en anglais.</w:t>
      </w:r>
    </w:p>
    <w:p w14:paraId="4146C67E" w14:textId="2D8FE069" w:rsidR="0084489F" w:rsidRDefault="00DF071D">
      <w:pPr>
        <w:pStyle w:val="Heading1"/>
      </w:pPr>
      <w:bookmarkStart w:id="7" w:name="_Toc176864404"/>
      <w:bookmarkStart w:id="8" w:name="cidoc-crm-version-7.1.3"/>
      <w:bookmarkEnd w:id="6"/>
      <w:r>
        <w:t>Introduction</w:t>
      </w:r>
      <w:bookmarkEnd w:id="7"/>
    </w:p>
    <w:p w14:paraId="5339A68A" w14:textId="77777777" w:rsidR="0084489F" w:rsidRDefault="00110FE6">
      <w:pPr>
        <w:pStyle w:val="FirstParagraph"/>
      </w:pPr>
      <w:r w:rsidRPr="246FBB6F">
        <w:rPr>
          <w:lang w:val="fr-FR"/>
        </w:rPr>
        <w:t>Ce document constitue la définition du Modèle conceptuel de référence du Comité international pour la documentation du Conseil international des musées (« CIDOC CRM »), une ontologie formelle qui a pour objectif de faciliter l’intégration, la médiation et l’échange d’informations patrimoniales hétérogènes (ainsi que d'information comparable issue d'autres domaines pertinents détaillés plus bas). Le CIDOC CRM est le résultat du développement de standards par le Comité pour la documentation (CIDOC) du Conseil international des musées (ICOM), un travail qui a commencé en 1996 sous les auspices du Groupe de travail pour les standards en documentation. En 2000, ICOM-CIDOC a officiellement délégué les tâches de développement du CIDOC CRM au Groupe de travail spécial pour CIDOC CRM (CRM SIG ), lequel travaille en collaboration avec le Groupe de travail ISO/TC46/SC4/WG9 afin de veiller à ce que le CIDOC CRM respecte les normes internationales en matière de standards.</w:t>
      </w:r>
    </w:p>
    <w:p w14:paraId="65B6E302" w14:textId="77777777" w:rsidR="0084489F" w:rsidRDefault="00110FE6">
      <w:pPr>
        <w:pStyle w:val="BodyText"/>
      </w:pPr>
      <w:r w:rsidRPr="246FBB6F">
        <w:rPr>
          <w:lang w:val="fr-FR"/>
        </w:rPr>
        <w:t>Ces collaborations ont mené à la publication des documents ISO21127:2004, ISO21127:2014 et ISO21127:2023, les normes ISO (Organisation internationale de normalisation) du CIDOC CRM qui continueront d'être mises à jour. Ce document s'inscrit dans une série de versions évolutives de la définition formelle du CIDOC CRM qui servent de fondements au groupe de travail ISO. Des différences mineures de sémantique et de notation entre les formes ISO et communautaire de cette définition formelle seront harmonisées dans ses versions futures.</w:t>
      </w:r>
    </w:p>
    <w:p w14:paraId="342FACA1" w14:textId="77777777" w:rsidR="0084489F" w:rsidRDefault="00110FE6">
      <w:pPr>
        <w:pStyle w:val="BlockText"/>
      </w:pPr>
      <w:r>
        <w:rPr>
          <w:b/>
          <w:bCs/>
          <w:i/>
          <w:iCs/>
        </w:rPr>
        <w:t>Note de traduction</w:t>
      </w:r>
    </w:p>
    <w:p w14:paraId="23FE5B5B" w14:textId="77777777" w:rsidR="0084489F" w:rsidRDefault="00110FE6">
      <w:pPr>
        <w:pStyle w:val="BlockText"/>
      </w:pPr>
      <w:r w:rsidRPr="246FBB6F">
        <w:rPr>
          <w:lang w:val="fr-FR"/>
        </w:rPr>
        <w:t>L’abréviation la plus utilisée dans le monde francophone pour le modèle demeure son acronyme anglophone (CIDOC CRM ) et c’est celle qui est utilisée dans ce document. Les titres francophones des groupes de travail sont tirés des appellations trouvées sur le site francophone de CIDOC.</w:t>
      </w:r>
    </w:p>
    <w:p w14:paraId="700374BE" w14:textId="77777777" w:rsidR="0084489F" w:rsidRDefault="00110FE6">
      <w:pPr>
        <w:pStyle w:val="BlockText"/>
      </w:pPr>
      <w:r>
        <w:rPr>
          <w:b/>
          <w:bCs/>
          <w:i/>
          <w:iCs/>
        </w:rPr>
        <w:t>Références</w:t>
      </w:r>
    </w:p>
    <w:p w14:paraId="4FA29030" w14:textId="77777777" w:rsidR="0084489F" w:rsidRDefault="00110FE6">
      <w:pPr>
        <w:pStyle w:val="BlockText"/>
      </w:pPr>
      <w:r>
        <w:rPr>
          <w:i/>
          <w:iCs/>
        </w:rPr>
        <w:t>Comité International pour la Documentation de l’ICOM. 2021. « CIDOC ». ICOM CIDOC. 24 février 2021.</w:t>
      </w:r>
      <w:hyperlink r:id="rId17">
        <w:r>
          <w:rPr>
            <w:rStyle w:val="Hyperlink"/>
          </w:rPr>
          <w:t xml:space="preserve">  </w:t>
        </w:r>
      </w:hyperlink>
      <w:hyperlink r:id="rId18">
        <w:r>
          <w:rPr>
            <w:rStyle w:val="Hyperlink"/>
            <w:i/>
            <w:iCs/>
          </w:rPr>
          <w:t>http://cidoc.mini.icom.museum/fr/</w:t>
        </w:r>
      </w:hyperlink>
      <w:r>
        <w:rPr>
          <w:i/>
          <w:iCs/>
        </w:rPr>
        <w:t>.</w:t>
      </w:r>
    </w:p>
    <w:p w14:paraId="2A826252" w14:textId="77777777" w:rsidR="0084489F" w:rsidRDefault="00110FE6">
      <w:pPr>
        <w:pStyle w:val="Heading2"/>
      </w:pPr>
      <w:bookmarkStart w:id="9" w:name="_Toc176864405"/>
      <w:bookmarkStart w:id="10" w:name="objectifs-du-cidoccrm"/>
      <w:r>
        <w:t>Objectifs du CIDOC CRM</w:t>
      </w:r>
      <w:bookmarkEnd w:id="9"/>
    </w:p>
    <w:p w14:paraId="6702B84E" w14:textId="77777777" w:rsidR="0084489F" w:rsidRDefault="00110FE6">
      <w:pPr>
        <w:pStyle w:val="FirstParagraph"/>
      </w:pPr>
      <w:r>
        <w:t>CIDOC CRM a pour principale fonction de favoriser l’échange d’informations et leur intégration parmi des sources hétérogènes d’informations dédiées à la reconstruction et l'interprétation du passé à échelle humaine sur la base de preuves matérielles incluant des textes, du matériel audio-visuel et des traditions orales. Il émane des besoins de documentation et de recherche des musées sur les objets de leurs collections sans pour autant s'y limiter. Il fournit les définitions sémantiques et clarifications nécessaires à la transformation d’informations localisées et disparates grâce à une ressource globale et cohérente [n.d.t. prenant la forme d’une norme de documentation], que ce soit au sein d’une institution de plus grande envergure, d’intranets ou sur Internet pour les rendre utilisables à des fins d'interprétation experte et d'évaluation scientifique. Ces objectifs déterminent le niveau de détail et les construits du CIDOC CRM.</w:t>
      </w:r>
    </w:p>
    <w:p w14:paraId="6E658457" w14:textId="77777777" w:rsidR="0084489F" w:rsidRDefault="00110FE6">
      <w:pPr>
        <w:pStyle w:val="BodyText"/>
      </w:pPr>
      <w:r>
        <w:t xml:space="preserve">Plus spécifiquement, ce modèle définit par une ontologie formelle la </w:t>
      </w:r>
      <w:r>
        <w:rPr>
          <w:b/>
          <w:bCs/>
        </w:rPr>
        <w:t>sémantique</w:t>
      </w:r>
      <w:r>
        <w:t xml:space="preserve"> qui sous-tend les </w:t>
      </w:r>
      <w:r>
        <w:rPr>
          <w:b/>
          <w:bCs/>
        </w:rPr>
        <w:t>schèmes de base de données</w:t>
      </w:r>
      <w:r>
        <w:t xml:space="preserve"> et les </w:t>
      </w:r>
      <w:r>
        <w:rPr>
          <w:b/>
          <w:bCs/>
        </w:rPr>
        <w:t>documents structurés</w:t>
      </w:r>
      <w:r>
        <w:t xml:space="preserve"> utilisés dans le cadre de la documentation en milieu patrimonial ou scientifique. Il définit particulièrement la sémantique portant sur l'étude du passé et sur l'état actuel du monde, une approche caractéristique des musées et d'autres institutions et </w:t>
      </w:r>
      <w:r>
        <w:lastRenderedPageBreak/>
        <w:t xml:space="preserve">disciplines culturelles. Le CIDOC CRM ne définit pas la </w:t>
      </w:r>
      <w:r>
        <w:rPr>
          <w:b/>
          <w:bCs/>
        </w:rPr>
        <w:t>terminologie</w:t>
      </w:r>
      <w:r>
        <w:t xml:space="preserve"> qui se trouve typiquement dans les structures de données sous forme de valeurs, bien qu’il entrevoie les relations caractéristiques nécessaires à son usage [n.d.t. de sorte que le CIDOC CRM précise comment utiliser une classe, mais pas les valeurs qu’elle comprend lorsqu’elle est implémentée]. Il </w:t>
      </w:r>
      <w:r>
        <w:rPr>
          <w:b/>
          <w:bCs/>
        </w:rPr>
        <w:t>n’a pas</w:t>
      </w:r>
      <w:r>
        <w:t xml:space="preserve"> pour objectif d’indiquer ce que les institutions culturelles patrimoniales devraient documenter, mais bien d’expliquer la logique de ce qu’elles documentent afin de favoriser l’</w:t>
      </w:r>
      <w:hyperlink w:anchor="terminologie-interoperabilite-semantique">
        <w:r>
          <w:rPr>
            <w:rStyle w:val="Hyperlink"/>
            <w:b/>
            <w:bCs/>
          </w:rPr>
          <w:t>interopérabilité sémantique</w:t>
        </w:r>
      </w:hyperlink>
      <w:r>
        <w:t>.</w:t>
      </w:r>
    </w:p>
    <w:p w14:paraId="4792EF0C" w14:textId="77777777" w:rsidR="0084489F" w:rsidRDefault="00110FE6">
      <w:pPr>
        <w:pStyle w:val="BodyText"/>
      </w:pPr>
      <w:r>
        <w:t>Le CIDOC CRM propose un modèle des structures intellectuelles de la documentation susmentionnée en termes logiques et n’est donc pas optimisé pour une implémentation spécifique, en particulier en ce qui a trait au stockage et au traitement des données. L’implémentation peut en outre mener à ce que certains éléments des conceptualisations du CIDOC CRM ne soient plus explicites dans le contexte d'une base de données ou d'un système de stockage structuré. Par exemple, un évènement de naissance reliant des éléments tels que le père, la mère, la date et le lieu de naissance peut ne pas être apparent dans une base de données afin de préserver l’espace de stockage et le temps de réponse d’un système. Le CIDOC CRM offre les moyens conceptuels et techniques pour expliquer en quoi ces entités à première vue disparates sont sémantiquement et logiquement interconnectées et comment la capacité d’une base de données à fournir des réponses à des questions de nature intellectuelle est limitée par l’omission de tels liens et éléments.</w:t>
      </w:r>
    </w:p>
    <w:p w14:paraId="6AE9797F" w14:textId="77777777" w:rsidR="0084489F" w:rsidRDefault="00110FE6">
      <w:pPr>
        <w:pStyle w:val="BodyText"/>
      </w:pPr>
      <w:r>
        <w:t>Le CIDOC CRM a pour objectif de soutenir les fonctionnalités spécifiques suivantes :</w:t>
      </w:r>
    </w:p>
    <w:p w14:paraId="19E6EAAF" w14:textId="77777777" w:rsidR="0084489F" w:rsidRDefault="00110FE6" w:rsidP="00806324">
      <w:pPr>
        <w:numPr>
          <w:ilvl w:val="0"/>
          <w:numId w:val="3"/>
        </w:numPr>
      </w:pPr>
      <w:r>
        <w:t>Informer les développeurs de systèmes informatiques grâce à un guide de pratiques exemplaires de la modélisation conceptuelle, et ce, afin de structurer et de lier différents avoirs informationnels de la documentation culturelle.</w:t>
      </w:r>
    </w:p>
    <w:p w14:paraId="4AC604A1" w14:textId="77777777" w:rsidR="0084489F" w:rsidRDefault="00110FE6" w:rsidP="00806324">
      <w:pPr>
        <w:numPr>
          <w:ilvl w:val="0"/>
          <w:numId w:val="3"/>
        </w:numPr>
      </w:pPr>
      <w:r>
        <w:t>Servir de langage commun entre les experts et les développeurs informatiques afin qu’ils puissent identifier leurs besoins et s’entendre sur les fonctionnalités nécessaires à la bonne gestion des contenus culturels.</w:t>
      </w:r>
    </w:p>
    <w:p w14:paraId="29AC7226" w14:textId="77777777" w:rsidR="0084489F" w:rsidRDefault="00110FE6" w:rsidP="00806324">
      <w:pPr>
        <w:numPr>
          <w:ilvl w:val="0"/>
          <w:numId w:val="3"/>
        </w:numPr>
      </w:pPr>
      <w:r>
        <w:t>Servir de langage formel pour l’identification de contenus informationnels communs même lorsqu’ils ont initialement des formats de données disparates. Cela s’applique particulièrement à la transformation automatique de données locales en données globales par l’implémentation d’algorithmes permettant ce transfert sans perte de sens ou de savoirs émanant desdites données. De tels algorithmes s’avèrent particulièrement utiles lors de l’échange ou de la migration de données depuis des systèmes (pré)existants, lors de l’intégration de données informationnelles ou lors de la médiation de données issues de sources disparates.</w:t>
      </w:r>
    </w:p>
    <w:p w14:paraId="57A3F797" w14:textId="77777777" w:rsidR="0084489F" w:rsidRDefault="00110FE6" w:rsidP="00806324">
      <w:pPr>
        <w:numPr>
          <w:ilvl w:val="0"/>
          <w:numId w:val="3"/>
        </w:numPr>
      </w:pPr>
      <w:r>
        <w:t>Faciliter les requêtes d’association dans des ressources intégrées en offrant un modèle global de classes de base et d'associations entre elles qui permettent de formuler de telles requêtes.</w:t>
      </w:r>
    </w:p>
    <w:p w14:paraId="485E4940" w14:textId="77777777" w:rsidR="0084489F" w:rsidRDefault="00110FE6" w:rsidP="00806324">
      <w:pPr>
        <w:numPr>
          <w:ilvl w:val="0"/>
          <w:numId w:val="3"/>
        </w:numPr>
      </w:pPr>
      <w:r>
        <w:t>Les algorithmes avancés de traitement automatique du langage naturel ainsi que les méthodes heuristiques (dans des cas spécifiques) peuvent aussi grandement bénéficier de l’usage du CIDOC CRM dans le passage d’une forme textuelle libre à une logique formelle. Le CIDOC CRM n’a cependant pas pour objectif de remplacer des textes experts riches de sens par une logique formelle, mais plutôt de désigner les données pertinentes liées à de tels textes.</w:t>
      </w:r>
    </w:p>
    <w:p w14:paraId="642CFD94" w14:textId="77777777" w:rsidR="0084489F" w:rsidRDefault="00110FE6">
      <w:pPr>
        <w:pStyle w:val="FirstParagraph"/>
      </w:pPr>
      <w:r>
        <w:t>Les utilisateurs du CIDOC CRM auront besoin de l’intégration d’une terminologie particulière à leur domaine ainsi que de l’apport de leur communauté de pratique dans la sélection de ce qui doit être documenté, de la séquence dans laquelle ce doit être documenté ainsi que dans l’application de protocoles de contrôle et de validation. Le CIDOC CRM ne documente pas ces aspects.</w:t>
      </w:r>
    </w:p>
    <w:p w14:paraId="2D091519" w14:textId="77777777" w:rsidR="0084489F" w:rsidRDefault="00110FE6">
      <w:pPr>
        <w:pStyle w:val="BodyText"/>
      </w:pPr>
      <w:r>
        <w:t>Par sa structure et son formalisme, le CIDOC CRM est extensible et ses utilisateurs sont encouragés à créer des extensions dédiées à des communautés de pratique et des applications spécialisées.</w:t>
      </w:r>
    </w:p>
    <w:p w14:paraId="507B1D00" w14:textId="77777777" w:rsidR="0084489F" w:rsidRDefault="00110FE6">
      <w:pPr>
        <w:pStyle w:val="BlockText"/>
      </w:pPr>
      <w:r>
        <w:rPr>
          <w:b/>
          <w:bCs/>
          <w:i/>
          <w:iCs/>
        </w:rPr>
        <w:lastRenderedPageBreak/>
        <w:t>Note de traduction</w:t>
      </w:r>
    </w:p>
    <w:p w14:paraId="1E145654" w14:textId="77777777" w:rsidR="0084489F" w:rsidRDefault="00110FE6">
      <w:pPr>
        <w:pStyle w:val="BlockText"/>
      </w:pPr>
      <w:r w:rsidRPr="246FBB6F">
        <w:rPr>
          <w:lang w:val="fr-FR"/>
        </w:rPr>
        <w:t>Le terme « construct » n’a pas d’équivalent français parfait, mais une recherche sommaire révèle que le terme « construit » (n.m.) semble répandu dans les domaines de la philosophie et de la sociologie et est celui dont le sens se rapproche le plus de la forme originale.</w:t>
      </w:r>
    </w:p>
    <w:p w14:paraId="0D409961" w14:textId="77777777" w:rsidR="0084489F" w:rsidRDefault="00110FE6">
      <w:pPr>
        <w:pStyle w:val="BlockText"/>
      </w:pPr>
      <w:r w:rsidRPr="246FBB6F">
        <w:rPr>
          <w:lang w:val="fr-FR"/>
        </w:rPr>
        <w:t xml:space="preserve">Le terme « use » (« foresees use of ») a été traduit par « usage » en adéquation avec la traduction de </w:t>
      </w:r>
      <w:r w:rsidRPr="246FBB6F">
        <w:rPr>
          <w:rStyle w:val="VerbatimChar"/>
          <w:lang w:val="fr-FR"/>
        </w:rPr>
        <w:t>P68_foresees_use_of</w:t>
      </w:r>
      <w:r w:rsidRPr="246FBB6F">
        <w:rPr>
          <w:lang w:val="fr-FR"/>
        </w:rPr>
        <w:t>.</w:t>
      </w:r>
    </w:p>
    <w:p w14:paraId="0248CEF2" w14:textId="77777777" w:rsidR="0084489F" w:rsidRDefault="00110FE6">
      <w:pPr>
        <w:pStyle w:val="BlockText"/>
      </w:pPr>
      <w:r>
        <w:rPr>
          <w:b/>
          <w:bCs/>
          <w:i/>
          <w:iCs/>
        </w:rPr>
        <w:t>Références</w:t>
      </w:r>
    </w:p>
    <w:p w14:paraId="3E37CFF0" w14:textId="77777777" w:rsidR="0084489F" w:rsidRDefault="00110FE6">
      <w:pPr>
        <w:pStyle w:val="BlockText"/>
      </w:pPr>
      <w:r w:rsidRPr="246FBB6F">
        <w:rPr>
          <w:lang w:val="fr-FR"/>
        </w:rPr>
        <w:t xml:space="preserve">Termium. « construct ». Dans </w:t>
      </w:r>
      <w:r w:rsidRPr="246FBB6F">
        <w:rPr>
          <w:i/>
          <w:iCs/>
          <w:lang w:val="fr-FR"/>
        </w:rPr>
        <w:t>Termium Plus</w:t>
      </w:r>
      <w:r w:rsidRPr="246FBB6F">
        <w:rPr>
          <w:lang w:val="fr-FR"/>
        </w:rPr>
        <w:t>. Ottawa, CA-ON: Gouvernement du Canada, 8 octobre 2009.</w:t>
      </w:r>
      <w:hyperlink r:id="rId19" w:anchor="resultrecs">
        <w:r w:rsidRPr="246FBB6F">
          <w:rPr>
            <w:rStyle w:val="Hyperlink"/>
            <w:lang w:val="fr-FR"/>
          </w:rPr>
          <w:t xml:space="preserve"> </w:t>
        </w:r>
      </w:hyperlink>
      <w:hyperlink r:id="rId20" w:anchor="resultrecs">
        <w:r w:rsidRPr="246FBB6F">
          <w:rPr>
            <w:rStyle w:val="Hyperlink"/>
            <w:lang w:val="fr-FR"/>
          </w:rPr>
          <w:t>https://www.btb.termiumplus.gc.ca/tpv2alpha/alpha-fra.html?lang=fra&amp;i=1&amp;srchtxt=construct&amp;index=ent&amp;codom2nd_wet=1#resultrecs</w:t>
        </w:r>
      </w:hyperlink>
      <w:r w:rsidRPr="246FBB6F">
        <w:rPr>
          <w:lang w:val="fr-FR"/>
        </w:rPr>
        <w:t>.</w:t>
      </w:r>
    </w:p>
    <w:p w14:paraId="6FC699A6" w14:textId="77777777" w:rsidR="00B533DB" w:rsidRPr="00B533DB" w:rsidRDefault="00B533DB" w:rsidP="00B533DB">
      <w:pPr>
        <w:pStyle w:val="BodyText"/>
      </w:pPr>
    </w:p>
    <w:p w14:paraId="7E31029A" w14:textId="77777777" w:rsidR="0084489F" w:rsidRDefault="00110FE6">
      <w:pPr>
        <w:pStyle w:val="Heading2"/>
      </w:pPr>
      <w:bookmarkStart w:id="11" w:name="_Toc176864406"/>
      <w:bookmarkStart w:id="12" w:name="portee-du-cidoccrm"/>
      <w:bookmarkEnd w:id="10"/>
      <w:r>
        <w:t>Portée du CIDOC CRM</w:t>
      </w:r>
      <w:bookmarkEnd w:id="11"/>
    </w:p>
    <w:p w14:paraId="12BB7DE6" w14:textId="173DF554" w:rsidR="0084489F" w:rsidRDefault="00110FE6" w:rsidP="00AB28D9">
      <w:pPr>
        <w:pStyle w:val="FirstParagraph"/>
      </w:pPr>
      <w:r>
        <w:t xml:space="preserve">Le domaine d’application global du CIDOC CRM peut être résumé, en termes simples, aux </w:t>
      </w:r>
      <w:r>
        <w:rPr>
          <w:b/>
          <w:bCs/>
        </w:rPr>
        <w:t>connaissances factuelles</w:t>
      </w:r>
      <w:r>
        <w:t xml:space="preserve"> au sujet du passé à échelle humaine [n.d.t. c.-à-d. les informations recensées dans les bases de données d’institutions patrimoniales].</w:t>
      </w:r>
    </w:p>
    <w:p w14:paraId="3DD9900F" w14:textId="77777777" w:rsidR="0084489F" w:rsidRDefault="00110FE6">
      <w:pPr>
        <w:pStyle w:val="BodyText"/>
      </w:pPr>
      <w:r>
        <w:t>Cependant, une définition plus détaillée et utile peut être articulée en définissant à la fois :</w:t>
      </w:r>
    </w:p>
    <w:p w14:paraId="5E786F6E" w14:textId="77777777" w:rsidR="0084489F" w:rsidRDefault="00110FE6" w:rsidP="00806324">
      <w:pPr>
        <w:numPr>
          <w:ilvl w:val="0"/>
          <w:numId w:val="4"/>
        </w:numPr>
      </w:pPr>
      <w:r w:rsidRPr="246FBB6F">
        <w:rPr>
          <w:lang w:val="fr-FR"/>
        </w:rPr>
        <w:t xml:space="preserve">le </w:t>
      </w:r>
      <w:r w:rsidRPr="246FBB6F">
        <w:rPr>
          <w:b/>
          <w:bCs/>
          <w:lang w:val="fr-FR"/>
        </w:rPr>
        <w:t>domaine d’application prévu</w:t>
      </w:r>
      <w:r w:rsidRPr="246FBB6F">
        <w:rPr>
          <w:lang w:val="fr-FR"/>
        </w:rPr>
        <w:t>, une définition large et maximalement inclusive des principes généraux d'application;</w:t>
      </w:r>
    </w:p>
    <w:p w14:paraId="4D57C2F3" w14:textId="77777777" w:rsidR="0084489F" w:rsidRDefault="00110FE6" w:rsidP="00806324">
      <w:pPr>
        <w:numPr>
          <w:ilvl w:val="0"/>
          <w:numId w:val="4"/>
        </w:numPr>
      </w:pPr>
      <w:r w:rsidRPr="246FBB6F">
        <w:rPr>
          <w:lang w:val="fr-FR"/>
        </w:rPr>
        <w:t xml:space="preserve">et le </w:t>
      </w:r>
      <w:r w:rsidRPr="246FBB6F">
        <w:rPr>
          <w:b/>
          <w:bCs/>
          <w:lang w:val="fr-FR"/>
        </w:rPr>
        <w:t>domaine d’application pratique</w:t>
      </w:r>
      <w:r w:rsidRPr="246FBB6F">
        <w:rPr>
          <w:lang w:val="fr-FR"/>
        </w:rPr>
        <w:t>, qui est exprimé par le domaine d’application d'un ensemble de référence croissant comprenant des normes et des pratiques spécifiques et identifiables en matière de documentation, normes et pratiques que le CIDOC CRM vise à décrire sémantiquement, même si ses détails sont toujours restreints aux contraintes du Domaine d'application prévu.</w:t>
      </w:r>
    </w:p>
    <w:p w14:paraId="3ADEC503" w14:textId="5CC8F45D" w:rsidR="0084489F" w:rsidRDefault="00110FE6">
      <w:pPr>
        <w:pStyle w:val="FirstParagraph"/>
      </w:pPr>
      <w:r w:rsidRPr="246FBB6F">
        <w:rPr>
          <w:lang w:val="fr-FR"/>
        </w:rPr>
        <w:t>La distinction entre les domaines d'application prévu et pratique est attribuable à deux éléments. En premier lieu, le CIDOC CRM est développé avec une approche ascendante (« </w:t>
      </w:r>
      <w:r w:rsidRPr="246FBB6F">
        <w:rPr>
          <w:i/>
          <w:iCs/>
          <w:lang w:val="fr-FR"/>
        </w:rPr>
        <w:t>bottom up</w:t>
      </w:r>
      <w:r w:rsidRPr="246FBB6F">
        <w:rPr>
          <w:lang w:val="fr-FR"/>
        </w:rPr>
        <w:t> ») fondée sur des concepts établis, réels et bien compris des expert·e·s, lesquels sont ensuite désambiguïsés et généralisés de manière graduelle au fur et à mesure que de nouvelles formes d'encodage émergent. Cette distinction confère à ces concepts une certaine stabilité et a pour objectif d'éviter le flou et les erreurs qui peuvent s'immiscer avec des approches plus introspectives visant à trouver des concepts englobant un domaine aussi large. En second lieu, cette distinction permet de désigner</w:t>
      </w:r>
      <w:r w:rsidR="00006E7F" w:rsidRPr="246FBB6F">
        <w:rPr>
          <w:lang w:val="fr-FR"/>
        </w:rPr>
        <w:t xml:space="preserve"> </w:t>
      </w:r>
      <w:r w:rsidRPr="246FBB6F">
        <w:rPr>
          <w:lang w:val="fr-FR"/>
        </w:rPr>
        <w:t>les concepts essentiels aux communautés du domaine du CIDOC CRM, d'y accorder une attention particulière et soutenue, et de planifier leur évolution de manière ordonnée.</w:t>
      </w:r>
    </w:p>
    <w:p w14:paraId="0F38CAAD" w14:textId="77777777" w:rsidR="0084489F" w:rsidRDefault="00110FE6">
      <w:pPr>
        <w:pStyle w:val="BodyText"/>
      </w:pPr>
      <w:r>
        <w:t>Le domaine d’application prévu du CIDOC CRM peut être défini comme l’ensemble des informations nécessaires à l'échange et à l'intégration de la documentation hétérogène scientifique et experte au sujet du passé à l'échelle humaine ainsi que des preuves empiriques et documentées disponibles la soutenant. Cette définition requiert une élaboration plus approfondie :</w:t>
      </w:r>
    </w:p>
    <w:p w14:paraId="10C4065F" w14:textId="77777777" w:rsidR="0084489F" w:rsidRDefault="00110FE6" w:rsidP="00806324">
      <w:pPr>
        <w:numPr>
          <w:ilvl w:val="0"/>
          <w:numId w:val="5"/>
        </w:numPr>
      </w:pPr>
      <w:r>
        <w:t>Le terme « documentation scientifique et experte » est destiné à exprimer l'exigence selon laquelle la profondeur et la qualité des informations descriptives qui peuvent être traitées par le CIDOC CRM doivent être suffisantes pour une recherche académique sérieuse. Cela ne signifie pas que les informations destinées à être présentées aux membres du grand public sont exclues, mais plutôt que le CIDOC CRM est prévu pour fournir le niveau de détail et de précision attendu et requis par les professionnels des musées et les chercheurs du domaine [n.d.t. patrimonial].</w:t>
      </w:r>
    </w:p>
    <w:p w14:paraId="4B3534D7" w14:textId="730D00A0" w:rsidR="0084489F" w:rsidRDefault="00110FE6" w:rsidP="00806324">
      <w:pPr>
        <w:numPr>
          <w:ilvl w:val="0"/>
          <w:numId w:val="5"/>
        </w:numPr>
      </w:pPr>
      <w:r>
        <w:lastRenderedPageBreak/>
        <w:t>Le terme « preuves documentées et matérielles disponibles » désigne tous les types de matériaux conservés et exposés par les musées et les institutions qui y sont associées telles que définies par l'ICOM</w:t>
      </w:r>
      <w:r w:rsidR="00006E7F">
        <w:rPr>
          <w:rStyle w:val="FootnoteReference"/>
        </w:rPr>
        <w:footnoteReference w:id="2"/>
      </w:r>
      <w:r>
        <w:t>, ainsi que les collections, objets in situ, sites, monuments, et patrimoines intangibles liés à des domaines tels que l'histoire sociale, l'ethnographie, l'archéologie, les beaux-arts et les arts appliqués, l’histoire naturelle, ainsi que l’histoire des sciences et de la technologie.</w:t>
      </w:r>
    </w:p>
    <w:p w14:paraId="5338FD23" w14:textId="77777777" w:rsidR="0084489F" w:rsidRDefault="00110FE6" w:rsidP="00806324">
      <w:pPr>
        <w:numPr>
          <w:ilvl w:val="0"/>
          <w:numId w:val="5"/>
        </w:numPr>
      </w:pPr>
      <w:r>
        <w:t>Le concept de « documentation » inclut la description détaillée d’entités individuelles, in situ ou au sein des collections, de groupes d’entités et de collections dans leur ensemble, et de pratiques culturelles intangibles que ce soit au sujet de leur état actuel ou passé. Le CIDOC CRM est spécifiquement destiné à couvrir les informations contextuelles, à savoir le contexte historique, géographique et théorique qui confère aux collections du patrimoine culturel une grande partie de leur signification et valeur culturelles.</w:t>
      </w:r>
    </w:p>
    <w:p w14:paraId="4C540A2C" w14:textId="3CCA3C04" w:rsidR="0084489F" w:rsidRDefault="00110FE6" w:rsidP="00806324">
      <w:pPr>
        <w:numPr>
          <w:ilvl w:val="0"/>
          <w:numId w:val="5"/>
        </w:numPr>
      </w:pPr>
      <w:r>
        <w:t>L'échange d'informations pertinentes avec les bibliothèques et les archives, et l'harmonisation du CIDOC CRM avec leurs modèles, s'inscrit dans le domaine d'application prévu du CIDOC CRM.</w:t>
      </w:r>
    </w:p>
    <w:p w14:paraId="4F170762" w14:textId="77777777" w:rsidR="0084489F" w:rsidRDefault="00110FE6" w:rsidP="00806324">
      <w:pPr>
        <w:numPr>
          <w:ilvl w:val="0"/>
          <w:numId w:val="5"/>
        </w:numPr>
      </w:pPr>
      <w:r>
        <w:t>Les informations requises uniquement pour l'administration et la gestion des institutions culturelles, telles que les informations relatives au personnel, à la comptabilité et aux statistiques des visiteurs, n'entrent pas dans le domaine d'application prévu du CRM CIDOC.</w:t>
      </w:r>
    </w:p>
    <w:p w14:paraId="41832CCB" w14:textId="4EC18021" w:rsidR="0084489F" w:rsidRDefault="00110FE6">
      <w:pPr>
        <w:pStyle w:val="FirstParagraph"/>
      </w:pPr>
      <w:r w:rsidRPr="246FBB6F">
        <w:rPr>
          <w:lang w:val="fr-FR"/>
        </w:rPr>
        <w:t>Le domaine d’application pratique</w:t>
      </w:r>
      <w:r w:rsidR="00006E7F" w:rsidRPr="246FBB6F">
        <w:rPr>
          <w:rStyle w:val="FootnoteReference"/>
          <w:lang w:val="fr-FR"/>
        </w:rPr>
        <w:footnoteReference w:id="3"/>
      </w:r>
      <w:r w:rsidR="00006E7F" w:rsidRPr="246FBB6F">
        <w:rPr>
          <w:vertAlign w:val="superscript"/>
          <w:lang w:val="fr-FR"/>
        </w:rPr>
        <w:t xml:space="preserve"> </w:t>
      </w:r>
      <w:r w:rsidRPr="246FBB6F">
        <w:rPr>
          <w:lang w:val="fr-FR"/>
        </w:rPr>
        <w:t>du CIDOC CRM est exprimé en termes d'ensembles de normes de références et d'usage pour documenter les connaissances factuelles qui ont été utilisées pour guider et valider le développement du CIDOC CRM ainsi que son évolution. Le CIDOC CRM couvre le même domaine de discours que l'union de ces référentiels; cela signifie que pour les données correctement encodées conformément à ces formats de documentation, il peut y avoir une expression CIDOC CRM compatible qui transmet la même signification.</w:t>
      </w:r>
    </w:p>
    <w:p w14:paraId="2262E0E1" w14:textId="77777777" w:rsidR="0084489F" w:rsidRDefault="00110FE6">
      <w:pPr>
        <w:pStyle w:val="BlockText"/>
      </w:pPr>
      <w:r>
        <w:rPr>
          <w:b/>
          <w:bCs/>
          <w:i/>
          <w:iCs/>
        </w:rPr>
        <w:t>Note de traduction</w:t>
      </w:r>
    </w:p>
    <w:p w14:paraId="000095B2" w14:textId="3EF95D0D" w:rsidR="0084489F" w:rsidRDefault="00110FE6" w:rsidP="00AB28D9">
      <w:pPr>
        <w:pStyle w:val="BlockText"/>
        <w:rPr>
          <w:b/>
          <w:bCs/>
          <w:i/>
          <w:iCs/>
        </w:rPr>
      </w:pPr>
      <w:r>
        <w:rPr>
          <w:b/>
          <w:bCs/>
          <w:i/>
          <w:iCs/>
        </w:rPr>
        <w:t>Références</w:t>
      </w:r>
    </w:p>
    <w:p w14:paraId="1017AE41" w14:textId="77777777" w:rsidR="00AB28D9" w:rsidRPr="00AB28D9" w:rsidRDefault="00AB28D9" w:rsidP="00AB28D9">
      <w:pPr>
        <w:pStyle w:val="BodyText"/>
      </w:pPr>
    </w:p>
    <w:p w14:paraId="317B8AF5" w14:textId="77777777" w:rsidR="0084489F" w:rsidRDefault="00110FE6">
      <w:pPr>
        <w:pStyle w:val="Heading2"/>
      </w:pPr>
      <w:bookmarkStart w:id="13" w:name="_Toc176864407"/>
      <w:bookmarkStart w:id="14" w:name="compatibilite-avec-le-cidoccrm"/>
      <w:bookmarkEnd w:id="12"/>
      <w:r>
        <w:t>Compatibilité avec le CIDOC CRM</w:t>
      </w:r>
      <w:bookmarkEnd w:id="13"/>
    </w:p>
    <w:p w14:paraId="6B8EA2CF" w14:textId="77777777" w:rsidR="0084489F" w:rsidRDefault="00110FE6">
      <w:pPr>
        <w:pStyle w:val="FirstParagraph"/>
      </w:pPr>
      <w:r>
        <w:t>Les utilisateurs voulant tirer avantage de l’interopérabilité sémantique du CIDOC CRM devraient s’assurer de la conformité de leurs structures de données avec celui-ci. La conformité des données réfère à leur accessibilité dans le contexte d’un environnement [n.d.t. d’utilisateur] intégré ou de leur transfert vers d’autres environnements.</w:t>
      </w:r>
    </w:p>
    <w:p w14:paraId="5A08C39A" w14:textId="77777777" w:rsidR="0084489F" w:rsidRDefault="00110FE6">
      <w:pPr>
        <w:pStyle w:val="BodyText"/>
      </w:pPr>
      <w:r>
        <w:t>Tout encodage de données dans un langage formel qui maintient les relations des classes, des propriétés, ainsi que des règles d’</w:t>
      </w:r>
      <w:hyperlink w:anchor="terminologie-heritage">
        <w:r>
          <w:rPr>
            <w:rStyle w:val="Hyperlink"/>
          </w:rPr>
          <w:t>héritage</w:t>
        </w:r>
      </w:hyperlink>
      <w:r>
        <w:t xml:space="preserve"> définies par le CIDOC CRM est considéré y être conforme. Cela dit, cette conformité ne requiert pas une équivalence complète de toutes les structures de documentation locales, ni que tous les concepts et structures du CIDOC CRM ne soient implémentés.</w:t>
      </w:r>
    </w:p>
    <w:p w14:paraId="1D44D412" w14:textId="77777777" w:rsidR="0084489F" w:rsidRDefault="00110FE6">
      <w:pPr>
        <w:pStyle w:val="BodyText"/>
      </w:pPr>
      <w:r>
        <w:t xml:space="preserve">Ce standard international a pour objectif de permettre la mise en place d’extensions nécessaires pour saisir la richesse des phénomènes culturels et de leur documentation, et ce, tout en prônant la parcimonie. Un système est considéré partiellement conforme s’il soutient un sous-ensemble des </w:t>
      </w:r>
      <w:hyperlink w:anchor="terminologie-sous-classe">
        <w:r>
          <w:rPr>
            <w:rStyle w:val="Hyperlink"/>
          </w:rPr>
          <w:t>sous-</w:t>
        </w:r>
        <w:r>
          <w:rPr>
            <w:rStyle w:val="Hyperlink"/>
          </w:rPr>
          <w:lastRenderedPageBreak/>
          <w:t>classes</w:t>
        </w:r>
      </w:hyperlink>
      <w:r>
        <w:t xml:space="preserve"> et </w:t>
      </w:r>
      <w:hyperlink w:anchor="terminologie-sous-propriete">
        <w:r>
          <w:rPr>
            <w:rStyle w:val="Hyperlink"/>
          </w:rPr>
          <w:t xml:space="preserve">sous-propriétés </w:t>
        </w:r>
      </w:hyperlink>
      <w:r>
        <w:t>définies par ce standard. Les concepteurs de systèmes devraient publier le détail des construits qui sont supportés par leur système.</w:t>
      </w:r>
    </w:p>
    <w:p w14:paraId="74888A4E" w14:textId="6CAA9E87" w:rsidR="0084489F" w:rsidRDefault="00110FE6">
      <w:pPr>
        <w:pStyle w:val="BodyText"/>
      </w:pPr>
      <w:r>
        <w:t>Le CIDOC CRM porte principalement sur l’échange et la médiation d’information structurée et n’exige pas l’interprétation d’information non structurée dans une forme logique. L’information non structurée peut être traitée par le CIDOC CRM, mais les résultats qui en découlent ne sont pas pris en compte dans l’évaluation de la conformité d’un système.</w:t>
      </w:r>
    </w:p>
    <w:p w14:paraId="60BD04F7" w14:textId="433739BC" w:rsidR="0084489F" w:rsidRDefault="00110FE6">
      <w:pPr>
        <w:pStyle w:val="BodyText"/>
      </w:pPr>
      <w:r w:rsidRPr="246FBB6F">
        <w:rPr>
          <w:lang w:val="fr-FR"/>
        </w:rPr>
        <w:t>Tout système documentaire sera considéré conforme [n.d.t. avec les règles du CIDOC CRM ], peu importe les structures de données internes qu’il utilise, si des algorithmes peuvent transformer les données non structurées du système en une forme compatible avec le CIDOC CRM sans que la signification n’en soit affectée.</w:t>
      </w:r>
    </w:p>
    <w:p w14:paraId="4E7454F1" w14:textId="77777777" w:rsidR="0084489F" w:rsidRDefault="00110FE6">
      <w:pPr>
        <w:pStyle w:val="BodyText"/>
      </w:pPr>
      <w:r>
        <w:t>« Sans que la signification n’en soit affectée » signifie que les concepteurs et les utilisateurs du système considèrent que la représentation résultant de l’utilisation de cet algorithme correspond aux définitions sémantiques fournies dans ce standard.</w:t>
      </w:r>
    </w:p>
    <w:p w14:paraId="5FEB79E4" w14:textId="77777777" w:rsidR="0084489F" w:rsidRDefault="00110FE6">
      <w:pPr>
        <w:pStyle w:val="BlockText"/>
      </w:pPr>
      <w:r>
        <w:rPr>
          <w:b/>
          <w:bCs/>
          <w:i/>
          <w:iCs/>
        </w:rPr>
        <w:t>Note de traduction</w:t>
      </w:r>
    </w:p>
    <w:p w14:paraId="67AFFF96" w14:textId="77777777" w:rsidR="0084489F" w:rsidRDefault="00110FE6">
      <w:pPr>
        <w:pStyle w:val="BlockText"/>
      </w:pPr>
      <w:r>
        <w:t>Certains paragraphes ont été édités dans la version francophone aux fins de compréhension. Les sections concernées sont indiquées de [n.d.t. texte concerné].</w:t>
      </w:r>
    </w:p>
    <w:p w14:paraId="65ECFC93" w14:textId="77777777" w:rsidR="0084489F" w:rsidRDefault="00110FE6">
      <w:pPr>
        <w:pStyle w:val="BlockText"/>
      </w:pPr>
      <w:r w:rsidRPr="246FBB6F">
        <w:rPr>
          <w:lang w:val="fr-FR"/>
        </w:rPr>
        <w:t>Le terme « construct » n’a pas d’équivalent français parfait, mais une recherche sommaire révèle que le terme « construit » (n.m.) semble répandu dans les domaines de la philosophie et de la sociologie et est celui dont le sens se rapproche le plus de la forme originale.</w:t>
      </w:r>
    </w:p>
    <w:p w14:paraId="4FA2807F" w14:textId="77777777" w:rsidR="0084489F" w:rsidRDefault="00110FE6">
      <w:pPr>
        <w:pStyle w:val="BlockText"/>
      </w:pPr>
      <w:r>
        <w:rPr>
          <w:b/>
          <w:bCs/>
          <w:i/>
          <w:iCs/>
        </w:rPr>
        <w:t>Références</w:t>
      </w:r>
    </w:p>
    <w:p w14:paraId="282873F6" w14:textId="77777777" w:rsidR="0084489F" w:rsidRDefault="00110FE6">
      <w:pPr>
        <w:pStyle w:val="BlockText"/>
      </w:pPr>
      <w:r w:rsidRPr="246FBB6F">
        <w:rPr>
          <w:lang w:val="fr-FR"/>
        </w:rPr>
        <w:t xml:space="preserve">Termium. « construct ». Dans </w:t>
      </w:r>
      <w:r w:rsidRPr="246FBB6F">
        <w:rPr>
          <w:i/>
          <w:iCs/>
          <w:lang w:val="fr-FR"/>
        </w:rPr>
        <w:t>Termium Plus</w:t>
      </w:r>
      <w:r w:rsidRPr="246FBB6F">
        <w:rPr>
          <w:lang w:val="fr-FR"/>
        </w:rPr>
        <w:t>. Ottawa, CA-ON: Gouvernement du Canada, 8 octobre 2009.</w:t>
      </w:r>
      <w:hyperlink r:id="rId21" w:anchor="resultrecs">
        <w:r w:rsidRPr="246FBB6F">
          <w:rPr>
            <w:rStyle w:val="Hyperlink"/>
            <w:lang w:val="fr-FR"/>
          </w:rPr>
          <w:t xml:space="preserve"> </w:t>
        </w:r>
      </w:hyperlink>
      <w:hyperlink r:id="rId22" w:anchor="resultrecs">
        <w:r w:rsidRPr="246FBB6F">
          <w:rPr>
            <w:rStyle w:val="Hyperlink"/>
            <w:lang w:val="fr-FR"/>
          </w:rPr>
          <w:t>https://www.btb.termiumplus.gc.ca/tpv2alpha/alpha-fra.html?lang=fra&amp;i=1&amp;srchtxt=construct&amp;index=ent&amp;codom2nd_wet=1#resultrecs</w:t>
        </w:r>
      </w:hyperlink>
      <w:r w:rsidRPr="246FBB6F">
        <w:rPr>
          <w:lang w:val="fr-FR"/>
        </w:rPr>
        <w:t>.</w:t>
      </w:r>
    </w:p>
    <w:p w14:paraId="3863DF82" w14:textId="77777777" w:rsidR="00AB28D9" w:rsidRPr="00AB28D9" w:rsidRDefault="00AB28D9" w:rsidP="00AB28D9">
      <w:pPr>
        <w:pStyle w:val="BodyText"/>
      </w:pPr>
    </w:p>
    <w:p w14:paraId="32F56674" w14:textId="77777777" w:rsidR="0084489F" w:rsidRDefault="00110FE6">
      <w:pPr>
        <w:pStyle w:val="Heading2"/>
      </w:pPr>
      <w:bookmarkStart w:id="15" w:name="_Toc176864408"/>
      <w:bookmarkStart w:id="16" w:name="terminologie"/>
      <w:bookmarkEnd w:id="14"/>
      <w:r>
        <w:t>Terminologie</w:t>
      </w:r>
      <w:bookmarkEnd w:id="15"/>
    </w:p>
    <w:p w14:paraId="0BC1CA5D" w14:textId="34ED56FD" w:rsidR="0084489F" w:rsidRDefault="00110FE6" w:rsidP="00DA3078">
      <w:pPr>
        <w:pStyle w:val="FirstParagraph"/>
      </w:pPr>
      <w:r w:rsidRPr="246FBB6F">
        <w:rPr>
          <w:lang w:val="fr-FR"/>
        </w:rPr>
        <w:t>Les définitions suivantes ont pour objectif d’aider le lecteur qui ne serait pas familier avec la terminologie de la modélisation orientée-objet ainsi que de préciser l’usage de termes qui ne sont parfois pas utilisés de manière uniforme par cette communauté de modélisation. Les éditeurs ont tenté d’utiliser une terminologie compatible avec les recommandations du World Wide Web Consortium quant au Resource Description Framework (RDF)</w:t>
      </w:r>
      <w:r w:rsidR="00DA3078" w:rsidRPr="246FBB6F">
        <w:rPr>
          <w:rStyle w:val="FootnoteReference"/>
          <w:lang w:val="fr-FR"/>
        </w:rPr>
        <w:footnoteReference w:id="4"/>
      </w:r>
      <w:r w:rsidRPr="246FBB6F">
        <w:rPr>
          <w:lang w:val="fr-FR"/>
        </w:rPr>
        <w:t>. Les éditeurs ont utilisé un langage compréhensible pour le lecteur qui ne serait pas un expert informatique tout en préconisant une précision suffisante pour servir les besoins d’un tel expert de manière à ce que l’un comme l’autre comprenne le sens du CIDOC CRM.</w:t>
      </w:r>
    </w:p>
    <w:p w14:paraId="247CFAFF" w14:textId="77777777" w:rsidR="0084489F" w:rsidRDefault="00110FE6">
      <w:pPr>
        <w:pStyle w:val="BlockText"/>
      </w:pPr>
      <w:r>
        <w:rPr>
          <w:b/>
          <w:bCs/>
          <w:i/>
          <w:iCs/>
        </w:rPr>
        <w:t>Note de traduction</w:t>
      </w:r>
    </w:p>
    <w:p w14:paraId="69B5DEBA" w14:textId="77777777" w:rsidR="0084489F" w:rsidRDefault="00110FE6">
      <w:pPr>
        <w:pStyle w:val="BlockText"/>
      </w:pPr>
      <w:r>
        <w:t>Une recherche sommaire de la documentation technique traduite sur le site du World Wide Web Consortium ne révèle pas de traduction francophone de « Resource Description Framework (RDF) », de sorte que l’appellation anglophone est préconisée dans la présente traduction.</w:t>
      </w:r>
    </w:p>
    <w:p w14:paraId="012E7A76" w14:textId="77777777" w:rsidR="0084489F" w:rsidRPr="008C0D99" w:rsidRDefault="00110FE6">
      <w:pPr>
        <w:pStyle w:val="BlockText"/>
        <w:rPr>
          <w:lang w:val="en-CA"/>
        </w:rPr>
      </w:pPr>
      <w:r w:rsidRPr="008C0D99">
        <w:rPr>
          <w:b/>
          <w:bCs/>
          <w:i/>
          <w:iCs/>
          <w:lang w:val="en-CA"/>
        </w:rPr>
        <w:t>Références</w:t>
      </w:r>
    </w:p>
    <w:p w14:paraId="6F1CC221" w14:textId="77777777" w:rsidR="0084489F" w:rsidRDefault="00110FE6">
      <w:pPr>
        <w:pStyle w:val="BlockText"/>
      </w:pPr>
      <w:r w:rsidRPr="008C0D99">
        <w:rPr>
          <w:lang w:val="en-CA"/>
        </w:rPr>
        <w:t>Berners-Lee, Tim, Tim Bray, Dan Connolly, Paul Cotton, Roy Fielding, Mario Jeckle, Chris Lilley, et al. « Architecture du World Wide Web: Volume Un ». Recommandation. 2005. Réimpression, Cambridge, USA-MA: World Wide Web Consortium (W3C), 2006.</w:t>
      </w:r>
      <w:hyperlink r:id="rId23">
        <w:r w:rsidRPr="008C0D99">
          <w:rPr>
            <w:rStyle w:val="Hyperlink"/>
            <w:lang w:val="en-CA"/>
          </w:rPr>
          <w:t xml:space="preserve"> </w:t>
        </w:r>
      </w:hyperlink>
      <w:hyperlink r:id="rId24">
        <w:r>
          <w:rPr>
            <w:rStyle w:val="Hyperlink"/>
          </w:rPr>
          <w:t>http://www.opikanoba.org/tr/w3c/webarch/</w:t>
        </w:r>
      </w:hyperlink>
      <w:r>
        <w:t>.</w:t>
      </w:r>
    </w:p>
    <w:p w14:paraId="3D504DD9" w14:textId="77777777" w:rsidR="0084489F" w:rsidRPr="008C0D99" w:rsidRDefault="00110FE6">
      <w:pPr>
        <w:pStyle w:val="BlockText"/>
        <w:rPr>
          <w:lang w:val="en-CA"/>
        </w:rPr>
      </w:pPr>
      <w:r>
        <w:lastRenderedPageBreak/>
        <w:t>Berrueta, Diego, et Jon Phipps. « Méthodes exemplaires pour la publication des vocabulaires RDF ». Meilleures pratiques. Cambridge, USA-MA: World Wide Web Consortium (W3C), 28 août 2008.</w:t>
      </w:r>
      <w:hyperlink r:id="rId25">
        <w:r>
          <w:rPr>
            <w:rStyle w:val="Hyperlink"/>
          </w:rPr>
          <w:t xml:space="preserve"> </w:t>
        </w:r>
      </w:hyperlink>
      <w:hyperlink r:id="rId26">
        <w:r w:rsidRPr="008C0D99">
          <w:rPr>
            <w:rStyle w:val="Hyperlink"/>
            <w:lang w:val="en-CA"/>
          </w:rPr>
          <w:t>http://www.yoyodesign.org/doc/w3c/swbp-vocab-pub/</w:t>
        </w:r>
      </w:hyperlink>
      <w:r w:rsidRPr="008C0D99">
        <w:rPr>
          <w:lang w:val="en-CA"/>
        </w:rPr>
        <w:t>.</w:t>
      </w:r>
    </w:p>
    <w:p w14:paraId="13BDD2B7" w14:textId="38AEBA63" w:rsidR="0084489F" w:rsidRDefault="00110FE6" w:rsidP="00AB28D9">
      <w:pPr>
        <w:pStyle w:val="BlockText"/>
        <w:rPr>
          <w:lang w:val="en-CA"/>
        </w:rPr>
      </w:pPr>
      <w:r w:rsidRPr="008C0D99">
        <w:rPr>
          <w:lang w:val="en-CA"/>
        </w:rPr>
        <w:t>World Wide Web Consortium (W3C). « Translations of W3C Technical Reports ». World Wide Web Consortium (W3C), 8 mars 2021.</w:t>
      </w:r>
      <w:hyperlink r:id="rId27">
        <w:r w:rsidRPr="008C0D99">
          <w:rPr>
            <w:rStyle w:val="Hyperlink"/>
            <w:lang w:val="en-CA"/>
          </w:rPr>
          <w:t xml:space="preserve"> </w:t>
        </w:r>
      </w:hyperlink>
      <w:hyperlink r:id="rId28">
        <w:r w:rsidRPr="008C0D99">
          <w:rPr>
            <w:rStyle w:val="Hyperlink"/>
            <w:lang w:val="en-CA"/>
          </w:rPr>
          <w:t>https://www.w3.org/Translations/</w:t>
        </w:r>
      </w:hyperlink>
      <w:r w:rsidRPr="008C0D99">
        <w:rPr>
          <w:lang w:val="en-CA"/>
        </w:rPr>
        <w:t>.</w:t>
      </w:r>
      <w:bookmarkStart w:id="17" w:name="terminologie-classe"/>
      <w:bookmarkEnd w:id="17"/>
    </w:p>
    <w:p w14:paraId="260ECF20" w14:textId="77777777" w:rsidR="00AB28D9" w:rsidRPr="00AB28D9" w:rsidRDefault="00AB28D9" w:rsidP="00AB28D9">
      <w:pPr>
        <w:pStyle w:val="BodyText"/>
        <w:rPr>
          <w:lang w:val="en-CA"/>
        </w:rPr>
      </w:pPr>
    </w:p>
    <w:p w14:paraId="74497199" w14:textId="77777777" w:rsidR="0084489F" w:rsidRDefault="00110FE6">
      <w:pPr>
        <w:pStyle w:val="BodyText"/>
      </w:pPr>
      <w:r>
        <w:rPr>
          <w:b/>
          <w:bCs/>
        </w:rPr>
        <w:t>Classe</w:t>
      </w:r>
    </w:p>
    <w:p w14:paraId="4097E07C" w14:textId="77777777" w:rsidR="0084489F" w:rsidRDefault="00110FE6">
      <w:pPr>
        <w:pStyle w:val="BodyText"/>
      </w:pPr>
      <w:r w:rsidRPr="246FBB6F">
        <w:rPr>
          <w:lang w:val="fr-FR"/>
        </w:rPr>
        <w:t xml:space="preserve">Une classe est une catégorie d'éléments qui partagent un ou plusieurs traits communs servant de critères pour désignerles éléments appartenant à cette classe. Ces traits communs n'ont pas besoin d'être explicitement formulés en termes logiques (appelés ici </w:t>
      </w:r>
      <w:hyperlink w:anchor="terminologie-propriete">
        <w:r w:rsidRPr="246FBB6F">
          <w:rPr>
            <w:rStyle w:val="Hyperlink"/>
            <w:b/>
            <w:bCs/>
            <w:lang w:val="fr-FR"/>
          </w:rPr>
          <w:t>propriétés</w:t>
        </w:r>
      </w:hyperlink>
      <w:r w:rsidRPr="246FBB6F">
        <w:rPr>
          <w:lang w:val="fr-FR"/>
        </w:rPr>
        <w:t>), mais peuvent être décrits dans un texte faisant référence à une conceptualisation commune des experts du domaine (texte appelé ici</w:t>
      </w:r>
      <w:hyperlink w:anchor="terminologie-note-dapplication">
        <w:r w:rsidRPr="246FBB6F">
          <w:rPr>
            <w:rStyle w:val="Hyperlink"/>
            <w:lang w:val="fr-FR"/>
          </w:rPr>
          <w:t xml:space="preserve"> </w:t>
        </w:r>
      </w:hyperlink>
      <w:hyperlink w:anchor="terminologie-note-dapplication">
        <w:r w:rsidRPr="246FBB6F">
          <w:rPr>
            <w:rStyle w:val="Hyperlink"/>
            <w:b/>
            <w:bCs/>
            <w:lang w:val="fr-FR"/>
          </w:rPr>
          <w:t>note d'application</w:t>
        </w:r>
      </w:hyperlink>
      <w:r w:rsidRPr="246FBB6F">
        <w:rPr>
          <w:lang w:val="fr-FR"/>
        </w:rPr>
        <w:t>). La somme de ces traits s'appelle l'</w:t>
      </w:r>
      <w:hyperlink w:anchor="terminologie-intension">
        <w:r w:rsidRPr="246FBB6F">
          <w:rPr>
            <w:rStyle w:val="Hyperlink"/>
            <w:b/>
            <w:bCs/>
            <w:lang w:val="fr-FR"/>
          </w:rPr>
          <w:t>intension</w:t>
        </w:r>
      </w:hyperlink>
      <w:r w:rsidRPr="246FBB6F">
        <w:rPr>
          <w:lang w:val="fr-FR"/>
        </w:rPr>
        <w:t xml:space="preserve"> de la classe. Une classe peut être le </w:t>
      </w:r>
      <w:hyperlink w:anchor="terminologie-domaine">
        <w:r w:rsidRPr="246FBB6F">
          <w:rPr>
            <w:rStyle w:val="Hyperlink"/>
            <w:b/>
            <w:bCs/>
            <w:lang w:val="fr-FR"/>
          </w:rPr>
          <w:t>domaine</w:t>
        </w:r>
      </w:hyperlink>
      <w:r w:rsidRPr="246FBB6F">
        <w:rPr>
          <w:lang w:val="fr-FR"/>
        </w:rPr>
        <w:t xml:space="preserve"> ou la </w:t>
      </w:r>
      <w:hyperlink w:anchor="terminologie-portee">
        <w:r w:rsidRPr="246FBB6F">
          <w:rPr>
            <w:rStyle w:val="Hyperlink"/>
            <w:b/>
            <w:bCs/>
            <w:lang w:val="fr-FR"/>
          </w:rPr>
          <w:t>portée</w:t>
        </w:r>
      </w:hyperlink>
      <w:r w:rsidRPr="246FBB6F">
        <w:rPr>
          <w:lang w:val="fr-FR"/>
        </w:rPr>
        <w:t xml:space="preserve"> d’aucune, d’une ou de plusieurs propriétés formellement définies dans un modèle. Les propriétés formellement définies n'ont pas besoin de faire partie de l'intension de leurs domaines ou portées : ces propriétés sont facultatives. Un élément qui appartient à une classe est appelé une </w:t>
      </w:r>
      <w:hyperlink w:anchor="terminologie-instance">
        <w:r w:rsidRPr="246FBB6F">
          <w:rPr>
            <w:rStyle w:val="Hyperlink"/>
            <w:b/>
            <w:bCs/>
            <w:lang w:val="fr-FR"/>
          </w:rPr>
          <w:t>instance</w:t>
        </w:r>
      </w:hyperlink>
      <w:r w:rsidRPr="246FBB6F">
        <w:rPr>
          <w:lang w:val="fr-FR"/>
        </w:rPr>
        <w:t xml:space="preserve"> de cette classe. Une classe est associée à un ensemble ouvert d'instances réelles (l'</w:t>
      </w:r>
      <w:hyperlink w:anchor="terminologie-extension">
        <w:r w:rsidRPr="246FBB6F">
          <w:rPr>
            <w:rStyle w:val="Hyperlink"/>
            <w:b/>
            <w:bCs/>
            <w:lang w:val="fr-FR"/>
          </w:rPr>
          <w:t>extension</w:t>
        </w:r>
      </w:hyperlink>
      <w:r w:rsidRPr="246FBB6F">
        <w:rPr>
          <w:lang w:val="fr-FR"/>
        </w:rPr>
        <w:t xml:space="preserve"> de la classe), ce qui veut dire qu’une capacité humaine normale ne permet pas de connaître toutes les instances d’une classe existant dans le « monde » à un moment donné, ni de prendre en compte les instances qui pourraient émerger dans le futur (voir </w:t>
      </w:r>
      <w:hyperlink w:anchor="terminologie-monde-ouvert">
        <w:r w:rsidRPr="246FBB6F">
          <w:rPr>
            <w:rStyle w:val="Hyperlink"/>
            <w:b/>
            <w:bCs/>
            <w:lang w:val="fr-FR"/>
          </w:rPr>
          <w:t>Monde Ouvert</w:t>
        </w:r>
      </w:hyperlink>
      <w:r w:rsidRPr="246FBB6F">
        <w:rPr>
          <w:lang w:val="fr-FR"/>
        </w:rPr>
        <w:t>). Par conséquent, une classe ne peut pas être définie en énumérant ses instances.</w:t>
      </w:r>
    </w:p>
    <w:p w14:paraId="1D8BD016" w14:textId="77777777" w:rsidR="0084489F" w:rsidRDefault="00110FE6">
      <w:pPr>
        <w:pStyle w:val="BodyText"/>
      </w:pPr>
      <w:r>
        <w:t>Une classe joue un rôle analogue à un nom grammatical [n.d.t. dans le contexte d’une langue SVO, c.-à-d. une langue comme le français dont les phrases suivent généralement l’ordre sujet-verbe-objet] et peut être complètement définie sans référence à aucun autre construit (contrairement aux propriétés, qui doivent avoir un domaine et une portée définis sans ambiguïté).</w:t>
      </w:r>
    </w:p>
    <w:p w14:paraId="17BAAA12" w14:textId="77777777" w:rsidR="0084489F" w:rsidRDefault="00110FE6">
      <w:pPr>
        <w:pStyle w:val="BodyText"/>
      </w:pPr>
      <w:r>
        <w:t>Dans certains contextes, les termes classe individuelle, entité ou nœud sont utilisés comme synonymes de classe.</w:t>
      </w:r>
    </w:p>
    <w:p w14:paraId="6F1B325A" w14:textId="77777777" w:rsidR="0084489F" w:rsidRDefault="00110FE6">
      <w:pPr>
        <w:pStyle w:val="BodyText"/>
      </w:pPr>
      <w:r>
        <w:t>Par exemple :</w:t>
      </w:r>
    </w:p>
    <w:p w14:paraId="0167A148" w14:textId="77777777" w:rsidR="0084489F" w:rsidRDefault="00110FE6">
      <w:pPr>
        <w:pStyle w:val="BodyText"/>
      </w:pPr>
      <w:r>
        <w:rPr>
          <w:rStyle w:val="VerbatimChar"/>
        </w:rPr>
        <w:t>E21_Personne</w:t>
      </w:r>
      <w:r>
        <w:t xml:space="preserve"> est une classe [n.d.t. désignant] ce que « tous » comprennent collectivement être une « personne », laquelle peut être déterminée par des caractéristiques de l’ADN par exemple. Une instance de </w:t>
      </w:r>
      <w:r>
        <w:rPr>
          <w:rStyle w:val="VerbatimChar"/>
        </w:rPr>
        <w:t>E21_Personne</w:t>
      </w:r>
      <w:r>
        <w:t xml:space="preserve"> peut avoir la propriété d'être membre d'un groupe (</w:t>
      </w:r>
      <w:r>
        <w:rPr>
          <w:rStyle w:val="VerbatimChar"/>
        </w:rPr>
        <w:t>E74_Groupe</w:t>
      </w:r>
      <w:r>
        <w:t xml:space="preserve">), mais il n'est pas nécessaire d'être membre d'une </w:t>
      </w:r>
      <w:r>
        <w:rPr>
          <w:rStyle w:val="VerbatimChar"/>
        </w:rPr>
        <w:t>E74_Groupe</w:t>
      </w:r>
      <w:r>
        <w:t xml:space="preserve"> pour être une </w:t>
      </w:r>
      <w:r>
        <w:rPr>
          <w:rStyle w:val="VerbatimChar"/>
        </w:rPr>
        <w:t>E21_Personne</w:t>
      </w:r>
      <w:r>
        <w:t xml:space="preserve"> et il n’est pas possible de connaître toutes les personnes du passé tout comme il y aura plus de personnes dans le futur.</w:t>
      </w:r>
    </w:p>
    <w:p w14:paraId="7FA300EC" w14:textId="77777777" w:rsidR="0084489F" w:rsidRDefault="00110FE6">
      <w:pPr>
        <w:pStyle w:val="BlockText"/>
      </w:pPr>
      <w:r>
        <w:rPr>
          <w:b/>
          <w:bCs/>
          <w:i/>
          <w:iCs/>
        </w:rPr>
        <w:t>Note de traduction</w:t>
      </w:r>
    </w:p>
    <w:p w14:paraId="2B675FAA" w14:textId="77777777" w:rsidR="0084489F" w:rsidRDefault="00110FE6">
      <w:pPr>
        <w:pStyle w:val="BlockText"/>
      </w:pPr>
      <w:r>
        <w:rPr>
          <w:b/>
          <w:bCs/>
          <w:i/>
          <w:iCs/>
        </w:rPr>
        <w:t>Références</w:t>
      </w:r>
    </w:p>
    <w:p w14:paraId="37CDBA6D" w14:textId="77777777" w:rsidR="0084489F" w:rsidRDefault="296B54BA">
      <w:pPr>
        <w:pStyle w:val="BlockText"/>
      </w:pPr>
      <w:r w:rsidRPr="00CC39FB">
        <w:rPr>
          <w:lang w:val="fr-FR"/>
        </w:rPr>
        <w:t xml:space="preserve">Wikipédia. « Langue SVO ». Dans </w:t>
      </w:r>
      <w:r w:rsidRPr="00CC39FB">
        <w:rPr>
          <w:i/>
          <w:iCs/>
          <w:lang w:val="fr-FR"/>
        </w:rPr>
        <w:t>Wikipédia</w:t>
      </w:r>
      <w:r w:rsidRPr="00CC39FB">
        <w:rPr>
          <w:lang w:val="fr-FR"/>
        </w:rPr>
        <w:t>. San Francisco, US-CA: Wikipédia, 31 octobre 2020.</w:t>
      </w:r>
      <w:hyperlink r:id="rId29">
        <w:r w:rsidRPr="00CC39FB">
          <w:rPr>
            <w:rStyle w:val="Hyperlink"/>
            <w:lang w:val="fr-FR"/>
          </w:rPr>
          <w:t xml:space="preserve"> </w:t>
        </w:r>
      </w:hyperlink>
      <w:hyperlink r:id="rId30">
        <w:r w:rsidRPr="00CC39FB">
          <w:rPr>
            <w:rStyle w:val="Hyperlink"/>
            <w:lang w:val="fr-FR"/>
          </w:rPr>
          <w:t>https://fr.wikipedia.org/w/index.php?title=Langue_SVO&amp;oldid=176099662</w:t>
        </w:r>
      </w:hyperlink>
      <w:r w:rsidRPr="00CC39FB">
        <w:rPr>
          <w:lang w:val="fr-FR"/>
        </w:rPr>
        <w:t>.</w:t>
      </w:r>
    </w:p>
    <w:p w14:paraId="6A75ADE1" w14:textId="77777777" w:rsidR="0084489F" w:rsidRDefault="0084489F">
      <w:pPr>
        <w:pStyle w:val="FirstParagraph"/>
      </w:pPr>
      <w:bookmarkStart w:id="18" w:name="terminologie-sous-classe"/>
      <w:bookmarkEnd w:id="18"/>
    </w:p>
    <w:p w14:paraId="3F9C791D" w14:textId="77777777" w:rsidR="0084489F" w:rsidRDefault="00110FE6">
      <w:pPr>
        <w:pStyle w:val="BodyText"/>
      </w:pPr>
      <w:r>
        <w:rPr>
          <w:b/>
          <w:bCs/>
        </w:rPr>
        <w:t>Sous-classe</w:t>
      </w:r>
    </w:p>
    <w:p w14:paraId="70DF2858" w14:textId="77777777" w:rsidR="0084489F" w:rsidRDefault="00110FE6">
      <w:pPr>
        <w:pStyle w:val="BodyText"/>
      </w:pPr>
      <w:r w:rsidRPr="246FBB6F">
        <w:rPr>
          <w:lang w:val="fr-FR"/>
        </w:rPr>
        <w:t xml:space="preserve">Une sous-classe est une </w:t>
      </w:r>
      <w:hyperlink w:anchor="terminologie-classe">
        <w:r w:rsidRPr="246FBB6F">
          <w:rPr>
            <w:rStyle w:val="Hyperlink"/>
            <w:b/>
            <w:bCs/>
            <w:lang w:val="fr-FR"/>
          </w:rPr>
          <w:t>classe</w:t>
        </w:r>
      </w:hyperlink>
      <w:r w:rsidRPr="246FBB6F">
        <w:rPr>
          <w:lang w:val="fr-FR"/>
        </w:rPr>
        <w:t xml:space="preserve"> qui est une spécialisation d'une autre classe (sa </w:t>
      </w:r>
      <w:hyperlink w:anchor="terminologie-super-classe">
        <w:r w:rsidRPr="246FBB6F">
          <w:rPr>
            <w:rStyle w:val="Hyperlink"/>
            <w:b/>
            <w:bCs/>
            <w:lang w:val="fr-FR"/>
          </w:rPr>
          <w:t>super-classe</w:t>
        </w:r>
      </w:hyperlink>
      <w:r w:rsidRPr="246FBB6F">
        <w:rPr>
          <w:lang w:val="fr-FR"/>
        </w:rPr>
        <w:t xml:space="preserve">). La spécialisation ou la relation </w:t>
      </w:r>
      <w:r w:rsidRPr="246FBB6F">
        <w:rPr>
          <w:rStyle w:val="VerbatimChar"/>
          <w:lang w:val="fr-FR"/>
        </w:rPr>
        <w:t>estUn</w:t>
      </w:r>
      <w:r w:rsidRPr="246FBB6F">
        <w:rPr>
          <w:lang w:val="fr-FR"/>
        </w:rPr>
        <w:t xml:space="preserve"> signifie que :</w:t>
      </w:r>
    </w:p>
    <w:p w14:paraId="3C1BBDDE" w14:textId="77777777" w:rsidR="0084489F" w:rsidRDefault="00110FE6" w:rsidP="00806324">
      <w:pPr>
        <w:numPr>
          <w:ilvl w:val="0"/>
          <w:numId w:val="6"/>
        </w:numPr>
      </w:pPr>
      <w:r w:rsidRPr="246FBB6F">
        <w:rPr>
          <w:lang w:val="fr-FR"/>
        </w:rPr>
        <w:t xml:space="preserve">toutes les </w:t>
      </w:r>
      <w:r w:rsidRPr="246FBB6F">
        <w:rPr>
          <w:b/>
          <w:bCs/>
          <w:lang w:val="fr-FR"/>
        </w:rPr>
        <w:t>instances</w:t>
      </w:r>
      <w:r w:rsidRPr="246FBB6F">
        <w:rPr>
          <w:lang w:val="fr-FR"/>
        </w:rPr>
        <w:t xml:space="preserve"> de la sous-classe sont également des instances de sa superclasse;</w:t>
      </w:r>
    </w:p>
    <w:p w14:paraId="0F4FB7E8" w14:textId="77777777" w:rsidR="0084489F" w:rsidRDefault="00110FE6" w:rsidP="00806324">
      <w:pPr>
        <w:numPr>
          <w:ilvl w:val="0"/>
          <w:numId w:val="6"/>
        </w:numPr>
      </w:pPr>
      <w:r w:rsidRPr="246FBB6F">
        <w:rPr>
          <w:lang w:val="fr-FR"/>
        </w:rPr>
        <w:lastRenderedPageBreak/>
        <w:t>l</w:t>
      </w:r>
      <w:hyperlink w:anchor="terminologie-intension">
        <w:r w:rsidRPr="246FBB6F">
          <w:rPr>
            <w:rStyle w:val="Hyperlink"/>
            <w:lang w:val="fr-FR"/>
          </w:rPr>
          <w:t>'</w:t>
        </w:r>
      </w:hyperlink>
      <w:hyperlink w:anchor="terminologie-intension">
        <w:r w:rsidRPr="246FBB6F">
          <w:rPr>
            <w:rStyle w:val="Hyperlink"/>
            <w:b/>
            <w:bCs/>
            <w:lang w:val="fr-FR"/>
          </w:rPr>
          <w:t>intension</w:t>
        </w:r>
      </w:hyperlink>
      <w:r w:rsidRPr="246FBB6F">
        <w:rPr>
          <w:lang w:val="fr-FR"/>
        </w:rPr>
        <w:t xml:space="preserve"> de la sous-classe étend l'intension de sa super-classe, c'est-à-dire que ses traits sont plus restrictifs que celui de sa super-classe;</w:t>
      </w:r>
    </w:p>
    <w:p w14:paraId="004EF2FC" w14:textId="77777777" w:rsidR="0084489F" w:rsidRDefault="00110FE6" w:rsidP="00806324">
      <w:pPr>
        <w:numPr>
          <w:ilvl w:val="0"/>
          <w:numId w:val="6"/>
        </w:numPr>
      </w:pPr>
      <w:r w:rsidRPr="246FBB6F">
        <w:rPr>
          <w:lang w:val="fr-FR"/>
        </w:rPr>
        <w:t xml:space="preserve">la sous-classe </w:t>
      </w:r>
      <w:hyperlink w:anchor="terminologie-heritage">
        <w:r w:rsidRPr="246FBB6F">
          <w:rPr>
            <w:rStyle w:val="Hyperlink"/>
            <w:b/>
            <w:bCs/>
            <w:lang w:val="fr-FR"/>
          </w:rPr>
          <w:t>hérite</w:t>
        </w:r>
      </w:hyperlink>
      <w:r w:rsidRPr="246FBB6F">
        <w:rPr>
          <w:lang w:val="fr-FR"/>
        </w:rPr>
        <w:t xml:space="preserve"> de la définition de toutes les </w:t>
      </w:r>
      <w:r w:rsidRPr="246FBB6F">
        <w:rPr>
          <w:b/>
          <w:bCs/>
          <w:lang w:val="fr-FR"/>
        </w:rPr>
        <w:t>propriétés</w:t>
      </w:r>
      <w:r w:rsidRPr="246FBB6F">
        <w:rPr>
          <w:lang w:val="fr-FR"/>
        </w:rPr>
        <w:t xml:space="preserve"> déclarées pour sa super-classe, et ce sans exception (</w:t>
      </w:r>
      <w:hyperlink w:anchor="terminologie-heritage-strict">
        <w:r w:rsidRPr="246FBB6F">
          <w:rPr>
            <w:rStyle w:val="Hyperlink"/>
            <w:b/>
            <w:bCs/>
            <w:lang w:val="fr-FR"/>
          </w:rPr>
          <w:t>héritage strict</w:t>
        </w:r>
      </w:hyperlink>
      <w:r w:rsidRPr="246FBB6F">
        <w:rPr>
          <w:lang w:val="fr-FR"/>
        </w:rPr>
        <w:t>), en plus de n'avoir aucune, une ou plusieurs propriétés qui lui sont propres.</w:t>
      </w:r>
    </w:p>
    <w:p w14:paraId="6FCC6DC2" w14:textId="77777777" w:rsidR="0084489F" w:rsidRDefault="00110FE6">
      <w:pPr>
        <w:pStyle w:val="FirstParagraph"/>
      </w:pPr>
      <w:r w:rsidRPr="246FBB6F">
        <w:rPr>
          <w:lang w:val="fr-FR"/>
        </w:rPr>
        <w:t>Une sous-classe peut relever directement de plus d'une super-classe et hériter par conséquent des propriétés de toutes ses super-classes (</w:t>
      </w:r>
      <w:hyperlink w:anchor="terminologie-heritage-multiple">
        <w:r w:rsidRPr="246FBB6F">
          <w:rPr>
            <w:rStyle w:val="Hyperlink"/>
            <w:b/>
            <w:bCs/>
            <w:lang w:val="fr-FR"/>
          </w:rPr>
          <w:t>héritage multiple</w:t>
        </w:r>
      </w:hyperlink>
      <w:r w:rsidRPr="246FBB6F">
        <w:rPr>
          <w:lang w:val="fr-FR"/>
        </w:rPr>
        <w:t xml:space="preserve">). La relation </w:t>
      </w:r>
      <w:r w:rsidRPr="246FBB6F">
        <w:rPr>
          <w:rStyle w:val="VerbatimChar"/>
          <w:lang w:val="fr-FR"/>
        </w:rPr>
        <w:t>estUn</w:t>
      </w:r>
      <w:r w:rsidRPr="246FBB6F">
        <w:rPr>
          <w:lang w:val="fr-FR"/>
        </w:rPr>
        <w:t xml:space="preserve"> (ou la spécialisation entre deux ou plusieurs classes) résulte en une hiérarchie de classes. C’est une relation transitive qui peut ne pas être cyclique. Dans certains contextes (p. ex. le langage de programmation C ++), le terme « classe dérivée » est utilisé comme synonyme de sous-classe.</w:t>
      </w:r>
    </w:p>
    <w:p w14:paraId="109B9EDF" w14:textId="77777777" w:rsidR="0084489F" w:rsidRDefault="00110FE6">
      <w:pPr>
        <w:pStyle w:val="BodyText"/>
      </w:pPr>
      <w:r>
        <w:t>Par exemple :</w:t>
      </w:r>
    </w:p>
    <w:p w14:paraId="3D2A8862" w14:textId="77777777" w:rsidR="0084489F" w:rsidRDefault="00110FE6">
      <w:pPr>
        <w:pStyle w:val="BodyText"/>
      </w:pPr>
      <w:r w:rsidRPr="246FBB6F">
        <w:rPr>
          <w:lang w:val="fr-FR"/>
        </w:rPr>
        <w:t xml:space="preserve">Chaque </w:t>
      </w:r>
      <w:r w:rsidRPr="246FBB6F">
        <w:rPr>
          <w:rStyle w:val="VerbatimChar"/>
          <w:lang w:val="fr-FR"/>
        </w:rPr>
        <w:t>E21_Personne</w:t>
      </w:r>
      <w:r w:rsidRPr="246FBB6F">
        <w:rPr>
          <w:lang w:val="fr-FR"/>
        </w:rPr>
        <w:t xml:space="preserve"> </w:t>
      </w:r>
      <w:r w:rsidRPr="246FBB6F">
        <w:rPr>
          <w:rStyle w:val="VerbatimChar"/>
          <w:lang w:val="fr-FR"/>
        </w:rPr>
        <w:t>estUn</w:t>
      </w:r>
      <w:r w:rsidRPr="246FBB6F">
        <w:rPr>
          <w:lang w:val="fr-FR"/>
        </w:rPr>
        <w:t xml:space="preserve"> </w:t>
      </w:r>
      <w:r w:rsidRPr="246FBB6F">
        <w:rPr>
          <w:rStyle w:val="VerbatimChar"/>
          <w:lang w:val="fr-FR"/>
        </w:rPr>
        <w:t>E20_Objet_biologique</w:t>
      </w:r>
      <w:r w:rsidRPr="246FBB6F">
        <w:rPr>
          <w:lang w:val="fr-FR"/>
        </w:rPr>
        <w:t xml:space="preserve">, où </w:t>
      </w:r>
      <w:r w:rsidRPr="246FBB6F">
        <w:rPr>
          <w:rStyle w:val="VerbatimChar"/>
          <w:lang w:val="fr-FR"/>
        </w:rPr>
        <w:t>E21_Personne</w:t>
      </w:r>
      <w:r w:rsidRPr="246FBB6F">
        <w:rPr>
          <w:lang w:val="fr-FR"/>
        </w:rPr>
        <w:t xml:space="preserve"> est une sous-classe de </w:t>
      </w:r>
      <w:r w:rsidRPr="246FBB6F">
        <w:rPr>
          <w:rStyle w:val="VerbatimChar"/>
          <w:lang w:val="fr-FR"/>
        </w:rPr>
        <w:t>E20_Objet_biologique</w:t>
      </w:r>
      <w:r w:rsidRPr="246FBB6F">
        <w:rPr>
          <w:lang w:val="fr-FR"/>
        </w:rPr>
        <w:t>.</w:t>
      </w:r>
    </w:p>
    <w:p w14:paraId="23BEFA5C" w14:textId="77777777" w:rsidR="0084489F" w:rsidRDefault="00110FE6">
      <w:pPr>
        <w:pStyle w:val="BodyText"/>
      </w:pPr>
      <w:r w:rsidRPr="246FBB6F">
        <w:rPr>
          <w:lang w:val="fr-FR"/>
        </w:rPr>
        <w:t xml:space="preserve">De plus, chaque </w:t>
      </w:r>
      <w:r w:rsidRPr="246FBB6F">
        <w:rPr>
          <w:rStyle w:val="VerbatimChar"/>
          <w:lang w:val="fr-FR"/>
        </w:rPr>
        <w:t>E21_Personne</w:t>
      </w:r>
      <w:r w:rsidRPr="246FBB6F">
        <w:rPr>
          <w:lang w:val="fr-FR"/>
        </w:rPr>
        <w:t xml:space="preserve"> </w:t>
      </w:r>
      <w:r w:rsidRPr="246FBB6F">
        <w:rPr>
          <w:rStyle w:val="VerbatimChar"/>
          <w:lang w:val="fr-FR"/>
        </w:rPr>
        <w:t>estUn</w:t>
      </w:r>
      <w:r w:rsidRPr="246FBB6F">
        <w:rPr>
          <w:lang w:val="fr-FR"/>
        </w:rPr>
        <w:t xml:space="preserve"> </w:t>
      </w:r>
      <w:r w:rsidRPr="246FBB6F">
        <w:rPr>
          <w:rStyle w:val="VerbatimChar"/>
          <w:lang w:val="fr-FR"/>
        </w:rPr>
        <w:t>E39_Actant</w:t>
      </w:r>
      <w:r w:rsidRPr="246FBB6F">
        <w:rPr>
          <w:lang w:val="fr-FR"/>
        </w:rPr>
        <w:t xml:space="preserve">. Une </w:t>
      </w:r>
      <w:r w:rsidRPr="246FBB6F">
        <w:rPr>
          <w:rStyle w:val="VerbatimChar"/>
          <w:lang w:val="fr-FR"/>
        </w:rPr>
        <w:t>E21_Personne</w:t>
      </w:r>
      <w:r w:rsidRPr="246FBB6F">
        <w:rPr>
          <w:lang w:val="fr-FR"/>
        </w:rPr>
        <w:t xml:space="preserve"> peut mourir, bien que d’autres types [n.d.t. d’instances] de </w:t>
      </w:r>
      <w:r w:rsidRPr="246FBB6F">
        <w:rPr>
          <w:rStyle w:val="VerbatimChar"/>
          <w:lang w:val="fr-FR"/>
        </w:rPr>
        <w:t>E39_Actant</w:t>
      </w:r>
      <w:r w:rsidRPr="246FBB6F">
        <w:rPr>
          <w:lang w:val="fr-FR"/>
        </w:rPr>
        <w:t>, comme les entreprises, ne meurent pas (cf. 2).</w:t>
      </w:r>
    </w:p>
    <w:p w14:paraId="70975E55" w14:textId="77777777" w:rsidR="0084489F" w:rsidRDefault="00110FE6">
      <w:pPr>
        <w:pStyle w:val="BodyText"/>
      </w:pPr>
      <w:r w:rsidRPr="246FBB6F">
        <w:rPr>
          <w:lang w:val="fr-FR"/>
        </w:rPr>
        <w:t xml:space="preserve">Chaque </w:t>
      </w:r>
      <w:r w:rsidRPr="246FBB6F">
        <w:rPr>
          <w:rStyle w:val="VerbatimChar"/>
          <w:lang w:val="fr-FR"/>
        </w:rPr>
        <w:t>E20_Objet_biologique</w:t>
      </w:r>
      <w:r w:rsidRPr="246FBB6F">
        <w:rPr>
          <w:lang w:val="fr-FR"/>
        </w:rPr>
        <w:t xml:space="preserve"> </w:t>
      </w:r>
      <w:r w:rsidRPr="246FBB6F">
        <w:rPr>
          <w:rStyle w:val="VerbatimChar"/>
          <w:lang w:val="fr-FR"/>
        </w:rPr>
        <w:t>estUn</w:t>
      </w:r>
      <w:r w:rsidRPr="246FBB6F">
        <w:rPr>
          <w:lang w:val="fr-FR"/>
        </w:rPr>
        <w:t xml:space="preserve"> </w:t>
      </w:r>
      <w:r w:rsidRPr="246FBB6F">
        <w:rPr>
          <w:rStyle w:val="VerbatimChar"/>
          <w:lang w:val="fr-FR"/>
        </w:rPr>
        <w:t>E19_Objet_matériel</w:t>
      </w:r>
      <w:r w:rsidRPr="246FBB6F">
        <w:rPr>
          <w:lang w:val="fr-FR"/>
        </w:rPr>
        <w:t xml:space="preserve">. Un </w:t>
      </w:r>
      <w:r w:rsidRPr="246FBB6F">
        <w:rPr>
          <w:rStyle w:val="VerbatimChar"/>
          <w:lang w:val="fr-FR"/>
        </w:rPr>
        <w:t>E19_Objet_matériel</w:t>
      </w:r>
      <w:r w:rsidRPr="246FBB6F">
        <w:rPr>
          <w:lang w:val="fr-FR"/>
        </w:rPr>
        <w:t xml:space="preserve"> peut être déplacé, ce qui implique qu’une </w:t>
      </w:r>
      <w:r w:rsidRPr="246FBB6F">
        <w:rPr>
          <w:rStyle w:val="VerbatimChar"/>
          <w:lang w:val="fr-FR"/>
        </w:rPr>
        <w:t>E21_Personne</w:t>
      </w:r>
      <w:r w:rsidRPr="246FBB6F">
        <w:rPr>
          <w:lang w:val="fr-FR"/>
        </w:rPr>
        <w:t xml:space="preserve"> peut également être déplacée (c.f. 3).</w:t>
      </w:r>
    </w:p>
    <w:p w14:paraId="7A0AC495" w14:textId="77777777" w:rsidR="0084489F" w:rsidRDefault="00110FE6">
      <w:pPr>
        <w:pStyle w:val="BlockText"/>
      </w:pPr>
      <w:r>
        <w:rPr>
          <w:b/>
          <w:bCs/>
          <w:i/>
          <w:iCs/>
        </w:rPr>
        <w:t>Note de traduction</w:t>
      </w:r>
    </w:p>
    <w:p w14:paraId="0A2482F1" w14:textId="77777777" w:rsidR="0084489F" w:rsidRDefault="00110FE6">
      <w:pPr>
        <w:pStyle w:val="BlockText"/>
      </w:pPr>
      <w:r>
        <w:rPr>
          <w:b/>
          <w:bCs/>
          <w:i/>
          <w:iCs/>
        </w:rPr>
        <w:t>Références</w:t>
      </w:r>
    </w:p>
    <w:p w14:paraId="21CA705B" w14:textId="77777777" w:rsidR="0084489F" w:rsidRDefault="0084489F">
      <w:pPr>
        <w:pStyle w:val="FirstParagraph"/>
      </w:pPr>
      <w:bookmarkStart w:id="19" w:name="terminologie-super-classe"/>
      <w:bookmarkEnd w:id="19"/>
    </w:p>
    <w:p w14:paraId="6E45288D" w14:textId="77777777" w:rsidR="0084489F" w:rsidRDefault="00110FE6">
      <w:pPr>
        <w:pStyle w:val="BodyText"/>
      </w:pPr>
      <w:r>
        <w:rPr>
          <w:b/>
          <w:bCs/>
        </w:rPr>
        <w:t>Super-classe</w:t>
      </w:r>
    </w:p>
    <w:p w14:paraId="6E318CBA" w14:textId="77777777" w:rsidR="0084489F" w:rsidRDefault="00110FE6">
      <w:pPr>
        <w:pStyle w:val="BodyText"/>
      </w:pPr>
      <w:r w:rsidRPr="246FBB6F">
        <w:rPr>
          <w:lang w:val="fr-FR"/>
        </w:rPr>
        <w:t xml:space="preserve">Une super-classe est une </w:t>
      </w:r>
      <w:hyperlink w:anchor="terminologie-classe">
        <w:r w:rsidRPr="246FBB6F">
          <w:rPr>
            <w:rStyle w:val="Hyperlink"/>
            <w:b/>
            <w:bCs/>
            <w:lang w:val="fr-FR"/>
          </w:rPr>
          <w:t>classe</w:t>
        </w:r>
      </w:hyperlink>
      <w:r w:rsidRPr="246FBB6F">
        <w:rPr>
          <w:lang w:val="fr-FR"/>
        </w:rPr>
        <w:t xml:space="preserve"> qui est une généralisation d'une ou de plusieurs autres classes (ses </w:t>
      </w:r>
      <w:hyperlink w:anchor="terminologie-sous-classe">
        <w:r w:rsidRPr="246FBB6F">
          <w:rPr>
            <w:rStyle w:val="Hyperlink"/>
            <w:b/>
            <w:bCs/>
            <w:lang w:val="fr-FR"/>
          </w:rPr>
          <w:t>sous-classes</w:t>
        </w:r>
      </w:hyperlink>
      <w:r w:rsidRPr="246FBB6F">
        <w:rPr>
          <w:lang w:val="fr-FR"/>
        </w:rPr>
        <w:t xml:space="preserve">), ce qui signifie qu'elle englobe toutes les </w:t>
      </w:r>
      <w:hyperlink w:anchor="terminologie-instance">
        <w:r w:rsidRPr="246FBB6F">
          <w:rPr>
            <w:rStyle w:val="Hyperlink"/>
            <w:b/>
            <w:bCs/>
            <w:lang w:val="fr-FR"/>
          </w:rPr>
          <w:t>instances</w:t>
        </w:r>
      </w:hyperlink>
      <w:r w:rsidRPr="246FBB6F">
        <w:rPr>
          <w:lang w:val="fr-FR"/>
        </w:rPr>
        <w:t xml:space="preserve"> de ses sous-classes et qu'elle peut également avoir des instances supplémentaires qui n'appartiennent à aucune de ses sous-classes. L'</w:t>
      </w:r>
      <w:hyperlink w:anchor="terminologie-intension">
        <w:r w:rsidRPr="246FBB6F">
          <w:rPr>
            <w:rStyle w:val="Hyperlink"/>
            <w:b/>
            <w:bCs/>
            <w:lang w:val="fr-FR"/>
          </w:rPr>
          <w:t>intension</w:t>
        </w:r>
      </w:hyperlink>
      <w:r w:rsidRPr="246FBB6F">
        <w:rPr>
          <w:lang w:val="fr-FR"/>
        </w:rPr>
        <w:t xml:space="preserve"> de la super-classe est moins restrictive que n'importe laquelle de ses sous-classes. Cette relation de subsomption ou de généralisation est l’inverse de la relation ou de la spécialisation </w:t>
      </w:r>
      <w:r w:rsidRPr="246FBB6F">
        <w:rPr>
          <w:rStyle w:val="VerbatimChar"/>
          <w:lang w:val="fr-FR"/>
        </w:rPr>
        <w:t>estUn</w:t>
      </w:r>
      <w:r w:rsidRPr="246FBB6F">
        <w:rPr>
          <w:lang w:val="fr-FR"/>
        </w:rPr>
        <w:t>.</w:t>
      </w:r>
    </w:p>
    <w:p w14:paraId="7DF09DCC" w14:textId="77777777" w:rsidR="0084489F" w:rsidRDefault="00110FE6">
      <w:pPr>
        <w:pStyle w:val="BodyText"/>
      </w:pPr>
      <w:r>
        <w:t>Par exemple :</w:t>
      </w:r>
    </w:p>
    <w:p w14:paraId="12E2A069" w14:textId="77777777" w:rsidR="0084489F" w:rsidRDefault="00110FE6">
      <w:pPr>
        <w:pStyle w:val="BodyText"/>
      </w:pPr>
      <w:r>
        <w:t>« </w:t>
      </w:r>
      <w:r>
        <w:rPr>
          <w:rStyle w:val="VerbatimChar"/>
        </w:rPr>
        <w:t>E20_Objet_biologique</w:t>
      </w:r>
      <w:r>
        <w:t xml:space="preserve"> subsume </w:t>
      </w:r>
      <w:r>
        <w:rPr>
          <w:rStyle w:val="VerbatimChar"/>
        </w:rPr>
        <w:t>E21_Personne</w:t>
      </w:r>
      <w:r>
        <w:t> » est synonyme de « </w:t>
      </w:r>
      <w:r>
        <w:rPr>
          <w:rStyle w:val="VerbatimChar"/>
        </w:rPr>
        <w:t>E20_Objet_biologique</w:t>
      </w:r>
      <w:r>
        <w:t xml:space="preserve"> est une super-classe de </w:t>
      </w:r>
      <w:r>
        <w:rPr>
          <w:rStyle w:val="VerbatimChar"/>
        </w:rPr>
        <w:t>E21_Personne</w:t>
      </w:r>
      <w:r>
        <w:t xml:space="preserve"> ». Il faut en effet moins de traits [n.d.t. tels qu’ils sont définis dans la </w:t>
      </w:r>
      <w:hyperlink w:anchor="terminologie-note-dapplication">
        <w:r>
          <w:rPr>
            <w:rStyle w:val="Hyperlink"/>
            <w:b/>
            <w:bCs/>
          </w:rPr>
          <w:t>note d’application</w:t>
        </w:r>
      </w:hyperlink>
      <w:r>
        <w:t xml:space="preserve">] pour identifier un élément en tant que </w:t>
      </w:r>
      <w:r>
        <w:rPr>
          <w:rStyle w:val="VerbatimChar"/>
        </w:rPr>
        <w:t>E20_Objet_biologique</w:t>
      </w:r>
      <w:r>
        <w:t xml:space="preserve"> que pour l'identifier en tant que </w:t>
      </w:r>
      <w:r>
        <w:rPr>
          <w:rStyle w:val="VerbatimChar"/>
        </w:rPr>
        <w:t>E21_Personne</w:t>
      </w:r>
      <w:r>
        <w:t>.</w:t>
      </w:r>
    </w:p>
    <w:p w14:paraId="1B309505" w14:textId="77777777" w:rsidR="0084489F" w:rsidRDefault="00110FE6">
      <w:pPr>
        <w:pStyle w:val="BlockText"/>
      </w:pPr>
      <w:r>
        <w:rPr>
          <w:b/>
          <w:bCs/>
          <w:i/>
          <w:iCs/>
        </w:rPr>
        <w:t>Note de traduction</w:t>
      </w:r>
    </w:p>
    <w:p w14:paraId="31D18F20" w14:textId="77777777" w:rsidR="0084489F" w:rsidRDefault="00110FE6">
      <w:pPr>
        <w:pStyle w:val="BlockText"/>
      </w:pPr>
      <w:r>
        <w:rPr>
          <w:b/>
          <w:bCs/>
          <w:i/>
          <w:iCs/>
        </w:rPr>
        <w:t>Références</w:t>
      </w:r>
    </w:p>
    <w:p w14:paraId="69FF73D2" w14:textId="77777777" w:rsidR="00260129" w:rsidRPr="00260129" w:rsidRDefault="00260129" w:rsidP="00AB28D9">
      <w:pPr>
        <w:pStyle w:val="BodyText"/>
      </w:pPr>
      <w:bookmarkStart w:id="20" w:name="terminologie-intension"/>
      <w:bookmarkEnd w:id="20"/>
    </w:p>
    <w:p w14:paraId="655F1B12" w14:textId="77777777" w:rsidR="0084489F" w:rsidRDefault="00110FE6">
      <w:pPr>
        <w:pStyle w:val="BodyText"/>
      </w:pPr>
      <w:r>
        <w:rPr>
          <w:b/>
          <w:bCs/>
        </w:rPr>
        <w:t>Intension</w:t>
      </w:r>
    </w:p>
    <w:p w14:paraId="0C9E8079" w14:textId="68909A5A" w:rsidR="0084489F" w:rsidRDefault="00110FE6">
      <w:pPr>
        <w:pStyle w:val="BodyText"/>
      </w:pPr>
      <w:r w:rsidRPr="246FBB6F">
        <w:rPr>
          <w:lang w:val="fr-FR"/>
        </w:rPr>
        <w:t xml:space="preserve">L'intension d'une </w:t>
      </w:r>
      <w:hyperlink w:anchor="terminologie-classe">
        <w:r w:rsidRPr="246FBB6F">
          <w:rPr>
            <w:rStyle w:val="Hyperlink"/>
            <w:b/>
            <w:bCs/>
            <w:lang w:val="fr-FR"/>
          </w:rPr>
          <w:t>classe</w:t>
        </w:r>
      </w:hyperlink>
      <w:r w:rsidRPr="246FBB6F">
        <w:rPr>
          <w:lang w:val="fr-FR"/>
        </w:rPr>
        <w:t xml:space="preserve"> ou d'une </w:t>
      </w:r>
      <w:hyperlink w:anchor="terminologie-propriete">
        <w:r w:rsidRPr="246FBB6F">
          <w:rPr>
            <w:rStyle w:val="Hyperlink"/>
            <w:b/>
            <w:bCs/>
            <w:lang w:val="fr-FR"/>
          </w:rPr>
          <w:t>propriété</w:t>
        </w:r>
      </w:hyperlink>
      <w:r w:rsidRPr="246FBB6F">
        <w:rPr>
          <w:lang w:val="fr-FR"/>
        </w:rPr>
        <w:t xml:space="preserve"> est sa signification prévue. Elle est composée d'un ou de plusieurs traits communs partagés par toutes les </w:t>
      </w:r>
      <w:hyperlink w:anchor="terminologie-instance">
        <w:r w:rsidRPr="246FBB6F">
          <w:rPr>
            <w:rStyle w:val="Hyperlink"/>
            <w:b/>
            <w:bCs/>
            <w:lang w:val="fr-FR"/>
          </w:rPr>
          <w:t>instances</w:t>
        </w:r>
      </w:hyperlink>
      <w:r w:rsidRPr="246FBB6F">
        <w:rPr>
          <w:lang w:val="fr-FR"/>
        </w:rPr>
        <w:t xml:space="preserve"> de la classe ou de la propriété. Ces traits n'ont pas besoin d'être explicitement formulés en termes logiques, mais peuvent simplement être décrits dans un texte (appelé ici </w:t>
      </w:r>
      <w:hyperlink w:anchor="terminologie-note-dapplication">
        <w:r w:rsidRPr="246FBB6F">
          <w:rPr>
            <w:rStyle w:val="Hyperlink"/>
            <w:b/>
            <w:bCs/>
            <w:lang w:val="fr-FR"/>
          </w:rPr>
          <w:t>note d'application</w:t>
        </w:r>
      </w:hyperlink>
      <w:r w:rsidRPr="246FBB6F">
        <w:rPr>
          <w:lang w:val="fr-FR"/>
        </w:rPr>
        <w:t xml:space="preserve">) qui réfère à une conceptualisation commune aux experts du </w:t>
      </w:r>
      <w:r w:rsidRPr="246FBB6F">
        <w:rPr>
          <w:lang w:val="fr-FR"/>
        </w:rPr>
        <w:lastRenderedPageBreak/>
        <w:t xml:space="preserve">domaine. En particulier, les concepts dits </w:t>
      </w:r>
      <w:hyperlink w:anchor="terminologie-primitive">
        <w:r w:rsidRPr="246FBB6F">
          <w:rPr>
            <w:rStyle w:val="Hyperlink"/>
            <w:b/>
            <w:bCs/>
            <w:lang w:val="fr-FR"/>
          </w:rPr>
          <w:t>primitifs</w:t>
        </w:r>
      </w:hyperlink>
      <w:r w:rsidRPr="246FBB6F">
        <w:rPr>
          <w:lang w:val="fr-FR"/>
        </w:rPr>
        <w:t>, qui constituent l'essentiel du CIDOC CRM, ne peuvent être davantage réduits à d'autres concepts par des termes logiques.</w:t>
      </w:r>
    </w:p>
    <w:p w14:paraId="37B349E5" w14:textId="77777777" w:rsidR="0084489F" w:rsidRDefault="00110FE6">
      <w:pPr>
        <w:pStyle w:val="BlockText"/>
      </w:pPr>
      <w:r>
        <w:rPr>
          <w:b/>
          <w:bCs/>
          <w:i/>
          <w:iCs/>
        </w:rPr>
        <w:t>Note de traduction</w:t>
      </w:r>
    </w:p>
    <w:p w14:paraId="7426A8E9" w14:textId="77777777" w:rsidR="0084489F" w:rsidRDefault="00110FE6">
      <w:pPr>
        <w:pStyle w:val="BlockText"/>
      </w:pPr>
      <w:r>
        <w:rPr>
          <w:b/>
          <w:bCs/>
          <w:i/>
          <w:iCs/>
        </w:rPr>
        <w:t>Références</w:t>
      </w:r>
    </w:p>
    <w:p w14:paraId="0A2AE0DE" w14:textId="77777777" w:rsidR="0084489F" w:rsidRDefault="0084489F">
      <w:pPr>
        <w:pStyle w:val="BlockText"/>
      </w:pPr>
      <w:bookmarkStart w:id="21" w:name="terminologie-extension"/>
      <w:bookmarkEnd w:id="21"/>
    </w:p>
    <w:p w14:paraId="11BE085E" w14:textId="77777777" w:rsidR="0084489F" w:rsidRDefault="00110FE6">
      <w:pPr>
        <w:pStyle w:val="BodyText"/>
      </w:pPr>
      <w:r>
        <w:rPr>
          <w:b/>
          <w:bCs/>
        </w:rPr>
        <w:t>Extension</w:t>
      </w:r>
    </w:p>
    <w:p w14:paraId="4253BB11" w14:textId="77777777" w:rsidR="0084489F" w:rsidRDefault="00110FE6">
      <w:pPr>
        <w:pStyle w:val="BodyText"/>
      </w:pPr>
      <w:r>
        <w:t xml:space="preserve">L'extension d'une </w:t>
      </w:r>
      <w:hyperlink w:anchor="terminologie-classe">
        <w:r>
          <w:rPr>
            <w:rStyle w:val="Hyperlink"/>
            <w:b/>
            <w:bCs/>
          </w:rPr>
          <w:t>classe</w:t>
        </w:r>
      </w:hyperlink>
      <w:r>
        <w:t xml:space="preserve"> est l'ensemble de toutes les </w:t>
      </w:r>
      <w:hyperlink w:anchor="terminologie-instance">
        <w:r>
          <w:rPr>
            <w:rStyle w:val="Hyperlink"/>
            <w:b/>
            <w:bCs/>
          </w:rPr>
          <w:t>instances</w:t>
        </w:r>
      </w:hyperlink>
      <w:r>
        <w:t xml:space="preserve"> « réelles » appartenant à la classe [n.d.t. du fait qu’elles] remplissent les critères de son </w:t>
      </w:r>
      <w:hyperlink w:anchor="terminologie-intension">
        <w:r>
          <w:rPr>
            <w:rStyle w:val="Hyperlink"/>
            <w:b/>
            <w:bCs/>
          </w:rPr>
          <w:t>intension</w:t>
        </w:r>
      </w:hyperlink>
      <w:r>
        <w:t xml:space="preserve">. Cet ensemble est « ouvert », ce qui veut dire qu’une capacité humaine normale ne permet pas de connaître toutes les instances d’une classe existant dans le « monde » à un moment donné, ni de prendre en compte les instances qui pourraient émerger dans le futur (voir </w:t>
      </w:r>
      <w:hyperlink w:anchor="terminologie-monde-ouvert">
        <w:r>
          <w:rPr>
            <w:rStyle w:val="Hyperlink"/>
            <w:b/>
            <w:bCs/>
          </w:rPr>
          <w:t>Monde Ouvert</w:t>
        </w:r>
      </w:hyperlink>
      <w:r>
        <w:t>). Un système d'information peut à n’importe quel moment faire référence à certaines instances d'une classe, lesquelles forment un sous-ensemble de son extension.</w:t>
      </w:r>
    </w:p>
    <w:p w14:paraId="213C4881" w14:textId="77777777" w:rsidR="0084489F" w:rsidRDefault="00110FE6">
      <w:pPr>
        <w:pStyle w:val="BlockText"/>
      </w:pPr>
      <w:r>
        <w:rPr>
          <w:b/>
          <w:bCs/>
          <w:i/>
          <w:iCs/>
        </w:rPr>
        <w:t>Note de traduction</w:t>
      </w:r>
    </w:p>
    <w:p w14:paraId="20B641BA" w14:textId="77777777" w:rsidR="0084489F" w:rsidRDefault="00110FE6">
      <w:pPr>
        <w:pStyle w:val="BlockText"/>
      </w:pPr>
      <w:r>
        <w:rPr>
          <w:b/>
          <w:bCs/>
          <w:i/>
          <w:iCs/>
        </w:rPr>
        <w:t>Références</w:t>
      </w:r>
    </w:p>
    <w:p w14:paraId="0B042D47" w14:textId="77777777" w:rsidR="0084489F" w:rsidRDefault="0084489F">
      <w:pPr>
        <w:pStyle w:val="BlockText"/>
      </w:pPr>
      <w:bookmarkStart w:id="22" w:name="terminologie-note-dapplication"/>
      <w:bookmarkEnd w:id="22"/>
    </w:p>
    <w:p w14:paraId="385DD458" w14:textId="77777777" w:rsidR="0084489F" w:rsidRDefault="00110FE6">
      <w:pPr>
        <w:pStyle w:val="BodyText"/>
      </w:pPr>
      <w:r>
        <w:rPr>
          <w:b/>
          <w:bCs/>
        </w:rPr>
        <w:t>Note d’application</w:t>
      </w:r>
    </w:p>
    <w:p w14:paraId="02A7F456" w14:textId="77777777" w:rsidR="0084489F" w:rsidRDefault="00110FE6">
      <w:pPr>
        <w:pStyle w:val="BodyText"/>
      </w:pPr>
      <w:r>
        <w:t>Une note d'application est une description textuelle de l'</w:t>
      </w:r>
      <w:hyperlink w:anchor="terminologie-intension">
        <w:r>
          <w:rPr>
            <w:rStyle w:val="Hyperlink"/>
            <w:b/>
            <w:bCs/>
          </w:rPr>
          <w:t>intension</w:t>
        </w:r>
      </w:hyperlink>
      <w:r>
        <w:t xml:space="preserve"> d'une </w:t>
      </w:r>
      <w:hyperlink w:anchor="terminologie-classe">
        <w:r>
          <w:rPr>
            <w:rStyle w:val="Hyperlink"/>
            <w:b/>
            <w:bCs/>
          </w:rPr>
          <w:t>classe</w:t>
        </w:r>
      </w:hyperlink>
      <w:r>
        <w:t xml:space="preserve"> ou d'une </w:t>
      </w:r>
      <w:hyperlink w:anchor="terminologie-propriete">
        <w:r>
          <w:rPr>
            <w:rStyle w:val="Hyperlink"/>
            <w:b/>
            <w:bCs/>
          </w:rPr>
          <w:t>propriété</w:t>
        </w:r>
      </w:hyperlink>
      <w:r>
        <w:t>.</w:t>
      </w:r>
    </w:p>
    <w:p w14:paraId="00553BD9" w14:textId="3A307CC8" w:rsidR="0084489F" w:rsidRDefault="00110FE6">
      <w:pPr>
        <w:pStyle w:val="BodyText"/>
      </w:pPr>
      <w:r>
        <w:t>Les notes d’application ne sont pas des construits de modélisation formels, elles sont plutôt fournies pour expliquer la signification et l’application prévues des classes et des propriétés du CIDOC CRM. Fondamentalement, elles renvoient à une conceptualisation commune aux experts du domaine [n.d.t. qu’elles concernent] et clarifient les différentes interprétations possibles. Des exemples d’</w:t>
      </w:r>
      <w:hyperlink w:anchor="terminologie-instance">
        <w:r>
          <w:rPr>
            <w:rStyle w:val="Hyperlink"/>
            <w:b/>
            <w:bCs/>
          </w:rPr>
          <w:t>instances</w:t>
        </w:r>
      </w:hyperlink>
      <w:r>
        <w:t xml:space="preserve"> de classes et de propriétés sont régulièrement fournis dans les notes d'application à des fins d'explication.</w:t>
      </w:r>
    </w:p>
    <w:p w14:paraId="60E59494" w14:textId="77777777" w:rsidR="0084489F" w:rsidRDefault="00110FE6">
      <w:pPr>
        <w:pStyle w:val="BlockText"/>
      </w:pPr>
      <w:r>
        <w:rPr>
          <w:b/>
          <w:bCs/>
          <w:i/>
          <w:iCs/>
        </w:rPr>
        <w:t>Note de traduction</w:t>
      </w:r>
    </w:p>
    <w:p w14:paraId="6281CAB3" w14:textId="77777777" w:rsidR="0084489F" w:rsidRDefault="00110FE6">
      <w:pPr>
        <w:pStyle w:val="BlockText"/>
      </w:pPr>
      <w:r>
        <w:rPr>
          <w:b/>
          <w:bCs/>
          <w:i/>
          <w:iCs/>
        </w:rPr>
        <w:t>Références</w:t>
      </w:r>
    </w:p>
    <w:p w14:paraId="284A15E9" w14:textId="77777777" w:rsidR="0084489F" w:rsidRDefault="0084489F">
      <w:pPr>
        <w:pStyle w:val="BlockText"/>
      </w:pPr>
      <w:bookmarkStart w:id="23" w:name="terminologie-instance"/>
      <w:bookmarkEnd w:id="23"/>
    </w:p>
    <w:p w14:paraId="107100E7" w14:textId="77777777" w:rsidR="0084489F" w:rsidRDefault="00110FE6">
      <w:pPr>
        <w:pStyle w:val="BodyText"/>
      </w:pPr>
      <w:r>
        <w:rPr>
          <w:b/>
          <w:bCs/>
        </w:rPr>
        <w:t>Instance</w:t>
      </w:r>
    </w:p>
    <w:p w14:paraId="5A3C68FF" w14:textId="77777777" w:rsidR="0084489F" w:rsidRDefault="00110FE6">
      <w:pPr>
        <w:pStyle w:val="BodyText"/>
      </w:pPr>
      <w:r>
        <w:t xml:space="preserve">L’instance d’une </w:t>
      </w:r>
      <w:hyperlink w:anchor="terminologie-classe">
        <w:r>
          <w:rPr>
            <w:rStyle w:val="Hyperlink"/>
            <w:b/>
            <w:bCs/>
          </w:rPr>
          <w:t>classe</w:t>
        </w:r>
      </w:hyperlink>
      <w:r>
        <w:t xml:space="preserve"> est un élément du monde réel [n.d.t. voir </w:t>
      </w:r>
      <w:hyperlink w:anchor="X1e2ab05d40a1b1a3f380e60b5aa42d32db74c6a">
        <w:r>
          <w:rPr>
            <w:rStyle w:val="Hyperlink"/>
          </w:rPr>
          <w:t xml:space="preserve">De la réalité, des bases de connaissance et du </w:t>
        </w:r>
      </w:hyperlink>
      <w:hyperlink w:anchor="X1e2ab05d40a1b1a3f380e60b5aa42d32db74c6a">
        <w:r>
          <w:rPr>
            <w:rStyle w:val="Hyperlink"/>
          </w:rPr>
          <w:t xml:space="preserve">CIDOC CRM </w:t>
        </w:r>
      </w:hyperlink>
      <w:r>
        <w:t>] qui correspond à l’</w:t>
      </w:r>
      <w:hyperlink w:anchor="terminologie-intension">
        <w:r>
          <w:rPr>
            <w:rStyle w:val="Hyperlink"/>
            <w:b/>
            <w:bCs/>
          </w:rPr>
          <w:t>intension</w:t>
        </w:r>
      </w:hyperlink>
      <w:r>
        <w:t xml:space="preserve">  d’une classe [n.d.t. telle qu’elle est exprimée dans sa </w:t>
      </w:r>
      <w:hyperlink w:anchor="terminologie-note-dapplication">
        <w:r>
          <w:rPr>
            <w:rStyle w:val="Hyperlink"/>
          </w:rPr>
          <w:t>note d’application</w:t>
        </w:r>
      </w:hyperlink>
      <w:r>
        <w:t>]. Le nombre d’</w:t>
      </w:r>
      <w:r>
        <w:rPr>
          <w:b/>
          <w:bCs/>
        </w:rPr>
        <w:t>instances</w:t>
      </w:r>
      <w:r>
        <w:t xml:space="preserve"> déclarées pour une classe dans un système d’information est typiquement moins que la totalité [n.d.t. qui existe] dans le monde réel. Par exemple, un individu est une instance de </w:t>
      </w:r>
      <w:r>
        <w:rPr>
          <w:rStyle w:val="VerbatimChar"/>
        </w:rPr>
        <w:t>E21_Personne</w:t>
      </w:r>
      <w:r>
        <w:t xml:space="preserve">, mais cet individu n’est pas mentionné dans tous les systèmes d’information décrivant des </w:t>
      </w:r>
      <w:r>
        <w:rPr>
          <w:rStyle w:val="VerbatimChar"/>
        </w:rPr>
        <w:t>E21_Personne</w:t>
      </w:r>
      <w:r>
        <w:t>.</w:t>
      </w:r>
    </w:p>
    <w:p w14:paraId="5A94D8A0" w14:textId="77777777" w:rsidR="0084489F" w:rsidRDefault="00110FE6">
      <w:pPr>
        <w:pStyle w:val="BodyText"/>
      </w:pPr>
      <w:r>
        <w:t>Par exemple :</w:t>
      </w:r>
    </w:p>
    <w:p w14:paraId="1B4751BC" w14:textId="77777777" w:rsidR="0084489F" w:rsidRDefault="00110FE6">
      <w:pPr>
        <w:pStyle w:val="BodyText"/>
      </w:pPr>
      <w:r>
        <w:t xml:space="preserve">La peinture connue sous le nom de « Mona Lisa » est une instance de la classe </w:t>
      </w:r>
      <w:r>
        <w:rPr>
          <w:rStyle w:val="VerbatimChar"/>
        </w:rPr>
        <w:t>E22_Objet_élaboré_par_l'humain</w:t>
      </w:r>
      <w:r>
        <w:t>.</w:t>
      </w:r>
    </w:p>
    <w:p w14:paraId="1A176A72" w14:textId="77777777" w:rsidR="0084489F" w:rsidRDefault="00110FE6">
      <w:pPr>
        <w:pStyle w:val="BodyText"/>
      </w:pPr>
      <w:r w:rsidRPr="246FBB6F">
        <w:rPr>
          <w:lang w:val="fr-FR"/>
        </w:rPr>
        <w:t>L’</w:t>
      </w:r>
      <w:r w:rsidRPr="246FBB6F">
        <w:rPr>
          <w:b/>
          <w:bCs/>
          <w:lang w:val="fr-FR"/>
        </w:rPr>
        <w:t>instance</w:t>
      </w:r>
      <w:r w:rsidRPr="246FBB6F">
        <w:rPr>
          <w:lang w:val="fr-FR"/>
        </w:rPr>
        <w:t xml:space="preserve"> d’une propriété est une relation factuelle entre une instance de son </w:t>
      </w:r>
      <w:r w:rsidRPr="246FBB6F">
        <w:rPr>
          <w:b/>
          <w:bCs/>
          <w:lang w:val="fr-FR"/>
        </w:rPr>
        <w:t>domaine</w:t>
      </w:r>
      <w:r w:rsidRPr="246FBB6F">
        <w:rPr>
          <w:lang w:val="fr-FR"/>
        </w:rPr>
        <w:t xml:space="preserve"> et une instance de sa </w:t>
      </w:r>
      <w:r w:rsidRPr="246FBB6F">
        <w:rPr>
          <w:b/>
          <w:bCs/>
          <w:lang w:val="fr-FR"/>
        </w:rPr>
        <w:t>portée</w:t>
      </w:r>
      <w:r w:rsidRPr="246FBB6F">
        <w:rPr>
          <w:lang w:val="fr-FR"/>
        </w:rPr>
        <w:t>, relation qui correspond à l’</w:t>
      </w:r>
      <w:r w:rsidRPr="246FBB6F">
        <w:rPr>
          <w:b/>
          <w:bCs/>
          <w:lang w:val="fr-FR"/>
        </w:rPr>
        <w:t>intension</w:t>
      </w:r>
      <w:r w:rsidRPr="246FBB6F">
        <w:rPr>
          <w:lang w:val="fr-FR"/>
        </w:rPr>
        <w:t xml:space="preserve"> de cette propriété [n.d.t. telle qu’elle est exprimée dans sa note d’application].</w:t>
      </w:r>
    </w:p>
    <w:p w14:paraId="0F5B6664" w14:textId="77777777" w:rsidR="0084489F" w:rsidRDefault="00110FE6" w:rsidP="00AB28D9">
      <w:pPr>
        <w:pStyle w:val="BodyText"/>
        <w:keepNext/>
      </w:pPr>
      <w:r>
        <w:lastRenderedPageBreak/>
        <w:t>Par exemple :</w:t>
      </w:r>
    </w:p>
    <w:p w14:paraId="4073CF0A" w14:textId="77777777" w:rsidR="0084489F" w:rsidRDefault="00110FE6" w:rsidP="00AB28D9">
      <w:pPr>
        <w:pStyle w:val="BodyText"/>
        <w:keepNext/>
      </w:pPr>
      <w:r w:rsidRPr="246FBB6F">
        <w:rPr>
          <w:lang w:val="fr-FR"/>
        </w:rPr>
        <w:t xml:space="preserve">[n.d.t. Dans l’affirmation] « La </w:t>
      </w:r>
      <w:r w:rsidRPr="246FBB6F">
        <w:rPr>
          <w:i/>
          <w:iCs/>
          <w:lang w:val="fr-FR"/>
        </w:rPr>
        <w:t>Mona Lisa</w:t>
      </w:r>
      <w:r w:rsidRPr="246FBB6F">
        <w:rPr>
          <w:lang w:val="fr-FR"/>
        </w:rPr>
        <w:t xml:space="preserve"> a pour propriétaire actuel ou antérieur le Louvre » « a pour propriétaire actuel ou antérieur » est une instance de la propriété </w:t>
      </w:r>
      <w:r w:rsidRPr="246FBB6F">
        <w:rPr>
          <w:rStyle w:val="VerbatimChar"/>
          <w:lang w:val="fr-FR"/>
        </w:rPr>
        <w:t>P51_a_pour_propriétaire_actuel_ou_antérieur (est_l'actant_propriétaire_actuel_ou_antérieur_de)</w:t>
      </w:r>
      <w:r w:rsidRPr="246FBB6F">
        <w:rPr>
          <w:lang w:val="fr-FR"/>
        </w:rPr>
        <w:t>.</w:t>
      </w:r>
    </w:p>
    <w:p w14:paraId="35DA7BC4" w14:textId="77777777" w:rsidR="0084489F" w:rsidRDefault="00110FE6">
      <w:pPr>
        <w:pStyle w:val="BlockText"/>
      </w:pPr>
      <w:r>
        <w:rPr>
          <w:b/>
          <w:bCs/>
          <w:i/>
          <w:iCs/>
        </w:rPr>
        <w:t>Note de traduction</w:t>
      </w:r>
    </w:p>
    <w:p w14:paraId="19CACC79" w14:textId="77777777" w:rsidR="0084489F" w:rsidRDefault="00110FE6">
      <w:pPr>
        <w:pStyle w:val="BlockText"/>
      </w:pPr>
      <w:r>
        <w:rPr>
          <w:b/>
          <w:bCs/>
          <w:i/>
          <w:iCs/>
        </w:rPr>
        <w:t>Références</w:t>
      </w:r>
    </w:p>
    <w:p w14:paraId="1A6B1E61" w14:textId="77777777" w:rsidR="00260129" w:rsidRPr="00260129" w:rsidRDefault="00260129" w:rsidP="00AB28D9">
      <w:pPr>
        <w:pStyle w:val="BodyText"/>
      </w:pPr>
      <w:bookmarkStart w:id="24" w:name="terminologie-propriete"/>
      <w:bookmarkEnd w:id="24"/>
    </w:p>
    <w:p w14:paraId="63CA1132" w14:textId="77777777" w:rsidR="0084489F" w:rsidRDefault="00110FE6">
      <w:pPr>
        <w:pStyle w:val="BodyText"/>
      </w:pPr>
      <w:r>
        <w:rPr>
          <w:b/>
          <w:bCs/>
        </w:rPr>
        <w:t>Propriété</w:t>
      </w:r>
    </w:p>
    <w:p w14:paraId="5A0294E3" w14:textId="77777777" w:rsidR="0084489F" w:rsidRDefault="00110FE6">
      <w:pPr>
        <w:pStyle w:val="BodyText"/>
      </w:pPr>
      <w:r w:rsidRPr="246FBB6F">
        <w:rPr>
          <w:lang w:val="fr-FR"/>
        </w:rPr>
        <w:t xml:space="preserve">Une propriété définit une relation spécifique entre deux </w:t>
      </w:r>
      <w:hyperlink w:anchor="terminologie-classe">
        <w:r w:rsidRPr="246FBB6F">
          <w:rPr>
            <w:rStyle w:val="Hyperlink"/>
            <w:b/>
            <w:bCs/>
            <w:lang w:val="fr-FR"/>
          </w:rPr>
          <w:t>classes</w:t>
        </w:r>
      </w:hyperlink>
      <w:r w:rsidRPr="246FBB6F">
        <w:rPr>
          <w:lang w:val="fr-FR"/>
        </w:rPr>
        <w:t xml:space="preserve"> et est caractérisée par son </w:t>
      </w:r>
      <w:hyperlink w:anchor="terminologie-intension">
        <w:r w:rsidRPr="246FBB6F">
          <w:rPr>
            <w:rStyle w:val="Hyperlink"/>
            <w:b/>
            <w:bCs/>
            <w:lang w:val="fr-FR"/>
          </w:rPr>
          <w:t>intension</w:t>
        </w:r>
      </w:hyperlink>
      <w:r w:rsidRPr="246FBB6F">
        <w:rPr>
          <w:lang w:val="fr-FR"/>
        </w:rPr>
        <w:t xml:space="preserve"> (laquelle est exprimée par la </w:t>
      </w:r>
      <w:hyperlink w:anchor="terminologie-note-dapplication">
        <w:r w:rsidRPr="246FBB6F">
          <w:rPr>
            <w:rStyle w:val="Hyperlink"/>
            <w:b/>
            <w:bCs/>
            <w:lang w:val="fr-FR"/>
          </w:rPr>
          <w:t>note d’application</w:t>
        </w:r>
      </w:hyperlink>
      <w:r w:rsidRPr="246FBB6F">
        <w:rPr>
          <w:lang w:val="fr-FR"/>
        </w:rPr>
        <w:t xml:space="preserve"> de la propriété). Une propriété est l’équivalent grammatical d’un verbe dans la mesure où elle est définie par son renvoi à son </w:t>
      </w:r>
      <w:hyperlink w:anchor="terminologie-domaine">
        <w:r w:rsidRPr="246FBB6F">
          <w:rPr>
            <w:rStyle w:val="Hyperlink"/>
            <w:b/>
            <w:bCs/>
            <w:lang w:val="fr-FR"/>
          </w:rPr>
          <w:t>domaine</w:t>
        </w:r>
      </w:hyperlink>
      <w:r w:rsidRPr="246FBB6F">
        <w:rPr>
          <w:lang w:val="fr-FR"/>
        </w:rPr>
        <w:t xml:space="preserve"> et à sa </w:t>
      </w:r>
      <w:hyperlink w:anchor="terminologie-portee">
        <w:r w:rsidRPr="246FBB6F">
          <w:rPr>
            <w:rStyle w:val="Hyperlink"/>
            <w:b/>
            <w:bCs/>
            <w:lang w:val="fr-FR"/>
          </w:rPr>
          <w:t>portée</w:t>
        </w:r>
      </w:hyperlink>
      <w:r w:rsidRPr="246FBB6F">
        <w:rPr>
          <w:lang w:val="fr-FR"/>
        </w:rPr>
        <w:t>, lesquels sont comparables au sujet et à l’objet d’une phrase [n.d.t. dans le contexte d’une langue SVO, c.-à-d. une langue comme le français dont les phrases suivent généralement l’ordre sujet-verbe-objet], et ce contrairement aux classes qui peuvent être définies de manière indépendante. De même que le choix qu’une forme grammaticale active ou passive est arbitraire, le choix de la classe sélectionnée pour le domaine et pour la portée l’est aussi. En d’autres termes, l’interprétation d’une propriété serait distincte selon le sens dans lequel elle est lue [n.d.t. c.-à-d. depuis le domaine vers la portée ou depuis la portée vers le domaine].</w:t>
      </w:r>
    </w:p>
    <w:p w14:paraId="3016AD9F" w14:textId="77777777" w:rsidR="0084489F" w:rsidRDefault="00110FE6">
      <w:pPr>
        <w:pStyle w:val="BodyText"/>
      </w:pPr>
      <w:r w:rsidRPr="246FBB6F">
        <w:rPr>
          <w:lang w:val="fr-FR"/>
        </w:rPr>
        <w:t xml:space="preserve">Certaines propriétés s’appliquent sur d’autres propriétés [n.d.t. et peuvent donc avoir comme portée des instances] d’autres classes, une fonctionnalité qui est mobilisée par le CIDOC CRM afin de décrire le sous-typage dynamique de propriétés [n.d.t. voir </w:t>
      </w:r>
      <w:hyperlink w:anchor="des-types">
        <w:r w:rsidRPr="246FBB6F">
          <w:rPr>
            <w:rStyle w:val="Hyperlink"/>
            <w:lang w:val="fr-FR"/>
          </w:rPr>
          <w:t>Des types</w:t>
        </w:r>
      </w:hyperlink>
      <w:r w:rsidRPr="246FBB6F">
        <w:rPr>
          <w:lang w:val="fr-FR"/>
        </w:rPr>
        <w:t xml:space="preserve">; ces propriétés sont signalées par l’usage d’un </w:t>
      </w:r>
      <w:r w:rsidRPr="246FBB6F">
        <w:rPr>
          <w:rStyle w:val="VerbatimChar"/>
          <w:lang w:val="fr-FR"/>
        </w:rPr>
        <w:t>.1</w:t>
      </w:r>
      <w:r w:rsidRPr="246FBB6F">
        <w:rPr>
          <w:lang w:val="fr-FR"/>
        </w:rPr>
        <w:t xml:space="preserve">, par exemple </w:t>
      </w:r>
      <w:r w:rsidRPr="246FBB6F">
        <w:rPr>
          <w:rStyle w:val="VerbatimChar"/>
          <w:lang w:val="fr-FR"/>
        </w:rPr>
        <w:t>P14.1_dans_le_rôle_de</w:t>
      </w:r>
      <w:r w:rsidRPr="246FBB6F">
        <w:rPr>
          <w:lang w:val="fr-FR"/>
        </w:rPr>
        <w:t xml:space="preserve"> qui est associée à </w:t>
      </w:r>
      <w:r w:rsidRPr="246FBB6F">
        <w:rPr>
          <w:rStyle w:val="VerbatimChar"/>
          <w:lang w:val="fr-FR"/>
        </w:rPr>
        <w:t>P14_a_été_effectué_par (a_effectué)</w:t>
      </w:r>
      <w:r w:rsidRPr="246FBB6F">
        <w:rPr>
          <w:lang w:val="fr-FR"/>
        </w:rPr>
        <w:t xml:space="preserve"> et qui a pour objet </w:t>
      </w:r>
      <w:r w:rsidRPr="246FBB6F">
        <w:rPr>
          <w:rStyle w:val="VerbatimChar"/>
          <w:lang w:val="fr-FR"/>
        </w:rPr>
        <w:t>E55_Type</w:t>
      </w:r>
      <w:r w:rsidRPr="246FBB6F">
        <w:rPr>
          <w:lang w:val="fr-FR"/>
        </w:rPr>
        <w:t xml:space="preserve"> plutôt que </w:t>
      </w:r>
      <w:r w:rsidRPr="246FBB6F">
        <w:rPr>
          <w:rStyle w:val="VerbatimChar"/>
          <w:lang w:val="fr-FR"/>
        </w:rPr>
        <w:t>E21_Personne</w:t>
      </w:r>
      <w:r w:rsidRPr="246FBB6F">
        <w:rPr>
          <w:lang w:val="fr-FR"/>
        </w:rPr>
        <w:t xml:space="preserve"> comme portée].</w:t>
      </w:r>
    </w:p>
    <w:p w14:paraId="710F687A" w14:textId="77777777" w:rsidR="0084489F" w:rsidRDefault="00110FE6">
      <w:pPr>
        <w:pStyle w:val="BodyText"/>
      </w:pPr>
      <w:r w:rsidRPr="246FBB6F">
        <w:rPr>
          <w:lang w:val="fr-FR"/>
        </w:rPr>
        <w:t xml:space="preserve">Les propriétés peuvent aussi être spécialisées (comme c’est le cas des classes) par des relations </w:t>
      </w:r>
      <w:r w:rsidRPr="246FBB6F">
        <w:rPr>
          <w:rStyle w:val="VerbatimChar"/>
          <w:lang w:val="fr-FR"/>
        </w:rPr>
        <w:t>estUn</w:t>
      </w:r>
      <w:r w:rsidRPr="246FBB6F">
        <w:rPr>
          <w:lang w:val="fr-FR"/>
        </w:rPr>
        <w:t xml:space="preserve"> entre des </w:t>
      </w:r>
      <w:hyperlink w:anchor="terminologie-sous-propriete">
        <w:r w:rsidRPr="246FBB6F">
          <w:rPr>
            <w:rStyle w:val="Hyperlink"/>
            <w:b/>
            <w:bCs/>
            <w:lang w:val="fr-FR"/>
          </w:rPr>
          <w:t>sous-propriétés</w:t>
        </w:r>
      </w:hyperlink>
      <w:r w:rsidRPr="246FBB6F">
        <w:rPr>
          <w:lang w:val="fr-FR"/>
        </w:rPr>
        <w:t xml:space="preserve"> et leurs </w:t>
      </w:r>
      <w:hyperlink w:anchor="terminologie-super-propriete">
        <w:r w:rsidRPr="246FBB6F">
          <w:rPr>
            <w:rStyle w:val="Hyperlink"/>
            <w:b/>
            <w:bCs/>
            <w:lang w:val="fr-FR"/>
          </w:rPr>
          <w:t>super-propriétés</w:t>
        </w:r>
      </w:hyperlink>
      <w:r w:rsidRPr="246FBB6F">
        <w:rPr>
          <w:lang w:val="fr-FR"/>
        </w:rPr>
        <w:t>.</w:t>
      </w:r>
    </w:p>
    <w:p w14:paraId="7728079A" w14:textId="77777777" w:rsidR="0084489F" w:rsidRDefault="00110FE6">
      <w:pPr>
        <w:pStyle w:val="BodyText"/>
      </w:pPr>
      <w:r>
        <w:t>Dans certains contextes, les termes attribut, référence, lien, rôle ou créneau peuvent être synonymes de propriété.</w:t>
      </w:r>
    </w:p>
    <w:p w14:paraId="55B8A5BE" w14:textId="77777777" w:rsidR="0084489F" w:rsidRDefault="00110FE6">
      <w:pPr>
        <w:pStyle w:val="BodyText"/>
      </w:pPr>
      <w:r>
        <w:t>Par exemple :</w:t>
      </w:r>
    </w:p>
    <w:p w14:paraId="27BB3B2C" w14:textId="77777777" w:rsidR="0084489F" w:rsidRDefault="00110FE6">
      <w:pPr>
        <w:pStyle w:val="BodyText"/>
      </w:pPr>
      <w:r>
        <w:rPr>
          <w:rStyle w:val="VerbatimChar"/>
        </w:rPr>
        <w:t>E24_Chose_matérielle_élaborée_par_l'humain</w:t>
      </w:r>
      <w:r>
        <w:t xml:space="preserve"> </w:t>
      </w:r>
      <w:r>
        <w:rPr>
          <w:rStyle w:val="VerbatimChar"/>
        </w:rPr>
        <w:t>P62_illustre</w:t>
      </w:r>
      <w:r>
        <w:t xml:space="preserve"> </w:t>
      </w:r>
      <w:r>
        <w:rPr>
          <w:rStyle w:val="VerbatimChar"/>
        </w:rPr>
        <w:t>E1_Entité_CRM</w:t>
      </w:r>
      <w:r>
        <w:t xml:space="preserve"> est l’équivalent de </w:t>
      </w:r>
      <w:r>
        <w:rPr>
          <w:rStyle w:val="VerbatimChar"/>
        </w:rPr>
        <w:t>E1_Entité_CRM</w:t>
      </w:r>
      <w:r>
        <w:t xml:space="preserve"> </w:t>
      </w:r>
      <w:r>
        <w:rPr>
          <w:rStyle w:val="VerbatimChar"/>
        </w:rPr>
        <w:t>P62i_est_illustré_par</w:t>
      </w:r>
      <w:r>
        <w:t xml:space="preserve"> </w:t>
      </w:r>
      <w:r>
        <w:rPr>
          <w:rStyle w:val="VerbatimChar"/>
        </w:rPr>
        <w:t>E24_Chose_matérielle_élaborée_par_l'humain</w:t>
      </w:r>
      <w:r>
        <w:t>.</w:t>
      </w:r>
    </w:p>
    <w:p w14:paraId="54D9D5F5" w14:textId="77777777" w:rsidR="0084489F" w:rsidRDefault="00110FE6">
      <w:pPr>
        <w:pStyle w:val="BlockText"/>
      </w:pPr>
      <w:r>
        <w:rPr>
          <w:b/>
          <w:bCs/>
          <w:i/>
          <w:iCs/>
        </w:rPr>
        <w:t>Note de traduction</w:t>
      </w:r>
    </w:p>
    <w:p w14:paraId="43F20314" w14:textId="77777777" w:rsidR="0084489F" w:rsidRDefault="00110FE6">
      <w:pPr>
        <w:pStyle w:val="BlockText"/>
      </w:pPr>
      <w:r>
        <w:rPr>
          <w:b/>
          <w:bCs/>
          <w:i/>
          <w:iCs/>
        </w:rPr>
        <w:t>Références</w:t>
      </w:r>
    </w:p>
    <w:p w14:paraId="366CDF66" w14:textId="77777777" w:rsidR="0084489F" w:rsidRDefault="296B54BA">
      <w:pPr>
        <w:pStyle w:val="BlockText"/>
      </w:pPr>
      <w:r w:rsidRPr="00CC39FB">
        <w:rPr>
          <w:lang w:val="fr-FR"/>
        </w:rPr>
        <w:t xml:space="preserve">Wikipédia. « Langue SVO ». Dans </w:t>
      </w:r>
      <w:r w:rsidRPr="00CC39FB">
        <w:rPr>
          <w:i/>
          <w:iCs/>
          <w:lang w:val="fr-FR"/>
        </w:rPr>
        <w:t>Wikipédia</w:t>
      </w:r>
      <w:r w:rsidRPr="00CC39FB">
        <w:rPr>
          <w:lang w:val="fr-FR"/>
        </w:rPr>
        <w:t>. San Francisco, US-CA: Wikipédia, 31 octobre 2020.</w:t>
      </w:r>
      <w:hyperlink r:id="rId31">
        <w:r w:rsidRPr="00CC39FB">
          <w:rPr>
            <w:rStyle w:val="Hyperlink"/>
            <w:lang w:val="fr-FR"/>
          </w:rPr>
          <w:t xml:space="preserve"> </w:t>
        </w:r>
      </w:hyperlink>
      <w:hyperlink r:id="rId32">
        <w:r w:rsidRPr="00CC39FB">
          <w:rPr>
            <w:rStyle w:val="Hyperlink"/>
            <w:lang w:val="fr-FR"/>
          </w:rPr>
          <w:t>https://fr.wikipedia.org/w/index.php?title=Langue_SVO&amp;oldid=176099662</w:t>
        </w:r>
      </w:hyperlink>
      <w:r w:rsidRPr="00CC39FB">
        <w:rPr>
          <w:lang w:val="fr-FR"/>
        </w:rPr>
        <w:t>.</w:t>
      </w:r>
    </w:p>
    <w:p w14:paraId="09C30A53" w14:textId="77777777" w:rsidR="0084489F" w:rsidRDefault="0084489F">
      <w:pPr>
        <w:pStyle w:val="FirstParagraph"/>
      </w:pPr>
      <w:bookmarkStart w:id="25" w:name="terminologie-inverse-de"/>
      <w:bookmarkEnd w:id="25"/>
    </w:p>
    <w:p w14:paraId="1A6FC375" w14:textId="77777777" w:rsidR="0084489F" w:rsidRDefault="00110FE6">
      <w:pPr>
        <w:pStyle w:val="BodyText"/>
      </w:pPr>
      <w:r>
        <w:rPr>
          <w:b/>
          <w:bCs/>
        </w:rPr>
        <w:t>Inverse de</w:t>
      </w:r>
    </w:p>
    <w:p w14:paraId="4CAA26E9" w14:textId="77777777" w:rsidR="0084489F" w:rsidRDefault="00110FE6">
      <w:pPr>
        <w:pStyle w:val="BodyText"/>
      </w:pPr>
      <w:r w:rsidRPr="246FBB6F">
        <w:rPr>
          <w:lang w:val="fr-FR"/>
        </w:rPr>
        <w:t xml:space="preserve">L’inverse d’une </w:t>
      </w:r>
      <w:hyperlink w:anchor="terminologie-propriete">
        <w:r w:rsidRPr="246FBB6F">
          <w:rPr>
            <w:rStyle w:val="Hyperlink"/>
            <w:b/>
            <w:bCs/>
            <w:lang w:val="fr-FR"/>
          </w:rPr>
          <w:t>propriété</w:t>
        </w:r>
      </w:hyperlink>
      <w:r w:rsidRPr="246FBB6F">
        <w:rPr>
          <w:lang w:val="fr-FR"/>
        </w:rPr>
        <w:t xml:space="preserve"> est la réinterprétation de cette propriété depuis sa </w:t>
      </w:r>
      <w:hyperlink w:anchor="terminologie-portee">
        <w:r w:rsidRPr="246FBB6F">
          <w:rPr>
            <w:rStyle w:val="Hyperlink"/>
            <w:b/>
            <w:bCs/>
            <w:lang w:val="fr-FR"/>
          </w:rPr>
          <w:t>portée</w:t>
        </w:r>
      </w:hyperlink>
      <w:r w:rsidRPr="246FBB6F">
        <w:rPr>
          <w:lang w:val="fr-FR"/>
        </w:rPr>
        <w:t xml:space="preserve"> vers son </w:t>
      </w:r>
      <w:hyperlink w:anchor="terminologie-domaine">
        <w:r w:rsidRPr="246FBB6F">
          <w:rPr>
            <w:rStyle w:val="Hyperlink"/>
            <w:b/>
            <w:bCs/>
            <w:lang w:val="fr-FR"/>
          </w:rPr>
          <w:t>domaine</w:t>
        </w:r>
      </w:hyperlink>
      <w:r w:rsidRPr="246FBB6F">
        <w:rPr>
          <w:lang w:val="fr-FR"/>
        </w:rPr>
        <w:t xml:space="preserve"> sans généralisation ou spécialisation de sa signification supplémentaire. De même que le choix d’une forme grammaticale active ou passive est arbitraire [n.d.t. le choix de la classe sélectionnée pour le domaine et pour la portée l’est aussi]. Contrairement à certains langages de représentation tels que </w:t>
      </w:r>
      <w:hyperlink r:id="rId33">
        <w:r w:rsidRPr="246FBB6F">
          <w:rPr>
            <w:rStyle w:val="Hyperlink"/>
            <w:lang w:val="fr-FR"/>
          </w:rPr>
          <w:t>RDF</w:t>
        </w:r>
      </w:hyperlink>
      <w:r w:rsidRPr="246FBB6F">
        <w:rPr>
          <w:lang w:val="fr-FR"/>
        </w:rPr>
        <w:t xml:space="preserve"> </w:t>
      </w:r>
      <w:r w:rsidRPr="246FBB6F">
        <w:rPr>
          <w:lang w:val="fr-FR"/>
        </w:rPr>
        <w:lastRenderedPageBreak/>
        <w:t>et OWL, le CIDOC CRM considère que l’inverse d’une propriété n’est pas une propriété en soi qui nécessiterait la déclaration explicite du fait qu’elle en inverse une autre; il s’agit plutôt d’une interprétation implicite à chaque propriété. L’inverse de l’inverse d’une propriété est identique à la propriété elle-même, à savoir identique à sa direction primaire.</w:t>
      </w:r>
    </w:p>
    <w:p w14:paraId="36A39675" w14:textId="77777777" w:rsidR="0084489F" w:rsidRDefault="00110FE6">
      <w:pPr>
        <w:pStyle w:val="BodyText"/>
      </w:pPr>
      <w:r>
        <w:t>Par exemple :</w:t>
      </w:r>
    </w:p>
    <w:p w14:paraId="3CCFC9DD" w14:textId="77777777" w:rsidR="0084489F" w:rsidRDefault="00110FE6">
      <w:pPr>
        <w:pStyle w:val="BodyText"/>
      </w:pPr>
      <w:r>
        <w:rPr>
          <w:rStyle w:val="VerbatimChar"/>
        </w:rPr>
        <w:t>E1_Entité_CRM</w:t>
      </w:r>
      <w:r>
        <w:t xml:space="preserve"> </w:t>
      </w:r>
      <w:r>
        <w:rPr>
          <w:rStyle w:val="VerbatimChar"/>
        </w:rPr>
        <w:t>P62.i_est_illustré_par</w:t>
      </w:r>
      <w:r>
        <w:t xml:space="preserve"> </w:t>
      </w:r>
      <w:r>
        <w:rPr>
          <w:rStyle w:val="VerbatimChar"/>
        </w:rPr>
        <w:t>E24_Chose_matérielle_élaborée_par_l'humain</w:t>
      </w:r>
      <w:r>
        <w:t xml:space="preserve"> est l’inverse de </w:t>
      </w:r>
      <w:r>
        <w:rPr>
          <w:rStyle w:val="VerbatimChar"/>
        </w:rPr>
        <w:t>E24_Chose_matérielle_élaborée_par_l'humain</w:t>
      </w:r>
      <w:r>
        <w:t xml:space="preserve"> </w:t>
      </w:r>
      <w:r>
        <w:rPr>
          <w:rStyle w:val="VerbatimChar"/>
        </w:rPr>
        <w:t>P62_illustre</w:t>
      </w:r>
      <w:r>
        <w:t xml:space="preserve"> </w:t>
      </w:r>
      <w:r>
        <w:rPr>
          <w:rStyle w:val="VerbatimChar"/>
        </w:rPr>
        <w:t>E1_Entité_CRM</w:t>
      </w:r>
      <w:r>
        <w:t>.</w:t>
      </w:r>
    </w:p>
    <w:p w14:paraId="0A800871" w14:textId="77777777" w:rsidR="0084489F" w:rsidRDefault="00110FE6">
      <w:pPr>
        <w:pStyle w:val="BlockText"/>
      </w:pPr>
      <w:r>
        <w:rPr>
          <w:b/>
          <w:bCs/>
          <w:i/>
          <w:iCs/>
        </w:rPr>
        <w:t>Note de traduction</w:t>
      </w:r>
    </w:p>
    <w:p w14:paraId="6CD092C4" w14:textId="77777777" w:rsidR="0084489F" w:rsidRDefault="00110FE6">
      <w:pPr>
        <w:pStyle w:val="BlockText"/>
      </w:pPr>
      <w:r>
        <w:rPr>
          <w:b/>
          <w:bCs/>
          <w:i/>
          <w:iCs/>
        </w:rPr>
        <w:t>Références</w:t>
      </w:r>
    </w:p>
    <w:p w14:paraId="1BD17BD8" w14:textId="77777777" w:rsidR="0084489F" w:rsidRDefault="0084489F">
      <w:pPr>
        <w:pStyle w:val="FirstParagraph"/>
      </w:pPr>
      <w:bookmarkStart w:id="26" w:name="terminologie-sous-propriete"/>
      <w:bookmarkEnd w:id="26"/>
    </w:p>
    <w:p w14:paraId="4E88DE8A" w14:textId="77777777" w:rsidR="0084489F" w:rsidRDefault="00110FE6">
      <w:pPr>
        <w:pStyle w:val="BodyText"/>
      </w:pPr>
      <w:r>
        <w:rPr>
          <w:b/>
          <w:bCs/>
        </w:rPr>
        <w:t>Sous-propriété</w:t>
      </w:r>
    </w:p>
    <w:p w14:paraId="73CE4280" w14:textId="77777777" w:rsidR="0084489F" w:rsidRDefault="00110FE6">
      <w:pPr>
        <w:pStyle w:val="BodyText"/>
      </w:pPr>
      <w:r w:rsidRPr="246FBB6F">
        <w:rPr>
          <w:lang w:val="fr-FR"/>
        </w:rPr>
        <w:t xml:space="preserve">Une sous-propriété est une </w:t>
      </w:r>
      <w:hyperlink w:anchor="terminologie-propriete">
        <w:r w:rsidRPr="246FBB6F">
          <w:rPr>
            <w:rStyle w:val="Hyperlink"/>
            <w:b/>
            <w:bCs/>
            <w:lang w:val="fr-FR"/>
          </w:rPr>
          <w:t>propriété</w:t>
        </w:r>
      </w:hyperlink>
      <w:r w:rsidRPr="246FBB6F">
        <w:rPr>
          <w:lang w:val="fr-FR"/>
        </w:rPr>
        <w:t xml:space="preserve"> spécialisant une autre propriété (sa </w:t>
      </w:r>
      <w:hyperlink w:anchor="terminologie-super-propriete">
        <w:r w:rsidRPr="246FBB6F">
          <w:rPr>
            <w:rStyle w:val="Hyperlink"/>
            <w:b/>
            <w:bCs/>
            <w:lang w:val="fr-FR"/>
          </w:rPr>
          <w:t>super-propriété</w:t>
        </w:r>
      </w:hyperlink>
      <w:r w:rsidRPr="246FBB6F">
        <w:rPr>
          <w:lang w:val="fr-FR"/>
        </w:rPr>
        <w:t xml:space="preserve">); une spécialisation (ou relation </w:t>
      </w:r>
      <w:r w:rsidRPr="246FBB6F">
        <w:rPr>
          <w:rStyle w:val="VerbatimChar"/>
          <w:lang w:val="fr-FR"/>
        </w:rPr>
        <w:t>estUn</w:t>
      </w:r>
      <w:r w:rsidRPr="246FBB6F">
        <w:rPr>
          <w:lang w:val="fr-FR"/>
        </w:rPr>
        <w:t>) implique que :</w:t>
      </w:r>
    </w:p>
    <w:p w14:paraId="4ADA17B1" w14:textId="77777777" w:rsidR="0084489F" w:rsidRDefault="00110FE6" w:rsidP="00806324">
      <w:pPr>
        <w:numPr>
          <w:ilvl w:val="0"/>
          <w:numId w:val="7"/>
        </w:numPr>
      </w:pPr>
      <w:r w:rsidRPr="246FBB6F">
        <w:rPr>
          <w:lang w:val="fr-FR"/>
        </w:rPr>
        <w:t xml:space="preserve">toutes les </w:t>
      </w:r>
      <w:hyperlink w:anchor="terminologie-instance">
        <w:r w:rsidRPr="246FBB6F">
          <w:rPr>
            <w:rStyle w:val="Hyperlink"/>
            <w:b/>
            <w:bCs/>
            <w:lang w:val="fr-FR"/>
          </w:rPr>
          <w:t>instances</w:t>
        </w:r>
      </w:hyperlink>
      <w:r w:rsidRPr="246FBB6F">
        <w:rPr>
          <w:lang w:val="fr-FR"/>
        </w:rPr>
        <w:t xml:space="preserve"> d’une sous-propriété sont aussi des instances de sa super-propriété;</w:t>
      </w:r>
    </w:p>
    <w:p w14:paraId="2BCBD06C" w14:textId="77777777" w:rsidR="0084489F" w:rsidRDefault="00110FE6" w:rsidP="00806324">
      <w:pPr>
        <w:numPr>
          <w:ilvl w:val="0"/>
          <w:numId w:val="7"/>
        </w:numPr>
      </w:pPr>
      <w:r w:rsidRPr="246FBB6F">
        <w:rPr>
          <w:lang w:val="fr-FR"/>
        </w:rPr>
        <w:t>l’</w:t>
      </w:r>
      <w:hyperlink w:anchor="terminologie-intension">
        <w:r w:rsidRPr="246FBB6F">
          <w:rPr>
            <w:rStyle w:val="Hyperlink"/>
            <w:b/>
            <w:bCs/>
            <w:lang w:val="fr-FR"/>
          </w:rPr>
          <w:t>intension</w:t>
        </w:r>
      </w:hyperlink>
      <w:r w:rsidRPr="246FBB6F">
        <w:rPr>
          <w:lang w:val="fr-FR"/>
        </w:rPr>
        <w:t xml:space="preserve"> d’une sous-propriété extensionne l’intension de sa super-propriété, c.-à-d. que les traits [n.d.t. décrits dans la </w:t>
      </w:r>
      <w:hyperlink w:anchor="terminologie-note-dapplication">
        <w:r w:rsidRPr="246FBB6F">
          <w:rPr>
            <w:rStyle w:val="Hyperlink"/>
            <w:b/>
            <w:bCs/>
            <w:lang w:val="fr-FR"/>
          </w:rPr>
          <w:t>note d’application</w:t>
        </w:r>
      </w:hyperlink>
      <w:r w:rsidRPr="246FBB6F">
        <w:rPr>
          <w:lang w:val="fr-FR"/>
        </w:rPr>
        <w:t xml:space="preserve"> de la sous-propriété] sont plus restrictifs que ceux de sa super-propriété;</w:t>
      </w:r>
    </w:p>
    <w:p w14:paraId="45078105" w14:textId="77777777" w:rsidR="0084489F" w:rsidRDefault="00110FE6" w:rsidP="00806324">
      <w:pPr>
        <w:numPr>
          <w:ilvl w:val="0"/>
          <w:numId w:val="7"/>
        </w:numPr>
      </w:pPr>
      <w:r w:rsidRPr="246FBB6F">
        <w:rPr>
          <w:lang w:val="fr-FR"/>
        </w:rPr>
        <w:t xml:space="preserve">le </w:t>
      </w:r>
      <w:hyperlink w:anchor="terminologie-domaine">
        <w:r w:rsidRPr="246FBB6F">
          <w:rPr>
            <w:rStyle w:val="Hyperlink"/>
            <w:b/>
            <w:bCs/>
            <w:lang w:val="fr-FR"/>
          </w:rPr>
          <w:t>domaine</w:t>
        </w:r>
      </w:hyperlink>
      <w:r w:rsidRPr="246FBB6F">
        <w:rPr>
          <w:lang w:val="fr-FR"/>
        </w:rPr>
        <w:t xml:space="preserve"> de la sous-propriété est le même que le domaine de sa super-propriété ou d’une </w:t>
      </w:r>
      <w:hyperlink w:anchor="terminologie-sous-classe">
        <w:r w:rsidRPr="246FBB6F">
          <w:rPr>
            <w:rStyle w:val="Hyperlink"/>
            <w:b/>
            <w:bCs/>
            <w:lang w:val="fr-FR"/>
          </w:rPr>
          <w:t>sous-classe</w:t>
        </w:r>
      </w:hyperlink>
      <w:r w:rsidRPr="246FBB6F">
        <w:rPr>
          <w:lang w:val="fr-FR"/>
        </w:rPr>
        <w:t xml:space="preserve"> de ce domaine;</w:t>
      </w:r>
    </w:p>
    <w:p w14:paraId="4BED8916" w14:textId="77777777" w:rsidR="0084489F" w:rsidRDefault="00110FE6" w:rsidP="00806324">
      <w:pPr>
        <w:numPr>
          <w:ilvl w:val="0"/>
          <w:numId w:val="7"/>
        </w:numPr>
      </w:pPr>
      <w:r w:rsidRPr="246FBB6F">
        <w:rPr>
          <w:lang w:val="fr-FR"/>
        </w:rPr>
        <w:t xml:space="preserve">la </w:t>
      </w:r>
      <w:hyperlink w:anchor="terminologie-portee">
        <w:r w:rsidRPr="246FBB6F">
          <w:rPr>
            <w:rStyle w:val="Hyperlink"/>
            <w:b/>
            <w:bCs/>
            <w:lang w:val="fr-FR"/>
          </w:rPr>
          <w:t>portée</w:t>
        </w:r>
      </w:hyperlink>
      <w:r w:rsidRPr="246FBB6F">
        <w:rPr>
          <w:lang w:val="fr-FR"/>
        </w:rPr>
        <w:t xml:space="preserve"> de la sous-propriété est la même que la portée de sa super-propriété ou d’une sous-classe de cette portée;</w:t>
      </w:r>
    </w:p>
    <w:p w14:paraId="72B0FCE3" w14:textId="77777777" w:rsidR="0084489F" w:rsidRDefault="00110FE6" w:rsidP="00806324">
      <w:pPr>
        <w:numPr>
          <w:ilvl w:val="0"/>
          <w:numId w:val="7"/>
        </w:numPr>
      </w:pPr>
      <w:r w:rsidRPr="246FBB6F">
        <w:rPr>
          <w:lang w:val="fr-FR"/>
        </w:rPr>
        <w:t xml:space="preserve">la sous-propriété </w:t>
      </w:r>
      <w:hyperlink w:anchor="terminologie-heritage">
        <w:r w:rsidRPr="246FBB6F">
          <w:rPr>
            <w:rStyle w:val="Hyperlink"/>
            <w:b/>
            <w:bCs/>
            <w:lang w:val="fr-FR"/>
          </w:rPr>
          <w:t>hérite</w:t>
        </w:r>
      </w:hyperlink>
      <w:r w:rsidRPr="246FBB6F">
        <w:rPr>
          <w:lang w:val="fr-FR"/>
        </w:rPr>
        <w:t xml:space="preserve"> la définition de toutes les propriétés déclarées pour sa super-propriété, et ce sans exception (</w:t>
      </w:r>
      <w:hyperlink w:anchor="terminologie-heritage-strict">
        <w:r w:rsidRPr="246FBB6F">
          <w:rPr>
            <w:rStyle w:val="Hyperlink"/>
            <w:b/>
            <w:bCs/>
            <w:lang w:val="fr-FR"/>
          </w:rPr>
          <w:t>héritage strict</w:t>
        </w:r>
      </w:hyperlink>
      <w:r w:rsidRPr="246FBB6F">
        <w:rPr>
          <w:lang w:val="fr-FR"/>
        </w:rPr>
        <w:t>) en plus de n’avoir aucune, une seule ou plusieurs propriétés qui lui est/sont propre(s).</w:t>
      </w:r>
    </w:p>
    <w:p w14:paraId="0AE27FE3" w14:textId="77777777" w:rsidR="0084489F" w:rsidRDefault="00110FE6">
      <w:pPr>
        <w:pStyle w:val="FirstParagraph"/>
      </w:pPr>
      <w:r w:rsidRPr="246FBB6F">
        <w:rPr>
          <w:lang w:val="fr-FR"/>
        </w:rPr>
        <w:t>Une sous-propriété peut relever directement de plus d’une super-propriété et ainsi hériter les propriétés de toutes ces super-propriétés (</w:t>
      </w:r>
      <w:hyperlink w:anchor="terminologie-heritage-multiple">
        <w:r w:rsidRPr="246FBB6F">
          <w:rPr>
            <w:rStyle w:val="Hyperlink"/>
            <w:b/>
            <w:bCs/>
            <w:lang w:val="fr-FR"/>
          </w:rPr>
          <w:t>héritage multiple</w:t>
        </w:r>
      </w:hyperlink>
      <w:r w:rsidRPr="246FBB6F">
        <w:rPr>
          <w:lang w:val="fr-FR"/>
        </w:rPr>
        <w:t xml:space="preserve">). La relation </w:t>
      </w:r>
      <w:r w:rsidRPr="246FBB6F">
        <w:rPr>
          <w:rStyle w:val="VerbatimChar"/>
          <w:lang w:val="fr-FR"/>
        </w:rPr>
        <w:t>estUn</w:t>
      </w:r>
      <w:r w:rsidRPr="246FBB6F">
        <w:rPr>
          <w:lang w:val="fr-FR"/>
        </w:rPr>
        <w:t xml:space="preserve"> (spécialisation) entre deux propriétés ou plus établit une hiérarchie des propriétés; c’est une relation </w:t>
      </w:r>
      <w:hyperlink w:anchor="terminologie-transitivite">
        <w:r w:rsidRPr="246FBB6F">
          <w:rPr>
            <w:rStyle w:val="Hyperlink"/>
            <w:b/>
            <w:bCs/>
            <w:lang w:val="fr-FR"/>
          </w:rPr>
          <w:t>transitive</w:t>
        </w:r>
      </w:hyperlink>
      <w:r w:rsidRPr="246FBB6F">
        <w:rPr>
          <w:lang w:val="fr-FR"/>
        </w:rPr>
        <w:t xml:space="preserve"> qui peut ne pas être cyclique. Certains langages de programmation comme C++ n’ont pas de construits qui expriment la spécialisation de propriétés en sous-propriétés.</w:t>
      </w:r>
    </w:p>
    <w:p w14:paraId="2E50DED7" w14:textId="77777777" w:rsidR="0084489F" w:rsidRDefault="00110FE6">
      <w:pPr>
        <w:pStyle w:val="BodyText"/>
      </w:pPr>
      <w:r>
        <w:t>Une propriété peut aussi être une sous-propriété de l’</w:t>
      </w:r>
      <w:hyperlink w:anchor="terminologie-inverse-de">
        <w:r>
          <w:rPr>
            <w:rStyle w:val="Hyperlink"/>
            <w:b/>
            <w:bCs/>
          </w:rPr>
          <w:t>inverse</w:t>
        </w:r>
      </w:hyperlink>
      <w:r>
        <w:t xml:space="preserve">  d’une autre propriété [n.d.t. (la propriété initiale non inversée)], c.-à-d. que lire la propriété depuis la portée vers le domaine implique que :</w:t>
      </w:r>
    </w:p>
    <w:p w14:paraId="6F819A7F" w14:textId="77777777" w:rsidR="0084489F" w:rsidRDefault="00110FE6" w:rsidP="00806324">
      <w:pPr>
        <w:numPr>
          <w:ilvl w:val="0"/>
          <w:numId w:val="8"/>
        </w:numPr>
      </w:pPr>
      <w:r w:rsidRPr="246FBB6F">
        <w:rPr>
          <w:lang w:val="fr-FR"/>
        </w:rPr>
        <w:t>toutes les instances d’une sous-propriété sont aussi des instances de l’inverse de l’autre propriété;</w:t>
      </w:r>
    </w:p>
    <w:p w14:paraId="5A10E369" w14:textId="77777777" w:rsidR="0084489F" w:rsidRDefault="00110FE6" w:rsidP="00806324">
      <w:pPr>
        <w:numPr>
          <w:ilvl w:val="0"/>
          <w:numId w:val="8"/>
        </w:numPr>
      </w:pPr>
      <w:r w:rsidRPr="246FBB6F">
        <w:rPr>
          <w:lang w:val="fr-FR"/>
        </w:rPr>
        <w:t>l’intension d’une sous-propriété extensionne l’intension de l’inverse de l’autre propriété, c.-à-d. que les traits [n.d.t. décrits dans la note d’application de la sous-propriété] sont plus restrictifs que ceux de l’inverse de l’autre propriété;</w:t>
      </w:r>
    </w:p>
    <w:p w14:paraId="54F114ED" w14:textId="77777777" w:rsidR="0084489F" w:rsidRDefault="00110FE6" w:rsidP="00806324">
      <w:pPr>
        <w:numPr>
          <w:ilvl w:val="0"/>
          <w:numId w:val="8"/>
        </w:numPr>
      </w:pPr>
      <w:r w:rsidRPr="246FBB6F">
        <w:rPr>
          <w:lang w:val="fr-FR"/>
        </w:rPr>
        <w:t>le domaine de la sous-propriété est le même que la portée de l’autre propriété ou d’une sous-classe de cette portée;</w:t>
      </w:r>
    </w:p>
    <w:p w14:paraId="3FBCA383" w14:textId="77777777" w:rsidR="0084489F" w:rsidRDefault="00110FE6" w:rsidP="00806324">
      <w:pPr>
        <w:numPr>
          <w:ilvl w:val="0"/>
          <w:numId w:val="8"/>
        </w:numPr>
      </w:pPr>
      <w:r w:rsidRPr="246FBB6F">
        <w:rPr>
          <w:lang w:val="fr-FR"/>
        </w:rPr>
        <w:t>la portée de la sous-propriété est la même que le domaine de l'autre propriété ou une sous-classe de ce domaine</w:t>
      </w:r>
    </w:p>
    <w:p w14:paraId="42D9A325" w14:textId="77777777" w:rsidR="0084489F" w:rsidRDefault="00110FE6" w:rsidP="00806324">
      <w:pPr>
        <w:numPr>
          <w:ilvl w:val="0"/>
          <w:numId w:val="8"/>
        </w:numPr>
      </w:pPr>
      <w:r w:rsidRPr="246FBB6F">
        <w:rPr>
          <w:lang w:val="fr-FR"/>
        </w:rPr>
        <w:lastRenderedPageBreak/>
        <w:t>la sous-propriété hérite la définition de toutes les propriétés déclarées pour l’autre propriété, et ce sans exception (héritage strict) en plus de n’avoir aucune, une seule ou plusieurs propriétés qui lui est/sont propre(s). Les définitions des propriétés héritées doivent être interprétées dans le sens inverse de la direction de la sous-propriété, à savoir depuis la portée vers le domaine.</w:t>
      </w:r>
    </w:p>
    <w:p w14:paraId="32549204" w14:textId="77777777" w:rsidR="0084489F" w:rsidRDefault="00110FE6">
      <w:pPr>
        <w:pStyle w:val="FirstParagraph"/>
      </w:pPr>
      <w:r w:rsidRPr="246FBB6F">
        <w:rPr>
          <w:lang w:val="fr-FR"/>
        </w:rPr>
        <w:t xml:space="preserve">[n.d.t. voir </w:t>
      </w:r>
      <w:hyperlink w:anchor="declaration-des-proprietes-du-cidoccrm">
        <w:r w:rsidRPr="246FBB6F">
          <w:rPr>
            <w:rStyle w:val="Hyperlink"/>
            <w:lang w:val="fr-FR"/>
          </w:rPr>
          <w:t xml:space="preserve">Déclaration des propriétés du </w:t>
        </w:r>
      </w:hyperlink>
      <w:hyperlink w:anchor="declaration-des-proprietes-du-cidoccrm">
        <w:r w:rsidRPr="246FBB6F">
          <w:rPr>
            <w:rStyle w:val="Hyperlink"/>
            <w:lang w:val="fr-FR"/>
          </w:rPr>
          <w:t xml:space="preserve">CIDOC CRM </w:t>
        </w:r>
      </w:hyperlink>
      <w:r w:rsidRPr="246FBB6F">
        <w:rPr>
          <w:lang w:val="fr-FR"/>
        </w:rPr>
        <w:t>].</w:t>
      </w:r>
    </w:p>
    <w:p w14:paraId="7172798B" w14:textId="77777777" w:rsidR="0084489F" w:rsidRDefault="00110FE6">
      <w:pPr>
        <w:pStyle w:val="BlockText"/>
      </w:pPr>
      <w:r>
        <w:rPr>
          <w:b/>
          <w:bCs/>
          <w:i/>
          <w:iCs/>
        </w:rPr>
        <w:t>Note de traduction</w:t>
      </w:r>
    </w:p>
    <w:p w14:paraId="4FADBE62" w14:textId="77777777" w:rsidR="0084489F" w:rsidRDefault="00110FE6">
      <w:pPr>
        <w:pStyle w:val="BlockText"/>
      </w:pPr>
      <w:r w:rsidRPr="246FBB6F">
        <w:rPr>
          <w:lang w:val="fr-FR"/>
        </w:rPr>
        <w:t>Le terme « construct » n’a pas d’équivalent français parfait, mais une recherche sommaire révèle que le terme « construit » (n.m.) semble répandu dans les domaines de la philosophie et de la sociologie et est celui dont le sens se rapproche le plus de la forme originale.</w:t>
      </w:r>
    </w:p>
    <w:p w14:paraId="576D9D3A" w14:textId="77777777" w:rsidR="0084489F" w:rsidRDefault="00110FE6">
      <w:pPr>
        <w:pStyle w:val="BlockText"/>
      </w:pPr>
      <w:r>
        <w:rPr>
          <w:b/>
          <w:bCs/>
          <w:i/>
          <w:iCs/>
        </w:rPr>
        <w:t>Références</w:t>
      </w:r>
    </w:p>
    <w:p w14:paraId="23359BEE" w14:textId="77777777" w:rsidR="0084489F" w:rsidRDefault="00110FE6">
      <w:pPr>
        <w:pStyle w:val="BlockText"/>
      </w:pPr>
      <w:r w:rsidRPr="246FBB6F">
        <w:rPr>
          <w:lang w:val="fr-FR"/>
        </w:rPr>
        <w:t xml:space="preserve">Termium. « construct ». Dans </w:t>
      </w:r>
      <w:r w:rsidRPr="246FBB6F">
        <w:rPr>
          <w:i/>
          <w:iCs/>
          <w:lang w:val="fr-FR"/>
        </w:rPr>
        <w:t>Termium Plus</w:t>
      </w:r>
      <w:r w:rsidRPr="246FBB6F">
        <w:rPr>
          <w:lang w:val="fr-FR"/>
        </w:rPr>
        <w:t>. Ottawa, CA-ON: Gouvernement du Canada, 8 octobre 2009.</w:t>
      </w:r>
      <w:hyperlink r:id="rId34" w:anchor="resultrecs">
        <w:r w:rsidRPr="246FBB6F">
          <w:rPr>
            <w:rStyle w:val="Hyperlink"/>
            <w:lang w:val="fr-FR"/>
          </w:rPr>
          <w:t xml:space="preserve"> </w:t>
        </w:r>
      </w:hyperlink>
      <w:hyperlink r:id="rId35" w:anchor="resultrecs">
        <w:r w:rsidRPr="246FBB6F">
          <w:rPr>
            <w:rStyle w:val="Hyperlink"/>
            <w:lang w:val="fr-FR"/>
          </w:rPr>
          <w:t>https://www.btb.termiumplus.gc.ca/tpv2alpha/alpha-fra.html?lang=fra&amp;i=1&amp;srchtxt=construct&amp;index=ent&amp;codom2nd_wet=1#resultrecs</w:t>
        </w:r>
      </w:hyperlink>
      <w:r w:rsidRPr="246FBB6F">
        <w:rPr>
          <w:lang w:val="fr-FR"/>
        </w:rPr>
        <w:t>.</w:t>
      </w:r>
    </w:p>
    <w:p w14:paraId="5AABB57A" w14:textId="77777777" w:rsidR="0084489F" w:rsidRDefault="0084489F">
      <w:pPr>
        <w:pStyle w:val="FirstParagraph"/>
      </w:pPr>
      <w:bookmarkStart w:id="27" w:name="terminologie-super-propriete"/>
      <w:bookmarkEnd w:id="27"/>
    </w:p>
    <w:p w14:paraId="085DF61F" w14:textId="77777777" w:rsidR="0084489F" w:rsidRDefault="00110FE6">
      <w:pPr>
        <w:pStyle w:val="BodyText"/>
      </w:pPr>
      <w:r>
        <w:rPr>
          <w:b/>
          <w:bCs/>
        </w:rPr>
        <w:t>Super-propriété</w:t>
      </w:r>
    </w:p>
    <w:p w14:paraId="17B7ACDA" w14:textId="77777777" w:rsidR="0084489F" w:rsidRDefault="00110FE6">
      <w:pPr>
        <w:pStyle w:val="BodyText"/>
      </w:pPr>
      <w:r w:rsidRPr="246FBB6F">
        <w:rPr>
          <w:lang w:val="fr-FR"/>
        </w:rPr>
        <w:t xml:space="preserve">Une super-propriété est une </w:t>
      </w:r>
      <w:hyperlink w:anchor="terminologie-propriete">
        <w:r w:rsidRPr="246FBB6F">
          <w:rPr>
            <w:rStyle w:val="Hyperlink"/>
            <w:b/>
            <w:bCs/>
            <w:lang w:val="fr-FR"/>
          </w:rPr>
          <w:t>propriété</w:t>
        </w:r>
      </w:hyperlink>
      <w:r w:rsidRPr="246FBB6F">
        <w:rPr>
          <w:lang w:val="fr-FR"/>
        </w:rPr>
        <w:t xml:space="preserve"> qui est une généralisation de l’une ou plusieurs autres propriétés (ses </w:t>
      </w:r>
      <w:hyperlink w:anchor="terminologie-sous-propriete">
        <w:r w:rsidRPr="246FBB6F">
          <w:rPr>
            <w:rStyle w:val="Hyperlink"/>
            <w:b/>
            <w:bCs/>
            <w:lang w:val="fr-FR"/>
          </w:rPr>
          <w:t>sous-propriétés</w:t>
        </w:r>
      </w:hyperlink>
      <w:r w:rsidRPr="246FBB6F">
        <w:rPr>
          <w:lang w:val="fr-FR"/>
        </w:rPr>
        <w:t xml:space="preserve">) : elle subsume toutes les </w:t>
      </w:r>
      <w:hyperlink w:anchor="terminologie-instance">
        <w:r w:rsidRPr="246FBB6F">
          <w:rPr>
            <w:rStyle w:val="Hyperlink"/>
            <w:b/>
            <w:bCs/>
            <w:lang w:val="fr-FR"/>
          </w:rPr>
          <w:t>instances</w:t>
        </w:r>
      </w:hyperlink>
      <w:r w:rsidRPr="246FBB6F">
        <w:rPr>
          <w:lang w:val="fr-FR"/>
        </w:rPr>
        <w:t xml:space="preserve"> de toutes ses sous-propriétés et peut de surcroît avoir des instances qui ne relèvent d'aucune de ces sous-propriétés. L’</w:t>
      </w:r>
      <w:hyperlink w:anchor="terminologie-intension">
        <w:r w:rsidRPr="246FBB6F">
          <w:rPr>
            <w:rStyle w:val="Hyperlink"/>
            <w:b/>
            <w:bCs/>
            <w:lang w:val="fr-FR"/>
          </w:rPr>
          <w:t>intension</w:t>
        </w:r>
      </w:hyperlink>
      <w:r w:rsidRPr="246FBB6F">
        <w:rPr>
          <w:lang w:val="fr-FR"/>
        </w:rPr>
        <w:t xml:space="preserve"> d’une super-propriété est moins restrictive que celle de n’importe laquelle de ses sous-propriétés. La relation de subsomption (généralisation) est l’inverse d’une relation </w:t>
      </w:r>
      <w:r w:rsidRPr="246FBB6F">
        <w:rPr>
          <w:rStyle w:val="VerbatimChar"/>
          <w:lang w:val="fr-FR"/>
        </w:rPr>
        <w:t>estUn</w:t>
      </w:r>
      <w:r w:rsidRPr="246FBB6F">
        <w:rPr>
          <w:lang w:val="fr-FR"/>
        </w:rPr>
        <w:t xml:space="preserve"> (spécialisation). Une super-propriété peut être une généralisation de l’</w:t>
      </w:r>
      <w:hyperlink w:anchor="terminologie-inverse-de">
        <w:r w:rsidRPr="246FBB6F">
          <w:rPr>
            <w:rStyle w:val="Hyperlink"/>
            <w:b/>
            <w:bCs/>
            <w:lang w:val="fr-FR"/>
          </w:rPr>
          <w:t>inverse</w:t>
        </w:r>
      </w:hyperlink>
      <w:r w:rsidRPr="246FBB6F">
        <w:rPr>
          <w:lang w:val="fr-FR"/>
        </w:rPr>
        <w:t xml:space="preserve"> d’une autre propriété.</w:t>
      </w:r>
    </w:p>
    <w:p w14:paraId="7C6ED366" w14:textId="77777777" w:rsidR="0084489F" w:rsidRDefault="00110FE6">
      <w:pPr>
        <w:pStyle w:val="BodyText"/>
      </w:pPr>
      <w:r w:rsidRPr="246FBB6F">
        <w:rPr>
          <w:lang w:val="fr-FR"/>
        </w:rPr>
        <w:t xml:space="preserve">[n.d.t. voir </w:t>
      </w:r>
      <w:hyperlink w:anchor="declaration-des-proprietes-du-cidoccrm">
        <w:r w:rsidRPr="246FBB6F">
          <w:rPr>
            <w:rStyle w:val="Hyperlink"/>
            <w:lang w:val="fr-FR"/>
          </w:rPr>
          <w:t xml:space="preserve">Déclaration des propriétés du </w:t>
        </w:r>
      </w:hyperlink>
      <w:hyperlink w:anchor="declaration-des-proprietes-du-cidoccrm">
        <w:r w:rsidRPr="246FBB6F">
          <w:rPr>
            <w:rStyle w:val="Hyperlink"/>
            <w:lang w:val="fr-FR"/>
          </w:rPr>
          <w:t xml:space="preserve">CIDOC CRM </w:t>
        </w:r>
      </w:hyperlink>
      <w:r w:rsidRPr="246FBB6F">
        <w:rPr>
          <w:lang w:val="fr-FR"/>
        </w:rPr>
        <w:t>].</w:t>
      </w:r>
    </w:p>
    <w:p w14:paraId="42B0F6B3" w14:textId="77777777" w:rsidR="0084489F" w:rsidRDefault="00110FE6">
      <w:pPr>
        <w:pStyle w:val="BlockText"/>
      </w:pPr>
      <w:r>
        <w:rPr>
          <w:b/>
          <w:bCs/>
          <w:i/>
          <w:iCs/>
        </w:rPr>
        <w:t>Note de traduction</w:t>
      </w:r>
    </w:p>
    <w:p w14:paraId="19F51A9B" w14:textId="77777777" w:rsidR="0084489F" w:rsidRDefault="00110FE6">
      <w:pPr>
        <w:pStyle w:val="BlockText"/>
      </w:pPr>
      <w:r>
        <w:rPr>
          <w:b/>
          <w:bCs/>
          <w:i/>
          <w:iCs/>
        </w:rPr>
        <w:t>Références</w:t>
      </w:r>
    </w:p>
    <w:p w14:paraId="07A4D839" w14:textId="77777777" w:rsidR="0084489F" w:rsidRDefault="0084489F">
      <w:pPr>
        <w:pStyle w:val="FirstParagraph"/>
      </w:pPr>
      <w:bookmarkStart w:id="28" w:name="terminologie-domaine"/>
      <w:bookmarkEnd w:id="28"/>
    </w:p>
    <w:p w14:paraId="5A07AC97" w14:textId="77777777" w:rsidR="0084489F" w:rsidRDefault="00110FE6">
      <w:pPr>
        <w:pStyle w:val="BodyText"/>
      </w:pPr>
      <w:r>
        <w:rPr>
          <w:b/>
          <w:bCs/>
        </w:rPr>
        <w:t>Domaine</w:t>
      </w:r>
    </w:p>
    <w:p w14:paraId="73750B4C" w14:textId="77777777" w:rsidR="0084489F" w:rsidRDefault="00110FE6">
      <w:pPr>
        <w:pStyle w:val="BodyText"/>
      </w:pPr>
      <w:r w:rsidRPr="246FBB6F">
        <w:rPr>
          <w:lang w:val="fr-FR"/>
        </w:rPr>
        <w:t xml:space="preserve">Le domaine est la </w:t>
      </w:r>
      <w:hyperlink w:anchor="terminologie-classe">
        <w:r w:rsidRPr="246FBB6F">
          <w:rPr>
            <w:rStyle w:val="Hyperlink"/>
            <w:b/>
            <w:bCs/>
            <w:lang w:val="fr-FR"/>
          </w:rPr>
          <w:t>classe</w:t>
        </w:r>
      </w:hyperlink>
      <w:r w:rsidRPr="246FBB6F">
        <w:rPr>
          <w:lang w:val="fr-FR"/>
        </w:rPr>
        <w:t xml:space="preserve"> pour laquelle une </w:t>
      </w:r>
      <w:hyperlink w:anchor="terminologie-propriete">
        <w:r w:rsidRPr="246FBB6F">
          <w:rPr>
            <w:rStyle w:val="Hyperlink"/>
            <w:b/>
            <w:bCs/>
            <w:lang w:val="fr-FR"/>
          </w:rPr>
          <w:t>propriété</w:t>
        </w:r>
      </w:hyperlink>
      <w:r w:rsidRPr="246FBB6F">
        <w:rPr>
          <w:lang w:val="fr-FR"/>
        </w:rPr>
        <w:t xml:space="preserve"> est formellement définie, de sorte que les </w:t>
      </w:r>
      <w:hyperlink w:anchor="terminologie-instance">
        <w:r w:rsidRPr="246FBB6F">
          <w:rPr>
            <w:rStyle w:val="Hyperlink"/>
            <w:b/>
            <w:bCs/>
            <w:lang w:val="fr-FR"/>
          </w:rPr>
          <w:t>instances</w:t>
        </w:r>
      </w:hyperlink>
      <w:r w:rsidRPr="246FBB6F">
        <w:rPr>
          <w:lang w:val="fr-FR"/>
        </w:rPr>
        <w:t xml:space="preserve"> d’une propriété ne peuvent s’appliquer qu’aux instances de sa classe de domaine. Une propriété doit avoir exactement un domaine, bien que la classe de domaine puisse contenir des instances pour lesquelles la propriété n’est pas instanciée. La classe de domaine est l’équivalent du sujet grammatical d’une phrase dont la propriété serait le verbe [n.d.t. dans le contexte d’une langue SVO, c.-à-d. une langue comme le français dont les phrases suivent généralement l’ordre sujet-verbe-objet]. Le choix de la classe sélectionnée pour le domaine et pour la </w:t>
      </w:r>
      <w:hyperlink w:anchor="terminologie-portee">
        <w:r w:rsidRPr="246FBB6F">
          <w:rPr>
            <w:rStyle w:val="Hyperlink"/>
            <w:b/>
            <w:bCs/>
            <w:lang w:val="fr-FR"/>
          </w:rPr>
          <w:t>portée</w:t>
        </w:r>
      </w:hyperlink>
      <w:r w:rsidRPr="246FBB6F">
        <w:rPr>
          <w:lang w:val="fr-FR"/>
        </w:rPr>
        <w:t xml:space="preserve"> est aussi arbitraire que celui d’une forme grammaticale active ou passive. Les propriétés du CIDOC CRM sont ainsi nommées de manière à être grammaticalement correctes [n.d.t. en anglais] lors d’une lecture depuis le domaine vers la portée [n.d.t. dans le cadre de cette traduction, les propriétés sont grammaticalement correctes, mais toujours accordées au féminin dans le cadre de la phrase où elles sont citées puisqu’il est fait référence à la propriété elle-même (terme féminin) plutôt qu’à sa dénomination, le sujet grammatical des propriétés est pour sa part masculin]. De plus, les propriétés inverses, dont le nom se trouve normalement entre parenthèses, sont elles aussi nommées de manière à être grammaticalement correctes [n.d.t. en anglais] lors d’une lecture depuis la portée vers le domaine.</w:t>
      </w:r>
    </w:p>
    <w:p w14:paraId="6C3F58C5" w14:textId="77777777" w:rsidR="0084489F" w:rsidRDefault="00110FE6">
      <w:pPr>
        <w:pStyle w:val="BlockText"/>
      </w:pPr>
      <w:r>
        <w:rPr>
          <w:b/>
          <w:bCs/>
          <w:i/>
          <w:iCs/>
        </w:rPr>
        <w:t>Note de traduction</w:t>
      </w:r>
    </w:p>
    <w:p w14:paraId="553D68A3" w14:textId="77777777" w:rsidR="0084489F" w:rsidRDefault="00110FE6" w:rsidP="0076137A">
      <w:pPr>
        <w:pStyle w:val="BlockText"/>
        <w:keepNext/>
        <w:ind w:left="475" w:right="475"/>
      </w:pPr>
      <w:r>
        <w:rPr>
          <w:b/>
          <w:bCs/>
          <w:i/>
          <w:iCs/>
        </w:rPr>
        <w:lastRenderedPageBreak/>
        <w:t>Références</w:t>
      </w:r>
    </w:p>
    <w:p w14:paraId="2FE424C9" w14:textId="77777777" w:rsidR="0084489F" w:rsidRDefault="296B54BA" w:rsidP="0076137A">
      <w:pPr>
        <w:pStyle w:val="BlockText"/>
        <w:keepNext/>
        <w:ind w:left="475" w:right="475"/>
      </w:pPr>
      <w:r w:rsidRPr="00CC39FB">
        <w:rPr>
          <w:lang w:val="fr-FR"/>
        </w:rPr>
        <w:t xml:space="preserve">Wikipédia. « Langue SVO ». Dans </w:t>
      </w:r>
      <w:r w:rsidRPr="00CC39FB">
        <w:rPr>
          <w:i/>
          <w:iCs/>
          <w:lang w:val="fr-FR"/>
        </w:rPr>
        <w:t>Wikipédia</w:t>
      </w:r>
      <w:r w:rsidRPr="00CC39FB">
        <w:rPr>
          <w:lang w:val="fr-FR"/>
        </w:rPr>
        <w:t>. San Francisco, US-CA: Wikipédia, 31 octobre 2020.</w:t>
      </w:r>
      <w:hyperlink r:id="rId36">
        <w:r w:rsidRPr="00CC39FB">
          <w:rPr>
            <w:rStyle w:val="Hyperlink"/>
            <w:lang w:val="fr-FR"/>
          </w:rPr>
          <w:t xml:space="preserve"> </w:t>
        </w:r>
      </w:hyperlink>
      <w:hyperlink r:id="rId37">
        <w:r w:rsidRPr="00CC39FB">
          <w:rPr>
            <w:rStyle w:val="Hyperlink"/>
            <w:lang w:val="fr-FR"/>
          </w:rPr>
          <w:t>https://fr.wikipedia.org/w/index.php?title=Langue_SVO&amp;oldid=176099662</w:t>
        </w:r>
      </w:hyperlink>
      <w:r w:rsidRPr="00CC39FB">
        <w:rPr>
          <w:lang w:val="fr-FR"/>
        </w:rPr>
        <w:t>.</w:t>
      </w:r>
    </w:p>
    <w:p w14:paraId="5E63F840" w14:textId="77777777" w:rsidR="0084489F" w:rsidRDefault="0084489F">
      <w:pPr>
        <w:pStyle w:val="FirstParagraph"/>
      </w:pPr>
      <w:bookmarkStart w:id="29" w:name="terminologie-portee"/>
      <w:bookmarkEnd w:id="29"/>
    </w:p>
    <w:p w14:paraId="3C37A929" w14:textId="77777777" w:rsidR="0084489F" w:rsidRDefault="00110FE6">
      <w:pPr>
        <w:pStyle w:val="BodyText"/>
      </w:pPr>
      <w:r>
        <w:rPr>
          <w:b/>
          <w:bCs/>
        </w:rPr>
        <w:t>Portée</w:t>
      </w:r>
    </w:p>
    <w:p w14:paraId="3E6151AD" w14:textId="77777777" w:rsidR="0084489F" w:rsidRDefault="00110FE6">
      <w:pPr>
        <w:pStyle w:val="BodyText"/>
      </w:pPr>
      <w:r w:rsidRPr="246FBB6F">
        <w:rPr>
          <w:lang w:val="fr-FR"/>
        </w:rPr>
        <w:t xml:space="preserve">La portée est la </w:t>
      </w:r>
      <w:hyperlink w:anchor="terminologie-classe">
        <w:r w:rsidRPr="246FBB6F">
          <w:rPr>
            <w:rStyle w:val="Hyperlink"/>
            <w:b/>
            <w:bCs/>
            <w:lang w:val="fr-FR"/>
          </w:rPr>
          <w:t>classe</w:t>
        </w:r>
      </w:hyperlink>
      <w:r w:rsidRPr="246FBB6F">
        <w:rPr>
          <w:lang w:val="fr-FR"/>
        </w:rPr>
        <w:t xml:space="preserve"> qui englobe toutes les valeurs potentielles d’une </w:t>
      </w:r>
      <w:hyperlink w:anchor="terminologie-propriete">
        <w:r w:rsidRPr="246FBB6F">
          <w:rPr>
            <w:rStyle w:val="Hyperlink"/>
            <w:b/>
            <w:bCs/>
            <w:lang w:val="fr-FR"/>
          </w:rPr>
          <w:t>propriété</w:t>
        </w:r>
      </w:hyperlink>
      <w:r w:rsidRPr="246FBB6F">
        <w:rPr>
          <w:lang w:val="fr-FR"/>
        </w:rPr>
        <w:t xml:space="preserve">, de sorte que les </w:t>
      </w:r>
      <w:hyperlink w:anchor="terminologie-instance">
        <w:r w:rsidRPr="246FBB6F">
          <w:rPr>
            <w:rStyle w:val="Hyperlink"/>
            <w:b/>
            <w:bCs/>
            <w:lang w:val="fr-FR"/>
          </w:rPr>
          <w:t>instances</w:t>
        </w:r>
      </w:hyperlink>
      <w:r w:rsidRPr="246FBB6F">
        <w:rPr>
          <w:lang w:val="fr-FR"/>
        </w:rPr>
        <w:t xml:space="preserve"> d’une propriété peuvent se lier uniquement aux instances de sa classe de portée. Une propriété doit avoir exactement une portée, bien que la classe de portée puisse contenir des instances qui ne sont pas des valeurs de la propriété. La classe de portée est l’équivalent de l’objet grammatical d’une phrase dont la propriété serait le verbe [n.d.t. dans le contexte d’une langue SVO, c.-à-d. une langue comme le français dont les phrases suivent généralement l’ordre sujet-verbe-objet]. Le choix de la classe sélectionnée pour le </w:t>
      </w:r>
      <w:hyperlink w:anchor="terminologie-domaine">
        <w:r w:rsidRPr="246FBB6F">
          <w:rPr>
            <w:rStyle w:val="Hyperlink"/>
            <w:b/>
            <w:bCs/>
            <w:lang w:val="fr-FR"/>
          </w:rPr>
          <w:t>domaine</w:t>
        </w:r>
      </w:hyperlink>
      <w:r w:rsidRPr="246FBB6F">
        <w:rPr>
          <w:lang w:val="fr-FR"/>
        </w:rPr>
        <w:t xml:space="preserve"> et pour la portée est aussi arbitraire que celui d’une forme grammaticale active ou passive. Les propriétés du CIDOC CRM sont ainsi nommées de manière à être grammaticalement correctes [n.d.t. en anglais] lors d’une lecture depuis le domaine vers la portée [n.d.t. dans le cadre de cette traduction, les propriétés sont grammaticalement correctes, mais toujours accordées au féminin dans le cadre de la phrase où elles sont citées, le sujet grammatical des propriétés est pour sa part masculin]. De plus, les propriétés inverses, dont le nom se trouve normalement entre parenthèses, sont elles aussi nommées de manière à être grammaticalement correcte [n.d.t. en anglais] lors d’une lecture depuis la portée vers le domaine.</w:t>
      </w:r>
    </w:p>
    <w:p w14:paraId="36873423" w14:textId="77777777" w:rsidR="0084489F" w:rsidRDefault="00110FE6">
      <w:pPr>
        <w:pStyle w:val="BlockText"/>
      </w:pPr>
      <w:r>
        <w:rPr>
          <w:b/>
          <w:bCs/>
          <w:i/>
          <w:iCs/>
        </w:rPr>
        <w:t>Note de traduction</w:t>
      </w:r>
    </w:p>
    <w:p w14:paraId="7BE7F7D4" w14:textId="77777777" w:rsidR="0084489F" w:rsidRDefault="00110FE6">
      <w:pPr>
        <w:pStyle w:val="BlockText"/>
      </w:pPr>
      <w:r>
        <w:rPr>
          <w:b/>
          <w:bCs/>
          <w:i/>
          <w:iCs/>
        </w:rPr>
        <w:t>Références</w:t>
      </w:r>
    </w:p>
    <w:p w14:paraId="0D1B8D69" w14:textId="77777777" w:rsidR="0084489F" w:rsidRDefault="296B54BA">
      <w:pPr>
        <w:pStyle w:val="BlockText"/>
      </w:pPr>
      <w:r w:rsidRPr="00CC39FB">
        <w:rPr>
          <w:lang w:val="fr-FR"/>
        </w:rPr>
        <w:t xml:space="preserve">Wikipédia. « Langue SVO ». Dans </w:t>
      </w:r>
      <w:r w:rsidRPr="00CC39FB">
        <w:rPr>
          <w:i/>
          <w:iCs/>
          <w:lang w:val="fr-FR"/>
        </w:rPr>
        <w:t>Wikipédia</w:t>
      </w:r>
      <w:r w:rsidRPr="00CC39FB">
        <w:rPr>
          <w:lang w:val="fr-FR"/>
        </w:rPr>
        <w:t>. San Francisco, US-CA: Wikipédia, 31 octobre 2020.</w:t>
      </w:r>
      <w:hyperlink r:id="rId38">
        <w:r w:rsidRPr="00CC39FB">
          <w:rPr>
            <w:rStyle w:val="Hyperlink"/>
            <w:lang w:val="fr-FR"/>
          </w:rPr>
          <w:t xml:space="preserve"> </w:t>
        </w:r>
      </w:hyperlink>
      <w:hyperlink r:id="rId39">
        <w:r w:rsidRPr="00CC39FB">
          <w:rPr>
            <w:rStyle w:val="Hyperlink"/>
            <w:lang w:val="fr-FR"/>
          </w:rPr>
          <w:t>https://fr.wikipedia.org/w/index.php?title=Langue_SVO&amp;oldid=176099662</w:t>
        </w:r>
      </w:hyperlink>
      <w:r w:rsidRPr="00CC39FB">
        <w:rPr>
          <w:lang w:val="fr-FR"/>
        </w:rPr>
        <w:t>.</w:t>
      </w:r>
    </w:p>
    <w:p w14:paraId="750C9F54" w14:textId="77777777" w:rsidR="0084489F" w:rsidRDefault="0084489F">
      <w:pPr>
        <w:pStyle w:val="FirstParagraph"/>
      </w:pPr>
      <w:bookmarkStart w:id="30" w:name="terminologie-heritage"/>
      <w:bookmarkEnd w:id="30"/>
    </w:p>
    <w:p w14:paraId="00493D79" w14:textId="77777777" w:rsidR="0084489F" w:rsidRDefault="00110FE6">
      <w:pPr>
        <w:pStyle w:val="BodyText"/>
      </w:pPr>
      <w:r>
        <w:rPr>
          <w:b/>
          <w:bCs/>
        </w:rPr>
        <w:t>Héritage</w:t>
      </w:r>
    </w:p>
    <w:p w14:paraId="14C80A6D" w14:textId="77777777" w:rsidR="0084489F" w:rsidRDefault="00110FE6">
      <w:pPr>
        <w:pStyle w:val="BodyText"/>
      </w:pPr>
      <w:r>
        <w:t xml:space="preserve">L’héritage des </w:t>
      </w:r>
      <w:hyperlink w:anchor="terminologie-propriete">
        <w:r>
          <w:rPr>
            <w:rStyle w:val="Hyperlink"/>
            <w:b/>
            <w:bCs/>
          </w:rPr>
          <w:t>propriétés</w:t>
        </w:r>
      </w:hyperlink>
      <w:r>
        <w:t xml:space="preserve"> de </w:t>
      </w:r>
      <w:hyperlink w:anchor="terminologie-super-classe">
        <w:r>
          <w:rPr>
            <w:rStyle w:val="Hyperlink"/>
            <w:b/>
            <w:bCs/>
          </w:rPr>
          <w:t>super-classes</w:t>
        </w:r>
      </w:hyperlink>
      <w:r>
        <w:t xml:space="preserve"> vers leurs </w:t>
      </w:r>
      <w:hyperlink w:anchor="terminologie-sous-classe">
        <w:r>
          <w:rPr>
            <w:rStyle w:val="Hyperlink"/>
            <w:b/>
            <w:bCs/>
          </w:rPr>
          <w:t>sous-classes</w:t>
        </w:r>
      </w:hyperlink>
      <w:r>
        <w:t xml:space="preserve"> implique que pour tout élément </w:t>
      </w:r>
      <w:r>
        <w:rPr>
          <w:rStyle w:val="VerbatimChar"/>
        </w:rPr>
        <w:t>x</w:t>
      </w:r>
      <w:r>
        <w:t xml:space="preserve"> étant une </w:t>
      </w:r>
      <w:hyperlink w:anchor="terminologie-instance">
        <w:r>
          <w:rPr>
            <w:rStyle w:val="Hyperlink"/>
            <w:b/>
            <w:bCs/>
          </w:rPr>
          <w:t>instance</w:t>
        </w:r>
      </w:hyperlink>
      <w:r>
        <w:t xml:space="preserve"> d’une </w:t>
      </w:r>
      <w:hyperlink w:anchor="terminologie-classe">
        <w:r>
          <w:rPr>
            <w:rStyle w:val="Hyperlink"/>
            <w:b/>
            <w:bCs/>
          </w:rPr>
          <w:t>classe</w:t>
        </w:r>
      </w:hyperlink>
      <w:r>
        <w:t xml:space="preserve"> </w:t>
      </w:r>
      <w:r>
        <w:rPr>
          <w:rStyle w:val="VerbatimChar"/>
        </w:rPr>
        <w:t>A</w:t>
      </w:r>
      <w:r>
        <w:t> :</w:t>
      </w:r>
    </w:p>
    <w:p w14:paraId="5944A54E" w14:textId="77777777" w:rsidR="0084489F" w:rsidRDefault="00110FE6" w:rsidP="00806324">
      <w:pPr>
        <w:numPr>
          <w:ilvl w:val="0"/>
          <w:numId w:val="9"/>
        </w:numPr>
      </w:pPr>
      <w:r w:rsidRPr="246FBB6F">
        <w:rPr>
          <w:lang w:val="fr-FR"/>
        </w:rPr>
        <w:t xml:space="preserve">toutes les propriétés qui doivent être appliquées à des instances relevant de super-classes de </w:t>
      </w:r>
      <w:r w:rsidRPr="246FBB6F">
        <w:rPr>
          <w:rStyle w:val="VerbatimChar"/>
          <w:lang w:val="fr-FR"/>
        </w:rPr>
        <w:t>A</w:t>
      </w:r>
      <w:r w:rsidRPr="246FBB6F">
        <w:rPr>
          <w:lang w:val="fr-FR"/>
        </w:rPr>
        <w:t xml:space="preserve"> doivent aussi s’appliquer à l’élément </w:t>
      </w:r>
      <w:r w:rsidRPr="246FBB6F">
        <w:rPr>
          <w:rStyle w:val="VerbatimChar"/>
          <w:lang w:val="fr-FR"/>
        </w:rPr>
        <w:t>x;</w:t>
      </w:r>
    </w:p>
    <w:p w14:paraId="398681E7" w14:textId="77777777" w:rsidR="0084489F" w:rsidRDefault="00110FE6" w:rsidP="00806324">
      <w:pPr>
        <w:numPr>
          <w:ilvl w:val="0"/>
          <w:numId w:val="9"/>
        </w:numPr>
      </w:pPr>
      <w:r w:rsidRPr="246FBB6F">
        <w:rPr>
          <w:lang w:val="fr-FR"/>
        </w:rPr>
        <w:t xml:space="preserve">et que toutes les propriétés optionnelles qui peuvent être appliquées à des instances relevant de super-classes de </w:t>
      </w:r>
      <w:r w:rsidRPr="246FBB6F">
        <w:rPr>
          <w:rStyle w:val="VerbatimChar"/>
          <w:lang w:val="fr-FR"/>
        </w:rPr>
        <w:t>A</w:t>
      </w:r>
      <w:r w:rsidRPr="246FBB6F">
        <w:rPr>
          <w:lang w:val="fr-FR"/>
        </w:rPr>
        <w:t xml:space="preserve"> peuvent aussi s’appliquer à l’élément </w:t>
      </w:r>
      <w:r w:rsidRPr="246FBB6F">
        <w:rPr>
          <w:rStyle w:val="VerbatimChar"/>
          <w:lang w:val="fr-FR"/>
        </w:rPr>
        <w:t>x</w:t>
      </w:r>
      <w:r w:rsidRPr="246FBB6F">
        <w:rPr>
          <w:lang w:val="fr-FR"/>
        </w:rPr>
        <w:t>.</w:t>
      </w:r>
    </w:p>
    <w:p w14:paraId="78323B6E" w14:textId="77777777" w:rsidR="0084489F" w:rsidRDefault="00110FE6">
      <w:pPr>
        <w:pStyle w:val="FirstParagraph"/>
      </w:pPr>
      <w:r w:rsidRPr="246FBB6F">
        <w:rPr>
          <w:lang w:val="fr-FR"/>
        </w:rPr>
        <w:t xml:space="preserve">[n.d.t. voir </w:t>
      </w:r>
      <w:hyperlink w:anchor="de-lheritage-et-de-la-transitivite">
        <w:r w:rsidRPr="246FBB6F">
          <w:rPr>
            <w:rStyle w:val="Hyperlink"/>
            <w:lang w:val="fr-FR"/>
          </w:rPr>
          <w:t>De l’héritage et de la transitivité</w:t>
        </w:r>
      </w:hyperlink>
      <w:r w:rsidRPr="246FBB6F">
        <w:rPr>
          <w:lang w:val="fr-FR"/>
        </w:rPr>
        <w:t xml:space="preserve"> dans la section </w:t>
      </w:r>
      <w:hyperlink w:anchor="principes-de-modelisation">
        <w:r w:rsidRPr="246FBB6F">
          <w:rPr>
            <w:rStyle w:val="Hyperlink"/>
            <w:lang w:val="fr-FR"/>
          </w:rPr>
          <w:t>Principes de modélisation</w:t>
        </w:r>
      </w:hyperlink>
      <w:r w:rsidRPr="246FBB6F">
        <w:rPr>
          <w:lang w:val="fr-FR"/>
        </w:rPr>
        <w:t>].</w:t>
      </w:r>
    </w:p>
    <w:p w14:paraId="3A1ED3DC" w14:textId="77777777" w:rsidR="0084489F" w:rsidRDefault="00110FE6">
      <w:pPr>
        <w:pStyle w:val="BlockText"/>
      </w:pPr>
      <w:r>
        <w:rPr>
          <w:b/>
          <w:bCs/>
          <w:i/>
          <w:iCs/>
        </w:rPr>
        <w:t>Note de traduction</w:t>
      </w:r>
    </w:p>
    <w:p w14:paraId="4BB28426" w14:textId="77777777" w:rsidR="0084489F" w:rsidRDefault="00110FE6">
      <w:pPr>
        <w:pStyle w:val="BlockText"/>
      </w:pPr>
      <w:r>
        <w:rPr>
          <w:b/>
          <w:bCs/>
          <w:i/>
          <w:iCs/>
        </w:rPr>
        <w:t>Références</w:t>
      </w:r>
    </w:p>
    <w:p w14:paraId="6A69345C" w14:textId="77777777" w:rsidR="0084489F" w:rsidRDefault="0084489F">
      <w:pPr>
        <w:pStyle w:val="FirstParagraph"/>
      </w:pPr>
      <w:bookmarkStart w:id="31" w:name="terminologie-heritage-strict"/>
      <w:bookmarkEnd w:id="31"/>
    </w:p>
    <w:p w14:paraId="610A8E3A" w14:textId="77777777" w:rsidR="0084489F" w:rsidRDefault="00110FE6">
      <w:pPr>
        <w:pStyle w:val="BodyText"/>
      </w:pPr>
      <w:r>
        <w:rPr>
          <w:b/>
          <w:bCs/>
        </w:rPr>
        <w:t>Héritage strict</w:t>
      </w:r>
    </w:p>
    <w:p w14:paraId="6CFF3AFB" w14:textId="77777777" w:rsidR="0084489F" w:rsidRDefault="00110FE6">
      <w:pPr>
        <w:pStyle w:val="BodyText"/>
      </w:pPr>
      <w:r>
        <w:t>L’</w:t>
      </w:r>
      <w:hyperlink w:anchor="terminologie-heritage">
        <w:r>
          <w:rPr>
            <w:rStyle w:val="Hyperlink"/>
            <w:b/>
            <w:bCs/>
          </w:rPr>
          <w:t>héritage</w:t>
        </w:r>
      </w:hyperlink>
      <w:r>
        <w:t xml:space="preserve"> strict désigne le fait qu’il n’y a pas d’exception à l’héritage de </w:t>
      </w:r>
      <w:hyperlink w:anchor="terminologie-propriete">
        <w:r>
          <w:rPr>
            <w:rStyle w:val="Hyperlink"/>
            <w:b/>
            <w:bCs/>
          </w:rPr>
          <w:t>propriétés</w:t>
        </w:r>
      </w:hyperlink>
      <w:r>
        <w:t xml:space="preserve"> depuis des </w:t>
      </w:r>
      <w:hyperlink w:anchor="terminologie-super-classe">
        <w:r>
          <w:rPr>
            <w:rStyle w:val="Hyperlink"/>
            <w:b/>
            <w:bCs/>
          </w:rPr>
          <w:t>super-classes</w:t>
        </w:r>
      </w:hyperlink>
      <w:r>
        <w:t xml:space="preserve"> vers leurs </w:t>
      </w:r>
      <w:hyperlink w:anchor="terminologie-sous-classe">
        <w:r>
          <w:rPr>
            <w:rStyle w:val="Hyperlink"/>
            <w:b/>
            <w:bCs/>
          </w:rPr>
          <w:t>sous-classes</w:t>
        </w:r>
      </w:hyperlink>
      <w:r>
        <w:t xml:space="preserve">. Par exemple, un système [n.d.t. d’information] peut déclarer que les éléphants sont gris et considérer qu’un éléphant blanc est une exception [n.d.t. à la classe éléphant]. Des règles d’héritage strict imposeraient que si tous les éléphants sont gris, un éléphant blanc ne peut être un éléphant. Évidemment, tous les éléphants ne sont pas gris et le fait d’être gris ne fait pas partie de </w:t>
      </w:r>
      <w:r>
        <w:lastRenderedPageBreak/>
        <w:t>l’</w:t>
      </w:r>
      <w:hyperlink w:anchor="terminologie-intension">
        <w:r>
          <w:rPr>
            <w:rStyle w:val="Hyperlink"/>
            <w:b/>
            <w:bCs/>
          </w:rPr>
          <w:t>intension</w:t>
        </w:r>
      </w:hyperlink>
      <w:r>
        <w:t xml:space="preserve"> du concept « éléphant » (il s’agit plutôt d’une propriété optionnelle). Le CIDOC CRM applique des règles d’héritage strict aux fins de normalisation.</w:t>
      </w:r>
    </w:p>
    <w:p w14:paraId="1686AF50" w14:textId="77777777" w:rsidR="0084489F" w:rsidRDefault="00110FE6">
      <w:pPr>
        <w:pStyle w:val="BlockText"/>
      </w:pPr>
      <w:r>
        <w:rPr>
          <w:b/>
          <w:bCs/>
          <w:i/>
          <w:iCs/>
        </w:rPr>
        <w:t>Note de traduction</w:t>
      </w:r>
    </w:p>
    <w:p w14:paraId="48005AEA" w14:textId="77777777" w:rsidR="0084489F" w:rsidRDefault="00110FE6">
      <w:pPr>
        <w:pStyle w:val="BlockText"/>
      </w:pPr>
      <w:r w:rsidRPr="246FBB6F">
        <w:rPr>
          <w:lang w:val="fr-FR"/>
        </w:rPr>
        <w:t>Le terme « normalization » aurait aussi pu être traduit par « standardisation”, mais puisqu’il s’agit du principe et non pas de l’application d’un standard établi, le terme « normalisation » a été utilisé.</w:t>
      </w:r>
    </w:p>
    <w:p w14:paraId="50ACAE74" w14:textId="77777777" w:rsidR="0084489F" w:rsidRDefault="00110FE6">
      <w:pPr>
        <w:pStyle w:val="BlockText"/>
      </w:pPr>
      <w:r>
        <w:rPr>
          <w:b/>
          <w:bCs/>
          <w:i/>
          <w:iCs/>
        </w:rPr>
        <w:t>Références</w:t>
      </w:r>
    </w:p>
    <w:p w14:paraId="0BAD841E" w14:textId="77777777" w:rsidR="0084489F" w:rsidRDefault="00110FE6">
      <w:pPr>
        <w:pStyle w:val="BlockText"/>
      </w:pPr>
      <w:r w:rsidRPr="246FBB6F">
        <w:rPr>
          <w:lang w:val="fr-FR"/>
        </w:rPr>
        <w:t xml:space="preserve">Termium. « normalization ». Dans </w:t>
      </w:r>
      <w:r w:rsidRPr="246FBB6F">
        <w:rPr>
          <w:i/>
          <w:iCs/>
          <w:lang w:val="fr-FR"/>
        </w:rPr>
        <w:t>Termium Plus</w:t>
      </w:r>
      <w:r w:rsidRPr="246FBB6F">
        <w:rPr>
          <w:lang w:val="fr-FR"/>
        </w:rPr>
        <w:t>. Ottawa, CA-ON: Gouvernement du Canada, 8 octobre 2009.</w:t>
      </w:r>
      <w:hyperlink r:id="rId40" w:anchor="resultrecs">
        <w:r w:rsidRPr="246FBB6F">
          <w:rPr>
            <w:rStyle w:val="Hyperlink"/>
            <w:lang w:val="fr-FR"/>
          </w:rPr>
          <w:t xml:space="preserve"> </w:t>
        </w:r>
      </w:hyperlink>
      <w:hyperlink r:id="rId41" w:anchor="resultrecs">
        <w:r w:rsidRPr="246FBB6F">
          <w:rPr>
            <w:rStyle w:val="Hyperlink"/>
            <w:lang w:val="fr-FR"/>
          </w:rPr>
          <w:t>https://www.btb.termiumplus.gc.ca/tpv2alpha/alpha-fra.html?lang=fra&amp;i=1&amp;srchtxt=normalization&amp;index=alt&amp;codom2nd_wet=1#resultrecs</w:t>
        </w:r>
      </w:hyperlink>
      <w:r w:rsidRPr="246FBB6F">
        <w:rPr>
          <w:lang w:val="fr-FR"/>
        </w:rPr>
        <w:t>.</w:t>
      </w:r>
    </w:p>
    <w:p w14:paraId="1AB21C90" w14:textId="77777777" w:rsidR="0084489F" w:rsidRDefault="0084489F">
      <w:pPr>
        <w:pStyle w:val="FirstParagraph"/>
      </w:pPr>
      <w:bookmarkStart w:id="32" w:name="terminologie-heritage-multiple"/>
      <w:bookmarkEnd w:id="32"/>
    </w:p>
    <w:p w14:paraId="3DFE737D" w14:textId="77777777" w:rsidR="0084489F" w:rsidRDefault="00110FE6">
      <w:pPr>
        <w:pStyle w:val="BodyText"/>
      </w:pPr>
      <w:r>
        <w:rPr>
          <w:b/>
          <w:bCs/>
        </w:rPr>
        <w:t>Héritage multiple</w:t>
      </w:r>
    </w:p>
    <w:p w14:paraId="65A15E92" w14:textId="77777777" w:rsidR="0084489F" w:rsidRDefault="00110FE6">
      <w:pPr>
        <w:pStyle w:val="BodyText"/>
      </w:pPr>
      <w:r w:rsidRPr="246FBB6F">
        <w:rPr>
          <w:lang w:val="fr-FR"/>
        </w:rPr>
        <w:t>L’</w:t>
      </w:r>
      <w:hyperlink w:anchor="terminologie-heritage">
        <w:r w:rsidRPr="246FBB6F">
          <w:rPr>
            <w:rStyle w:val="Hyperlink"/>
            <w:b/>
            <w:bCs/>
            <w:lang w:val="fr-FR"/>
          </w:rPr>
          <w:t>héritage</w:t>
        </w:r>
      </w:hyperlink>
      <w:r w:rsidRPr="246FBB6F">
        <w:rPr>
          <w:lang w:val="fr-FR"/>
        </w:rPr>
        <w:t xml:space="preserve"> multiple désigne le fait qu’une </w:t>
      </w:r>
      <w:hyperlink w:anchor="terminologie-instance">
        <w:r w:rsidRPr="246FBB6F">
          <w:rPr>
            <w:rStyle w:val="Hyperlink"/>
            <w:b/>
            <w:bCs/>
            <w:lang w:val="fr-FR"/>
          </w:rPr>
          <w:t>instance</w:t>
        </w:r>
      </w:hyperlink>
      <w:r w:rsidRPr="246FBB6F">
        <w:rPr>
          <w:lang w:val="fr-FR"/>
        </w:rPr>
        <w:t xml:space="preserve"> d’une </w:t>
      </w:r>
      <w:hyperlink w:anchor="terminologie-classe">
        <w:r w:rsidRPr="246FBB6F">
          <w:rPr>
            <w:rStyle w:val="Hyperlink"/>
            <w:b/>
            <w:bCs/>
            <w:lang w:val="fr-FR"/>
          </w:rPr>
          <w:t>classe</w:t>
        </w:r>
      </w:hyperlink>
      <w:r w:rsidRPr="246FBB6F">
        <w:rPr>
          <w:lang w:val="fr-FR"/>
        </w:rPr>
        <w:t xml:space="preserve"> </w:t>
      </w:r>
      <w:r w:rsidRPr="246FBB6F">
        <w:rPr>
          <w:rStyle w:val="VerbatimChar"/>
          <w:lang w:val="fr-FR"/>
        </w:rPr>
        <w:t>A</w:t>
      </w:r>
      <w:r w:rsidRPr="246FBB6F">
        <w:rPr>
          <w:lang w:val="fr-FR"/>
        </w:rPr>
        <w:t xml:space="preserve"> puisse relever directement de plus d’une </w:t>
      </w:r>
      <w:hyperlink w:anchor="terminologie-super-classe">
        <w:r w:rsidRPr="246FBB6F">
          <w:rPr>
            <w:rStyle w:val="Hyperlink"/>
            <w:b/>
            <w:bCs/>
            <w:lang w:val="fr-FR"/>
          </w:rPr>
          <w:t>super-classe</w:t>
        </w:r>
      </w:hyperlink>
      <w:hyperlink w:anchor="terminologie-super-classe">
        <w:r w:rsidRPr="246FBB6F">
          <w:rPr>
            <w:rStyle w:val="Hyperlink"/>
            <w:lang w:val="fr-FR"/>
          </w:rPr>
          <w:t>.</w:t>
        </w:r>
      </w:hyperlink>
      <w:r w:rsidRPr="246FBB6F">
        <w:rPr>
          <w:lang w:val="fr-FR"/>
        </w:rPr>
        <w:t xml:space="preserve"> L’</w:t>
      </w:r>
      <w:hyperlink w:anchor="terminologie-extension">
        <w:r w:rsidRPr="246FBB6F">
          <w:rPr>
            <w:rStyle w:val="Hyperlink"/>
            <w:b/>
            <w:bCs/>
            <w:lang w:val="fr-FR"/>
          </w:rPr>
          <w:t>extension</w:t>
        </w:r>
      </w:hyperlink>
      <w:r w:rsidRPr="246FBB6F">
        <w:rPr>
          <w:lang w:val="fr-FR"/>
        </w:rPr>
        <w:t xml:space="preserve"> d’une classe relevant directement de plusieurs super-classes est un sous-ensemble de l’intersection de toutes les extensions de ses super-classes. L’</w:t>
      </w:r>
      <w:hyperlink w:anchor="terminologie-intension">
        <w:r w:rsidRPr="246FBB6F">
          <w:rPr>
            <w:rStyle w:val="Hyperlink"/>
            <w:b/>
            <w:bCs/>
            <w:lang w:val="fr-FR"/>
          </w:rPr>
          <w:t>intension</w:t>
        </w:r>
      </w:hyperlink>
      <w:r w:rsidRPr="246FBB6F">
        <w:rPr>
          <w:lang w:val="fr-FR"/>
        </w:rPr>
        <w:t xml:space="preserve"> d’une classe relevant directement de plusieurs super-classes étend les intensions de toutes ces super-classes (c.-à-d. que les traits [n.d.t. de cette classe tels qu’ils sont définis par sa </w:t>
      </w:r>
      <w:hyperlink w:anchor="terminologie-note-dapplication">
        <w:r w:rsidRPr="246FBB6F">
          <w:rPr>
            <w:rStyle w:val="Hyperlink"/>
            <w:b/>
            <w:bCs/>
            <w:lang w:val="fr-FR"/>
          </w:rPr>
          <w:t>note d’application</w:t>
        </w:r>
      </w:hyperlink>
      <w:r w:rsidRPr="246FBB6F">
        <w:rPr>
          <w:lang w:val="fr-FR"/>
        </w:rPr>
        <w:t xml:space="preserve">] sont plus restrictifs que ceux de n’importe laquelle de ses super-classes). La « hiérarchie des classes » résultant d’un héritage multiple prend la forme d’un graphe orienté et non pas d’une arborescence. Si la hiérarchie en question est représentée sous la forme d’une liste comportant des retraits, il y aura nécessairement de multiples occurrences d’une même classe à différents endroits de la liste. Par exemple, </w:t>
      </w:r>
      <w:r w:rsidRPr="246FBB6F">
        <w:rPr>
          <w:rStyle w:val="VerbatimChar"/>
          <w:lang w:val="fr-FR"/>
        </w:rPr>
        <w:t>E21_Personne</w:t>
      </w:r>
      <w:r w:rsidRPr="246FBB6F">
        <w:rPr>
          <w:lang w:val="fr-FR"/>
        </w:rPr>
        <w:t xml:space="preserve"> est à la fois </w:t>
      </w:r>
      <w:r w:rsidRPr="246FBB6F">
        <w:rPr>
          <w:rStyle w:val="VerbatimChar"/>
          <w:lang w:val="fr-FR"/>
        </w:rPr>
        <w:t>E39_Actant</w:t>
      </w:r>
      <w:r w:rsidRPr="246FBB6F">
        <w:rPr>
          <w:lang w:val="fr-FR"/>
        </w:rPr>
        <w:t xml:space="preserve"> et </w:t>
      </w:r>
      <w:r w:rsidRPr="246FBB6F">
        <w:rPr>
          <w:rStyle w:val="VerbatimChar"/>
          <w:lang w:val="fr-FR"/>
        </w:rPr>
        <w:t>E20_Objet_biologique</w:t>
      </w:r>
      <w:r w:rsidRPr="246FBB6F">
        <w:rPr>
          <w:lang w:val="fr-FR"/>
        </w:rPr>
        <w:t>.</w:t>
      </w:r>
    </w:p>
    <w:p w14:paraId="7AB5F0E9" w14:textId="77777777" w:rsidR="0084489F" w:rsidRDefault="00110FE6">
      <w:pPr>
        <w:pStyle w:val="BlockText"/>
      </w:pPr>
      <w:r>
        <w:rPr>
          <w:b/>
          <w:bCs/>
          <w:i/>
          <w:iCs/>
        </w:rPr>
        <w:t>Note de traduction</w:t>
      </w:r>
    </w:p>
    <w:p w14:paraId="30E80DBC" w14:textId="77777777" w:rsidR="0084489F" w:rsidRDefault="00110FE6">
      <w:pPr>
        <w:pStyle w:val="BlockText"/>
      </w:pPr>
      <w:r>
        <w:rPr>
          <w:b/>
          <w:bCs/>
          <w:i/>
          <w:iCs/>
        </w:rPr>
        <w:t>Références</w:t>
      </w:r>
    </w:p>
    <w:p w14:paraId="5163BF23" w14:textId="77777777" w:rsidR="0084489F" w:rsidRDefault="00110FE6">
      <w:pPr>
        <w:pStyle w:val="BlockText"/>
      </w:pPr>
      <w:r w:rsidRPr="246FBB6F">
        <w:rPr>
          <w:lang w:val="fr-FR"/>
        </w:rPr>
        <w:t xml:space="preserve">Termium. « directed graph ». Dans </w:t>
      </w:r>
      <w:r w:rsidRPr="246FBB6F">
        <w:rPr>
          <w:i/>
          <w:iCs/>
          <w:lang w:val="fr-FR"/>
        </w:rPr>
        <w:t>Termium Plus</w:t>
      </w:r>
      <w:r w:rsidRPr="246FBB6F">
        <w:rPr>
          <w:lang w:val="fr-FR"/>
        </w:rPr>
        <w:t>. Ottawa, CA-ON: Gouvernement du Canada, 8 octobre 2009.</w:t>
      </w:r>
      <w:hyperlink r:id="rId42" w:anchor="resultrecs">
        <w:r w:rsidRPr="246FBB6F">
          <w:rPr>
            <w:rStyle w:val="Hyperlink"/>
            <w:lang w:val="fr-FR"/>
          </w:rPr>
          <w:t xml:space="preserve"> </w:t>
        </w:r>
      </w:hyperlink>
      <w:hyperlink r:id="rId43" w:anchor="resultrecs">
        <w:r w:rsidRPr="246FBB6F">
          <w:rPr>
            <w:rStyle w:val="Hyperlink"/>
            <w:lang w:val="fr-FR"/>
          </w:rPr>
          <w:t>https://www.btb.termiumplus.gc.ca/tpv2alpha/alpha-fra.html?lang=fra&amp;i=1&amp;srchtxt=directed+graph&amp;index=alt&amp;codom2nd_wet=1#resultrecs</w:t>
        </w:r>
      </w:hyperlink>
      <w:r w:rsidRPr="246FBB6F">
        <w:rPr>
          <w:lang w:val="fr-FR"/>
        </w:rPr>
        <w:t>.</w:t>
      </w:r>
    </w:p>
    <w:p w14:paraId="18A54ED0" w14:textId="77777777" w:rsidR="00260129" w:rsidRPr="00260129" w:rsidRDefault="00260129" w:rsidP="00AB28D9">
      <w:pPr>
        <w:pStyle w:val="BodyText"/>
      </w:pPr>
      <w:bookmarkStart w:id="33" w:name="terminologie-instanciation-multiple"/>
      <w:bookmarkEnd w:id="33"/>
    </w:p>
    <w:p w14:paraId="2B5F765B" w14:textId="77777777" w:rsidR="0084489F" w:rsidRDefault="00110FE6">
      <w:pPr>
        <w:pStyle w:val="BodyText"/>
      </w:pPr>
      <w:r>
        <w:rPr>
          <w:b/>
          <w:bCs/>
        </w:rPr>
        <w:t>Instanciation multiple</w:t>
      </w:r>
    </w:p>
    <w:p w14:paraId="084C4F5D" w14:textId="77777777" w:rsidR="0084489F" w:rsidRDefault="00110FE6">
      <w:pPr>
        <w:pStyle w:val="BodyText"/>
      </w:pPr>
      <w:r>
        <w:t>L’</w:t>
      </w:r>
      <w:r>
        <w:rPr>
          <w:b/>
          <w:bCs/>
        </w:rPr>
        <w:t>instanciation</w:t>
      </w:r>
      <w:r>
        <w:t xml:space="preserve"> multiple désigne le fait qu’une </w:t>
      </w:r>
      <w:hyperlink w:anchor="terminologie-instance">
        <w:r>
          <w:rPr>
            <w:rStyle w:val="Hyperlink"/>
          </w:rPr>
          <w:t>instance</w:t>
        </w:r>
      </w:hyperlink>
      <w:r>
        <w:t xml:space="preserve"> d’une </w:t>
      </w:r>
      <w:hyperlink w:anchor="terminologie-classe">
        <w:r>
          <w:rPr>
            <w:rStyle w:val="Hyperlink"/>
          </w:rPr>
          <w:t>classe</w:t>
        </w:r>
      </w:hyperlink>
      <w:r>
        <w:t xml:space="preserve"> </w:t>
      </w:r>
      <w:r>
        <w:rPr>
          <w:rStyle w:val="VerbatimChar"/>
        </w:rPr>
        <w:t>A</w:t>
      </w:r>
      <w:r>
        <w:t xml:space="preserve"> soit aussi et simultanément une instance de l’une ou plusieurs autres classes </w:t>
      </w:r>
      <w:r>
        <w:rPr>
          <w:rStyle w:val="VerbatimChar"/>
        </w:rPr>
        <w:t>B1...n</w:t>
      </w:r>
      <w:r>
        <w:t xml:space="preserve">. Les </w:t>
      </w:r>
      <w:hyperlink w:anchor="terminologie-propriete">
        <w:r>
          <w:rPr>
            <w:rStyle w:val="Hyperlink"/>
          </w:rPr>
          <w:t>propriétés</w:t>
        </w:r>
      </w:hyperlink>
      <w:r>
        <w:t xml:space="preserve"> de toutes ces classes deviennent alors utilisables dans la description de cette instance. Par exemple, certaines destructions (</w:t>
      </w:r>
      <w:r>
        <w:rPr>
          <w:rStyle w:val="VerbatimChar"/>
        </w:rPr>
        <w:t>E6_Destruction</w:t>
      </w:r>
      <w:r>
        <w:t>) sont aussi des activités (</w:t>
      </w:r>
      <w:r>
        <w:rPr>
          <w:rStyle w:val="VerbatimChar"/>
        </w:rPr>
        <w:t>E7_Activité</w:t>
      </w:r>
      <w:r>
        <w:t>) comme c’est le cas de l’acte d’Érostrate [n.d.t. qui a incendié le temple d’Artémis à Éphèse], mais ce ne sont pas toutes les destructions (</w:t>
      </w:r>
      <w:r>
        <w:rPr>
          <w:rStyle w:val="VerbatimChar"/>
        </w:rPr>
        <w:t>E6_Destruction</w:t>
      </w:r>
      <w:r>
        <w:t>) qui sont des activités (</w:t>
      </w:r>
      <w:r>
        <w:rPr>
          <w:rStyle w:val="VerbatimChar"/>
        </w:rPr>
        <w:t>E7_Activité</w:t>
      </w:r>
      <w:r>
        <w:t>). L’</w:t>
      </w:r>
      <w:hyperlink w:anchor="terminologie-heritage-multiple">
        <w:r>
          <w:rPr>
            <w:rStyle w:val="Hyperlink"/>
          </w:rPr>
          <w:t>héritage multiple</w:t>
        </w:r>
      </w:hyperlink>
      <w:r>
        <w:t xml:space="preserve">, quant à lui, désigne le fait que toutes les instances d’une classe </w:t>
      </w:r>
      <w:r>
        <w:rPr>
          <w:rStyle w:val="VerbatimChar"/>
        </w:rPr>
        <w:t>A</w:t>
      </w:r>
      <w:r>
        <w:t xml:space="preserve"> sont implicitement des instances de toutes les </w:t>
      </w:r>
      <w:hyperlink w:anchor="terminologie-super-classe">
        <w:r>
          <w:rPr>
            <w:rStyle w:val="Hyperlink"/>
          </w:rPr>
          <w:t>super-classes</w:t>
        </w:r>
      </w:hyperlink>
      <w:r>
        <w:t xml:space="preserve"> de </w:t>
      </w:r>
      <w:r>
        <w:rPr>
          <w:rStyle w:val="VerbatimChar"/>
        </w:rPr>
        <w:t>A</w:t>
      </w:r>
      <w:r>
        <w:t xml:space="preserve"> (du fait de la définition de cette classe) alors que la combinaison des classes utilisée lors d’une instanciation multiple est caractéristique des instances mobilisées seulement. L’instanciation multiple ne peut mobiliser une combinaison de classes </w:t>
      </w:r>
      <w:hyperlink w:anchor="terminologie-disjointe">
        <w:r>
          <w:rPr>
            <w:rStyle w:val="Hyperlink"/>
          </w:rPr>
          <w:t>disjointes</w:t>
        </w:r>
      </w:hyperlink>
      <w:r>
        <w:t>.</w:t>
      </w:r>
    </w:p>
    <w:p w14:paraId="728D4F24" w14:textId="77777777" w:rsidR="0084489F" w:rsidRDefault="00110FE6">
      <w:pPr>
        <w:pStyle w:val="BlockText"/>
      </w:pPr>
      <w:r>
        <w:rPr>
          <w:b/>
          <w:bCs/>
          <w:i/>
          <w:iCs/>
        </w:rPr>
        <w:t>Note de traduction</w:t>
      </w:r>
    </w:p>
    <w:p w14:paraId="3222064C" w14:textId="77777777" w:rsidR="0084489F" w:rsidRDefault="00110FE6">
      <w:pPr>
        <w:pStyle w:val="BlockText"/>
      </w:pPr>
      <w:r>
        <w:rPr>
          <w:b/>
          <w:bCs/>
          <w:i/>
          <w:iCs/>
        </w:rPr>
        <w:t>Références</w:t>
      </w:r>
    </w:p>
    <w:p w14:paraId="023E5F85" w14:textId="77777777" w:rsidR="0084489F" w:rsidRDefault="0084489F">
      <w:pPr>
        <w:pStyle w:val="FirstParagraph"/>
      </w:pPr>
      <w:bookmarkStart w:id="34" w:name="terminologie-endurant-perdurant"/>
      <w:bookmarkEnd w:id="34"/>
    </w:p>
    <w:p w14:paraId="2DE32E3C" w14:textId="77777777" w:rsidR="0084489F" w:rsidRDefault="00110FE6" w:rsidP="00AB28D9">
      <w:pPr>
        <w:pStyle w:val="BodyText"/>
        <w:keepNext/>
      </w:pPr>
      <w:r>
        <w:rPr>
          <w:b/>
          <w:bCs/>
        </w:rPr>
        <w:lastRenderedPageBreak/>
        <w:t>Endurant, Perdurant</w:t>
      </w:r>
    </w:p>
    <w:p w14:paraId="7F71811F" w14:textId="77777777" w:rsidR="0084489F" w:rsidRDefault="00110FE6" w:rsidP="00AB28D9">
      <w:pPr>
        <w:pStyle w:val="BodyText"/>
        <w:keepNext/>
      </w:pPr>
      <w:r w:rsidRPr="246FBB6F">
        <w:rPr>
          <w:lang w:val="fr-FR"/>
        </w:rPr>
        <w:t>« La différence entre des entités endurantes et perdurantes (des endurants et des perdurants) repose sur leur fonctionnement dans le temps : les endurants sont présents dans leur entièreté (c.-à-d. qu’ils comprennent toutes leurs parties constituantes) peu importe le moment auquel ils sont présents. Les perdurants, quant à eux, se construisent dans le temps par l’accumulation d’éléments, de telle sorte qu’ils ne sont toujours que partiellement présents dans la mesure où certains de leurs éléments temporellement déterminés (p. ex. leurs incarnations passées ou futures) peuvent ne pas être présents. Par exemple, une feuille de papier [n.d.t. dont le contenu fait l’objet d’une lecture] est pleinement présente, bien que certains éléments de la lecture ne le soient plus. Les philosophes considèrent les endurants comme des entités situées dans le temps, mais qui n’ont pas de parties temporelles, car celles-ci évoluent dans le temps avec eux. Au contraire, les perdurants sont des entités qui s’incarnent dans le temps et qui peuvent avoir des parties temporelles, car celles-ci sont toutes fixées temporellement » (Gangemi et al., 2002, pp. 166-181).</w:t>
      </w:r>
    </w:p>
    <w:p w14:paraId="4073847D" w14:textId="77777777" w:rsidR="0084489F" w:rsidRDefault="00110FE6">
      <w:pPr>
        <w:pStyle w:val="BlockText"/>
      </w:pPr>
      <w:r>
        <w:rPr>
          <w:b/>
          <w:bCs/>
          <w:i/>
          <w:iCs/>
        </w:rPr>
        <w:t>Note de traduction</w:t>
      </w:r>
    </w:p>
    <w:p w14:paraId="2AAE7D90" w14:textId="77777777" w:rsidR="0084489F" w:rsidRDefault="00110FE6">
      <w:pPr>
        <w:pStyle w:val="BlockText"/>
      </w:pPr>
      <w:r w:rsidRPr="246FBB6F">
        <w:rPr>
          <w:lang w:val="fr-FR"/>
        </w:rPr>
        <w:t>Le terme « behaviour » a été traduit par « fonctionnement » plutôt que par « comportement » puisqu’il s’agit d’une chose et non pas d’une personne.</w:t>
      </w:r>
    </w:p>
    <w:p w14:paraId="0313C21A" w14:textId="77777777" w:rsidR="0084489F" w:rsidRDefault="00110FE6">
      <w:pPr>
        <w:pStyle w:val="BlockText"/>
      </w:pPr>
      <w:r>
        <w:t>Le terme « phase » a été traduit par « incarnation » plutôt que par « phase » puisqu’il s’agit de l’état d’une chose à un moment précis de son évolution et non pas du changement lui-même.</w:t>
      </w:r>
    </w:p>
    <w:p w14:paraId="280A092F" w14:textId="77777777" w:rsidR="0084489F" w:rsidRDefault="00110FE6">
      <w:pPr>
        <w:pStyle w:val="BlockText"/>
      </w:pPr>
      <w:r>
        <w:t>Le terme « flow » a été traduit par « évoluer » afin d’illustrer la nature fluctuante du concept.</w:t>
      </w:r>
    </w:p>
    <w:p w14:paraId="240F0A39" w14:textId="77777777" w:rsidR="0084489F" w:rsidRDefault="00110FE6">
      <w:pPr>
        <w:pStyle w:val="BlockText"/>
      </w:pPr>
      <w:r>
        <w:rPr>
          <w:b/>
          <w:bCs/>
          <w:i/>
          <w:iCs/>
        </w:rPr>
        <w:t>Références</w:t>
      </w:r>
    </w:p>
    <w:p w14:paraId="7C5DB825" w14:textId="77777777" w:rsidR="0084489F" w:rsidRDefault="0084489F">
      <w:pPr>
        <w:pStyle w:val="FirstParagraph"/>
      </w:pPr>
      <w:bookmarkStart w:id="35" w:name="terminologie-raccourci"/>
      <w:bookmarkEnd w:id="35"/>
    </w:p>
    <w:p w14:paraId="326E53E9" w14:textId="77777777" w:rsidR="0084489F" w:rsidRDefault="00110FE6">
      <w:pPr>
        <w:pStyle w:val="BodyText"/>
      </w:pPr>
      <w:r>
        <w:rPr>
          <w:b/>
          <w:bCs/>
        </w:rPr>
        <w:t>Raccourci</w:t>
      </w:r>
    </w:p>
    <w:p w14:paraId="4D95DDD9" w14:textId="712FDEF1" w:rsidR="0084489F" w:rsidRDefault="00110FE6">
      <w:pPr>
        <w:pStyle w:val="BodyText"/>
      </w:pPr>
      <w:r>
        <w:t xml:space="preserve">Un raccourci est une </w:t>
      </w:r>
      <w:hyperlink w:anchor="terminologie-propriete">
        <w:r>
          <w:rPr>
            <w:rStyle w:val="Hyperlink"/>
            <w:b/>
            <w:bCs/>
          </w:rPr>
          <w:t>propriété</w:t>
        </w:r>
      </w:hyperlink>
      <w:r>
        <w:t xml:space="preserve"> singulière formellement définie qui représente un chemin sémantique (obtenu par déduction ou par union) dans le CIDOC CRM. Les </w:t>
      </w:r>
      <w:hyperlink w:anchor="terminologie-note-dapplication">
        <w:r>
          <w:rPr>
            <w:rStyle w:val="Hyperlink"/>
            <w:b/>
            <w:bCs/>
          </w:rPr>
          <w:t>notes d’application</w:t>
        </w:r>
      </w:hyperlink>
      <w:hyperlink w:anchor="terminologie-note-dapplication">
        <w:r>
          <w:rPr>
            <w:rStyle w:val="Hyperlink"/>
          </w:rPr>
          <w:t xml:space="preserve"> </w:t>
        </w:r>
      </w:hyperlink>
      <w:r>
        <w:t xml:space="preserve">de toutes les propriétés caractérisées de raccourcis décrivent verbalement les déductions ou unions concernées. Les raccourcis sont utilisés lorsque la pratique documentaire réfère uniquement au résultat déduit plutôt qu’au chemin sémantique complet. Par exemple, les institutions muséales ne recensent souvent que les dimensions d’un objet sans pour autant documenter le </w:t>
      </w:r>
      <w:r>
        <w:rPr>
          <w:rStyle w:val="VerbatimChar"/>
        </w:rPr>
        <w:t>E16_Mesurage</w:t>
      </w:r>
      <w:r>
        <w:t xml:space="preserve"> qui les sous-tend. Le CIDOC CRM déclare explicitement des propriétés singulières à titre de raccourcis afin de permettre aux utilisateurs de décrire des cas dont ce ne sont pas toutes les connaissances associées au chemin sémantique complet qui sont recensées. Chaque raccourci du CIDOC CRM contient dans ses schémas les propriétés du chemin sémantique complet qui l’explique.</w:t>
      </w:r>
    </w:p>
    <w:p w14:paraId="096C9D42" w14:textId="77777777" w:rsidR="0084489F" w:rsidRDefault="00110FE6">
      <w:pPr>
        <w:pStyle w:val="BodyText"/>
      </w:pPr>
      <w:r w:rsidRPr="246FBB6F">
        <w:rPr>
          <w:lang w:val="fr-FR"/>
        </w:rPr>
        <w:t xml:space="preserve">[n.d.t. voir </w:t>
      </w:r>
      <w:hyperlink w:anchor="des-raccourcis">
        <w:r w:rsidRPr="246FBB6F">
          <w:rPr>
            <w:rStyle w:val="Hyperlink"/>
            <w:lang w:val="fr-FR"/>
          </w:rPr>
          <w:t>Des raccourcis</w:t>
        </w:r>
      </w:hyperlink>
      <w:r w:rsidRPr="246FBB6F">
        <w:rPr>
          <w:lang w:val="fr-FR"/>
        </w:rPr>
        <w:t xml:space="preserve"> dans les </w:t>
      </w:r>
      <w:hyperlink w:anchor="principes-de-modelisation">
        <w:r w:rsidRPr="246FBB6F">
          <w:rPr>
            <w:rStyle w:val="Hyperlink"/>
            <w:lang w:val="fr-FR"/>
          </w:rPr>
          <w:t>Principes de modélisation</w:t>
        </w:r>
      </w:hyperlink>
      <w:r w:rsidRPr="246FBB6F">
        <w:rPr>
          <w:lang w:val="fr-FR"/>
        </w:rPr>
        <w:t>].</w:t>
      </w:r>
    </w:p>
    <w:p w14:paraId="26D9B522" w14:textId="77777777" w:rsidR="0084489F" w:rsidRDefault="00110FE6">
      <w:pPr>
        <w:pStyle w:val="BlockText"/>
      </w:pPr>
      <w:r>
        <w:rPr>
          <w:b/>
          <w:bCs/>
          <w:i/>
          <w:iCs/>
        </w:rPr>
        <w:t>Note de traduction</w:t>
      </w:r>
    </w:p>
    <w:p w14:paraId="0906B01F" w14:textId="77777777" w:rsidR="0084489F" w:rsidRDefault="00110FE6">
      <w:pPr>
        <w:pStyle w:val="BlockText"/>
      </w:pPr>
      <w:r w:rsidRPr="246FBB6F">
        <w:rPr>
          <w:lang w:val="fr-FR"/>
        </w:rPr>
        <w:t>Le terme « join of a data » a été traduit par « union » plutôt que par « fusion », car il s’agit de les réunir sans en annihiler l’une ou l’autre.</w:t>
      </w:r>
    </w:p>
    <w:p w14:paraId="609F55C6" w14:textId="77777777" w:rsidR="0084489F" w:rsidRDefault="00110FE6">
      <w:pPr>
        <w:pStyle w:val="BlockText"/>
      </w:pPr>
      <w:r>
        <w:rPr>
          <w:b/>
          <w:bCs/>
          <w:i/>
          <w:iCs/>
        </w:rPr>
        <w:t>Références</w:t>
      </w:r>
    </w:p>
    <w:p w14:paraId="5BAA75D4" w14:textId="77777777" w:rsidR="0084489F" w:rsidRDefault="00110FE6">
      <w:pPr>
        <w:pStyle w:val="BlockText"/>
      </w:pPr>
      <w:r w:rsidRPr="246FBB6F">
        <w:rPr>
          <w:lang w:val="fr-FR"/>
        </w:rPr>
        <w:t xml:space="preserve">Termium. « join ». Dans </w:t>
      </w:r>
      <w:r w:rsidRPr="246FBB6F">
        <w:rPr>
          <w:i/>
          <w:iCs/>
          <w:lang w:val="fr-FR"/>
        </w:rPr>
        <w:t>Termium Plus</w:t>
      </w:r>
      <w:r w:rsidRPr="246FBB6F">
        <w:rPr>
          <w:lang w:val="fr-FR"/>
        </w:rPr>
        <w:t>. Ottawa, CA-ON: Gouvernement du Canada, 8 octobre 2009.</w:t>
      </w:r>
      <w:hyperlink r:id="rId44" w:anchor="resultrecs">
        <w:r w:rsidRPr="246FBB6F">
          <w:rPr>
            <w:rStyle w:val="Hyperlink"/>
            <w:lang w:val="fr-FR"/>
          </w:rPr>
          <w:t xml:space="preserve"> </w:t>
        </w:r>
      </w:hyperlink>
      <w:hyperlink r:id="rId45" w:anchor="resultrecs">
        <w:r w:rsidRPr="246FBB6F">
          <w:rPr>
            <w:rStyle w:val="Hyperlink"/>
            <w:lang w:val="fr-FR"/>
          </w:rPr>
          <w:t>https://www.btb.termiumplus.gc.ca/tpv2alpha/alpha-fra.html?lang=fra&amp;i=1&amp;srchtxt=join&amp;index=ent&amp;codom2nd_wet=1#resultrecs</w:t>
        </w:r>
      </w:hyperlink>
      <w:r w:rsidRPr="246FBB6F">
        <w:rPr>
          <w:lang w:val="fr-FR"/>
        </w:rPr>
        <w:t>.</w:t>
      </w:r>
    </w:p>
    <w:p w14:paraId="35772B3F" w14:textId="77777777" w:rsidR="0084489F" w:rsidRDefault="0084489F">
      <w:pPr>
        <w:pStyle w:val="FirstParagraph"/>
      </w:pPr>
      <w:bookmarkStart w:id="36" w:name="terminologie-raisonnement-monotone"/>
      <w:bookmarkEnd w:id="36"/>
    </w:p>
    <w:p w14:paraId="37C2D293" w14:textId="77777777" w:rsidR="0084489F" w:rsidRDefault="00110FE6" w:rsidP="00AB28D9">
      <w:pPr>
        <w:pStyle w:val="BodyText"/>
        <w:keepNext/>
      </w:pPr>
      <w:r>
        <w:rPr>
          <w:b/>
          <w:bCs/>
        </w:rPr>
        <w:lastRenderedPageBreak/>
        <w:t>Raisonnement monotone</w:t>
      </w:r>
    </w:p>
    <w:p w14:paraId="48151E34" w14:textId="0E7E4B89" w:rsidR="0084489F" w:rsidRDefault="00110FE6" w:rsidP="00AB28D9">
      <w:pPr>
        <w:pStyle w:val="BodyText"/>
        <w:keepNext/>
      </w:pPr>
      <w:r w:rsidRPr="246FBB6F">
        <w:rPr>
          <w:lang w:val="fr-FR"/>
        </w:rPr>
        <w:t>Le raisonnement monotone (un terme issu du domaine de la représentation des connaissances) stipule qu’une forme est monotone si une addition à l’ensemble de propositions qui forme la base de connaissances ne détermine jamais de décrément de l’ensemble des conclusions qui peuvent être dérivées (par des règles d’inférence) d’une base de connaissance. [n.d.t. Un décrément est une quantité constante prédéterminée dont on soustrait la valeur d’une variable.] En pratique, si des experts intègrent à un système d’information des énoncés corrects, ce système ne devrait considérer aucun de ces énoncés invalides lorsqu’un nouvel énoncé est ajouté. C’est ainsi qu’est conçu le CIDOC CRM, de sorte qu’il assure une fusion d’importants ensembles de connaissances sans conflits.</w:t>
      </w:r>
    </w:p>
    <w:p w14:paraId="6D3491B2" w14:textId="77777777" w:rsidR="0084489F" w:rsidRDefault="00110FE6">
      <w:pPr>
        <w:pStyle w:val="BodyText"/>
      </w:pPr>
      <w:r w:rsidRPr="246FBB6F">
        <w:rPr>
          <w:lang w:val="fr-FR"/>
        </w:rPr>
        <w:t xml:space="preserve">[n.d.t. voir la section sur la </w:t>
      </w:r>
      <w:hyperlink w:anchor="de-la-monotonicite">
        <w:r w:rsidRPr="246FBB6F">
          <w:rPr>
            <w:rStyle w:val="Hyperlink"/>
            <w:lang w:val="fr-FR"/>
          </w:rPr>
          <w:t>Monotonicité</w:t>
        </w:r>
      </w:hyperlink>
      <w:r w:rsidRPr="246FBB6F">
        <w:rPr>
          <w:lang w:val="fr-FR"/>
        </w:rPr>
        <w:t xml:space="preserve"> dans les </w:t>
      </w:r>
      <w:hyperlink w:anchor="principes-de-modelisation">
        <w:r w:rsidRPr="246FBB6F">
          <w:rPr>
            <w:rStyle w:val="Hyperlink"/>
            <w:lang w:val="fr-FR"/>
          </w:rPr>
          <w:t>Principes de modélisation</w:t>
        </w:r>
      </w:hyperlink>
      <w:r w:rsidRPr="246FBB6F">
        <w:rPr>
          <w:lang w:val="fr-FR"/>
        </w:rPr>
        <w:t>].</w:t>
      </w:r>
    </w:p>
    <w:p w14:paraId="14C64D95" w14:textId="77777777" w:rsidR="0084489F" w:rsidRDefault="00110FE6">
      <w:pPr>
        <w:pStyle w:val="BlockText"/>
      </w:pPr>
      <w:r>
        <w:rPr>
          <w:b/>
          <w:bCs/>
          <w:i/>
          <w:iCs/>
        </w:rPr>
        <w:t>Note de traduction</w:t>
      </w:r>
    </w:p>
    <w:p w14:paraId="169B009C" w14:textId="77777777" w:rsidR="0084489F" w:rsidRDefault="00110FE6">
      <w:pPr>
        <w:pStyle w:val="BlockText"/>
      </w:pPr>
      <w:r>
        <w:t>Ajout d’une définition du décrément selon sa définition logicielle (quantité constante prédéterminée dont on soustrait la valeur d’une variable) plutôt que mathématique (diminution de la valeur d’une quantité variable).</w:t>
      </w:r>
    </w:p>
    <w:p w14:paraId="53730BFB" w14:textId="77777777" w:rsidR="0084489F" w:rsidRDefault="00110FE6">
      <w:pPr>
        <w:pStyle w:val="BlockText"/>
      </w:pPr>
      <w:r>
        <w:rPr>
          <w:b/>
          <w:bCs/>
          <w:i/>
          <w:iCs/>
        </w:rPr>
        <w:t>Références</w:t>
      </w:r>
    </w:p>
    <w:p w14:paraId="7F9F7592" w14:textId="77777777" w:rsidR="0084489F" w:rsidRDefault="00110FE6">
      <w:pPr>
        <w:pStyle w:val="BlockText"/>
      </w:pPr>
      <w:r>
        <w:t xml:space="preserve">Wikipédia. « Monotonie ». Dans </w:t>
      </w:r>
      <w:r>
        <w:rPr>
          <w:i/>
          <w:iCs/>
        </w:rPr>
        <w:t>Wikipédia</w:t>
      </w:r>
      <w:r>
        <w:t xml:space="preserve">. </w:t>
      </w:r>
      <w:r w:rsidRPr="008C0D99">
        <w:rPr>
          <w:lang w:val="en-CA"/>
        </w:rPr>
        <w:t>San Francisco, US-CA: Wikipédia, 19 février 2017.</w:t>
      </w:r>
      <w:hyperlink r:id="rId46">
        <w:r w:rsidRPr="008C0D99">
          <w:rPr>
            <w:rStyle w:val="Hyperlink"/>
            <w:lang w:val="en-CA"/>
          </w:rPr>
          <w:t xml:space="preserve"> </w:t>
        </w:r>
      </w:hyperlink>
      <w:hyperlink r:id="rId47">
        <w:r>
          <w:rPr>
            <w:rStyle w:val="Hyperlink"/>
          </w:rPr>
          <w:t>https://fr.wikipedia.org/w/index.php?title=Monotonie&amp;oldid=134697868</w:t>
        </w:r>
      </w:hyperlink>
      <w:r>
        <w:t>.</w:t>
      </w:r>
    </w:p>
    <w:p w14:paraId="236E56A1" w14:textId="77777777" w:rsidR="0084489F" w:rsidRDefault="0084489F">
      <w:pPr>
        <w:pStyle w:val="FirstParagraph"/>
      </w:pPr>
      <w:bookmarkStart w:id="37" w:name="terminologie-disjointe"/>
      <w:bookmarkEnd w:id="37"/>
    </w:p>
    <w:p w14:paraId="5AFE2A3D" w14:textId="77777777" w:rsidR="0084489F" w:rsidRDefault="00110FE6">
      <w:pPr>
        <w:pStyle w:val="BodyText"/>
      </w:pPr>
      <w:r w:rsidRPr="246FBB6F">
        <w:rPr>
          <w:b/>
          <w:bCs/>
          <w:lang w:val="fr-FR"/>
        </w:rPr>
        <w:t>Disjoint·e</w:t>
      </w:r>
    </w:p>
    <w:p w14:paraId="63A75880" w14:textId="77777777" w:rsidR="0084489F" w:rsidRDefault="00110FE6">
      <w:pPr>
        <w:pStyle w:val="BodyText"/>
      </w:pPr>
      <w:r w:rsidRPr="246FBB6F">
        <w:rPr>
          <w:lang w:val="fr-FR"/>
        </w:rPr>
        <w:t xml:space="preserve">Des </w:t>
      </w:r>
      <w:hyperlink w:anchor="terminologie-classe">
        <w:r w:rsidRPr="246FBB6F">
          <w:rPr>
            <w:rStyle w:val="Hyperlink"/>
            <w:b/>
            <w:bCs/>
            <w:lang w:val="fr-FR"/>
          </w:rPr>
          <w:t>classes</w:t>
        </w:r>
      </w:hyperlink>
      <w:r w:rsidRPr="246FBB6F">
        <w:rPr>
          <w:lang w:val="fr-FR"/>
        </w:rPr>
        <w:t xml:space="preserve"> sont disjointes si l’intersection de leurs </w:t>
      </w:r>
      <w:hyperlink w:anchor="terminologie-extension">
        <w:r w:rsidRPr="246FBB6F">
          <w:rPr>
            <w:rStyle w:val="Hyperlink"/>
            <w:b/>
            <w:bCs/>
            <w:lang w:val="fr-FR"/>
          </w:rPr>
          <w:t>extensions</w:t>
        </w:r>
      </w:hyperlink>
      <w:r w:rsidRPr="246FBB6F">
        <w:rPr>
          <w:lang w:val="fr-FR"/>
        </w:rPr>
        <w:t xml:space="preserve"> est un ensemble vide; en d’autres termes, il n’y a pas de possibilité qu’elles aient des </w:t>
      </w:r>
      <w:hyperlink w:anchor="terminologie-instance">
        <w:r w:rsidRPr="246FBB6F">
          <w:rPr>
            <w:rStyle w:val="Hyperlink"/>
            <w:b/>
            <w:bCs/>
            <w:lang w:val="fr-FR"/>
          </w:rPr>
          <w:t>instances</w:t>
        </w:r>
      </w:hyperlink>
      <w:r w:rsidRPr="246FBB6F">
        <w:rPr>
          <w:lang w:val="fr-FR"/>
        </w:rPr>
        <w:t xml:space="preserve"> communes.</w:t>
      </w:r>
    </w:p>
    <w:p w14:paraId="25FB0762" w14:textId="77777777" w:rsidR="0084489F" w:rsidRDefault="00110FE6">
      <w:pPr>
        <w:pStyle w:val="BodyText"/>
      </w:pPr>
      <w:r w:rsidRPr="246FBB6F">
        <w:rPr>
          <w:lang w:val="fr-FR"/>
        </w:rPr>
        <w:t xml:space="preserve">[n.d.t. voir la section </w:t>
      </w:r>
      <w:hyperlink w:anchor="de-la-disjonction">
        <w:r w:rsidRPr="246FBB6F">
          <w:rPr>
            <w:rStyle w:val="Hyperlink"/>
            <w:lang w:val="fr-FR"/>
          </w:rPr>
          <w:t>De la disjonction</w:t>
        </w:r>
      </w:hyperlink>
      <w:r w:rsidRPr="246FBB6F">
        <w:rPr>
          <w:lang w:val="fr-FR"/>
        </w:rPr>
        <w:t xml:space="preserve"> dans les </w:t>
      </w:r>
      <w:hyperlink w:anchor="principes-de-modelisation">
        <w:r w:rsidRPr="246FBB6F">
          <w:rPr>
            <w:rStyle w:val="Hyperlink"/>
            <w:lang w:val="fr-FR"/>
          </w:rPr>
          <w:t>Principes de modélisation</w:t>
        </w:r>
      </w:hyperlink>
      <w:r w:rsidRPr="246FBB6F">
        <w:rPr>
          <w:lang w:val="fr-FR"/>
        </w:rPr>
        <w:t>].</w:t>
      </w:r>
    </w:p>
    <w:p w14:paraId="2A570F1F" w14:textId="77777777" w:rsidR="0084489F" w:rsidRDefault="00110FE6">
      <w:pPr>
        <w:pStyle w:val="BlockText"/>
      </w:pPr>
      <w:r>
        <w:rPr>
          <w:b/>
          <w:bCs/>
          <w:i/>
          <w:iCs/>
        </w:rPr>
        <w:t>Note de traduction</w:t>
      </w:r>
    </w:p>
    <w:p w14:paraId="68EBEDE7" w14:textId="77777777" w:rsidR="0084489F" w:rsidRDefault="00110FE6">
      <w:pPr>
        <w:pStyle w:val="BlockText"/>
      </w:pPr>
      <w:r>
        <w:rPr>
          <w:b/>
          <w:bCs/>
          <w:i/>
          <w:iCs/>
        </w:rPr>
        <w:t>Références</w:t>
      </w:r>
    </w:p>
    <w:p w14:paraId="3E12A85C" w14:textId="77777777" w:rsidR="0084489F" w:rsidRDefault="0084489F">
      <w:pPr>
        <w:pStyle w:val="BlockText"/>
      </w:pPr>
    </w:p>
    <w:p w14:paraId="6CD1AB69" w14:textId="77777777" w:rsidR="0084489F" w:rsidRDefault="0084489F">
      <w:pPr>
        <w:pStyle w:val="FirstParagraph"/>
      </w:pPr>
      <w:bookmarkStart w:id="38" w:name="terminologie-primitive"/>
      <w:bookmarkEnd w:id="38"/>
    </w:p>
    <w:p w14:paraId="42A9BAC1" w14:textId="77777777" w:rsidR="0084489F" w:rsidRDefault="00110FE6">
      <w:pPr>
        <w:pStyle w:val="BodyText"/>
      </w:pPr>
      <w:r>
        <w:rPr>
          <w:b/>
          <w:bCs/>
        </w:rPr>
        <w:t>Primitive</w:t>
      </w:r>
    </w:p>
    <w:p w14:paraId="046E4F44" w14:textId="1B070820" w:rsidR="0084489F" w:rsidRDefault="00110FE6">
      <w:pPr>
        <w:pStyle w:val="BodyText"/>
      </w:pPr>
      <w:r>
        <w:t xml:space="preserve">Une primitive (utilisée dans le cadre de la représentation de connaissances) est un concept qui est déclaré et dont la signification est acceptée, mais qui ne peut être définie par une déduction logique reposant sur d’autres concepts. Par exemple, « mère » est un concept qui peut être décrit comme « femme qui a un enfant », de sorte qu’il n’est pas primitif [n.d.t. car il peut être déduit des concepts femme et enfant], alors que </w:t>
      </w:r>
      <w:r>
        <w:rPr>
          <w:rStyle w:val="VerbatimChar"/>
        </w:rPr>
        <w:t>E5_Évènement</w:t>
      </w:r>
      <w:r>
        <w:t xml:space="preserve"> est un concept primitif (ainsi que la plupart des concepts du CIDOC CRM).</w:t>
      </w:r>
    </w:p>
    <w:p w14:paraId="16E38C51" w14:textId="77777777" w:rsidR="0084489F" w:rsidRDefault="00110FE6">
      <w:pPr>
        <w:pStyle w:val="BlockText"/>
      </w:pPr>
      <w:r>
        <w:rPr>
          <w:b/>
          <w:bCs/>
          <w:i/>
          <w:iCs/>
        </w:rPr>
        <w:t>Note de traduction</w:t>
      </w:r>
    </w:p>
    <w:p w14:paraId="328AC423" w14:textId="77777777" w:rsidR="0084489F" w:rsidRDefault="00110FE6">
      <w:pPr>
        <w:pStyle w:val="BlockText"/>
      </w:pPr>
      <w:r w:rsidRPr="246FBB6F">
        <w:rPr>
          <w:lang w:val="fr-FR"/>
        </w:rPr>
        <w:t>« Female » est un terme qui est couramment utilisé en anglais sans être considéré péjoratif. Cependant, en français, l’utilisation du terme « femelle » pour désigner des humains du sexe féminin est généralement considérée condescendante. Le terme « femme » a donc été utilisé.</w:t>
      </w:r>
    </w:p>
    <w:p w14:paraId="10933BD9" w14:textId="77777777" w:rsidR="0084489F" w:rsidRDefault="00110FE6">
      <w:pPr>
        <w:pStyle w:val="BlockText"/>
      </w:pPr>
      <w:r w:rsidRPr="246FBB6F">
        <w:rPr>
          <w:lang w:val="fr-FR"/>
        </w:rPr>
        <w:t>Techniquement, « being with child » indique qu’une femme est enceinte et non pas qu’elle a eu un enfant. Cependant, le contexte semble indiquer que c’est cette dernière signification qu’avaient en tête les auteurs, de sorte que cette traduction a été privilégiée.</w:t>
      </w:r>
    </w:p>
    <w:p w14:paraId="7B6BB218" w14:textId="77777777" w:rsidR="0084489F" w:rsidRDefault="00110FE6" w:rsidP="004B7BCB">
      <w:pPr>
        <w:pStyle w:val="BlockText"/>
        <w:keepNext/>
        <w:ind w:left="475" w:right="475"/>
      </w:pPr>
      <w:r>
        <w:rPr>
          <w:b/>
          <w:bCs/>
          <w:i/>
          <w:iCs/>
        </w:rPr>
        <w:lastRenderedPageBreak/>
        <w:t>Références</w:t>
      </w:r>
    </w:p>
    <w:p w14:paraId="6D9C40BF" w14:textId="77777777" w:rsidR="0084489F" w:rsidRDefault="00110FE6" w:rsidP="004B7BCB">
      <w:pPr>
        <w:pStyle w:val="BlockText"/>
        <w:keepNext/>
        <w:ind w:left="475" w:right="475"/>
      </w:pPr>
      <w:r w:rsidRPr="246FBB6F">
        <w:rPr>
          <w:lang w:val="fr-FR"/>
        </w:rPr>
        <w:t xml:space="preserve">Termium. « primitive ». Dans </w:t>
      </w:r>
      <w:r w:rsidRPr="246FBB6F">
        <w:rPr>
          <w:i/>
          <w:iCs/>
          <w:lang w:val="fr-FR"/>
        </w:rPr>
        <w:t>Termium Plus</w:t>
      </w:r>
      <w:r w:rsidRPr="246FBB6F">
        <w:rPr>
          <w:lang w:val="fr-FR"/>
        </w:rPr>
        <w:t>. Ottawa, CA-ON: Gouvernement du Canada, 8 octobre 2009.</w:t>
      </w:r>
      <w:hyperlink r:id="rId48" w:anchor="resultrecs">
        <w:r w:rsidRPr="246FBB6F">
          <w:rPr>
            <w:rStyle w:val="Hyperlink"/>
            <w:lang w:val="fr-FR"/>
          </w:rPr>
          <w:t xml:space="preserve"> </w:t>
        </w:r>
      </w:hyperlink>
      <w:hyperlink r:id="rId49" w:anchor="resultrecs">
        <w:r w:rsidRPr="246FBB6F">
          <w:rPr>
            <w:rStyle w:val="Hyperlink"/>
            <w:lang w:val="fr-FR"/>
          </w:rPr>
          <w:t>https://www.btb.termiumplus.gc.ca/tpv2alpha/alpha-fra.html?lang=fra&amp;i=1&amp;srchtxt=primitive&amp;index=ent&amp;codom2nd_wet=1#resultrecs</w:t>
        </w:r>
      </w:hyperlink>
      <w:r w:rsidRPr="246FBB6F">
        <w:rPr>
          <w:lang w:val="fr-FR"/>
        </w:rPr>
        <w:t>.</w:t>
      </w:r>
    </w:p>
    <w:p w14:paraId="1E6CCD4F" w14:textId="77777777" w:rsidR="0084489F" w:rsidRDefault="0084489F">
      <w:pPr>
        <w:pStyle w:val="FirstParagraph"/>
      </w:pPr>
      <w:bookmarkStart w:id="39" w:name="terminologie-monde-ouvert"/>
      <w:bookmarkEnd w:id="39"/>
    </w:p>
    <w:p w14:paraId="4F0D1528" w14:textId="77777777" w:rsidR="0084489F" w:rsidRDefault="00110FE6">
      <w:pPr>
        <w:pStyle w:val="BodyText"/>
      </w:pPr>
      <w:r>
        <w:rPr>
          <w:b/>
          <w:bCs/>
        </w:rPr>
        <w:t>Monde Ouvert</w:t>
      </w:r>
    </w:p>
    <w:p w14:paraId="43F187FB" w14:textId="77777777" w:rsidR="0084489F" w:rsidRDefault="00110FE6">
      <w:pPr>
        <w:pStyle w:val="BodyText"/>
      </w:pPr>
      <w:r>
        <w:t xml:space="preserve">L’hypothèse du « monde ouvert » porte sur les systèmes de bases de connaissances et stipule que l’information qui y est stockée est incomplète en comparaison de l’univers discursif que cette information représente. Cette incomplétude peut être due à l’incapacité du responsable [n.d.t. de la base de connaissance] de fournir des informations complètes ou encore à des problèmes plus fondamentaux du domaine eu égard à la cognition, problèmes qui sont caractéristiques des systèmes d’information sur le patrimoine culturel. En effet, les enregistrements au sujet du passé sont nécessairement incomplets et certains éléments pourraient ne pas être facilement attribuables à une </w:t>
      </w:r>
      <w:r>
        <w:rPr>
          <w:b/>
          <w:bCs/>
        </w:rPr>
        <w:t>classe</w:t>
      </w:r>
      <w:r>
        <w:t xml:space="preserve"> préétablie.</w:t>
      </w:r>
    </w:p>
    <w:p w14:paraId="23FA89F8" w14:textId="77777777" w:rsidR="0084489F" w:rsidRDefault="00110FE6">
      <w:pPr>
        <w:pStyle w:val="BodyText"/>
      </w:pPr>
      <w:r>
        <w:t xml:space="preserve">Qui plus est, l’absence d’une </w:t>
      </w:r>
      <w:r>
        <w:rPr>
          <w:b/>
          <w:bCs/>
        </w:rPr>
        <w:t>propriété</w:t>
      </w:r>
      <w:r>
        <w:t xml:space="preserve"> pour un élément décrit dans un système [n.d.t. d’information] n’implique pas automatiquement que cet élément n’a pas la propriété en question. Par exemple, si un élément est décrit comme un </w:t>
      </w:r>
      <w:r>
        <w:rPr>
          <w:rStyle w:val="VerbatimChar"/>
        </w:rPr>
        <w:t>E20_Objet_biologique</w:t>
      </w:r>
      <w:r>
        <w:t xml:space="preserve"> et qu’un autre est décrit comme un </w:t>
      </w:r>
      <w:r>
        <w:rPr>
          <w:rStyle w:val="VerbatimChar"/>
        </w:rPr>
        <w:t>E19_Objet_matériel</w:t>
      </w:r>
      <w:r>
        <w:t xml:space="preserve">, rien n’indique que ce dernier ne soit pas lui aussi un </w:t>
      </w:r>
      <w:r>
        <w:rPr>
          <w:rStyle w:val="VerbatimChar"/>
        </w:rPr>
        <w:t>E20_Objet_biologique</w:t>
      </w:r>
      <w:r>
        <w:t xml:space="preserve">. Ainsi, les </w:t>
      </w:r>
      <w:r>
        <w:rPr>
          <w:b/>
          <w:bCs/>
        </w:rPr>
        <w:t>compléments</w:t>
      </w:r>
      <w:r>
        <w:t xml:space="preserve"> d’une classe eu égard à une </w:t>
      </w:r>
      <w:r>
        <w:rPr>
          <w:b/>
          <w:bCs/>
        </w:rPr>
        <w:t>super-classe</w:t>
      </w:r>
      <w:r>
        <w:t xml:space="preserve"> ne peuvent être logiquement inférés depuis un système d’information mobilisant l’hypothèse du monde ouvert. Par exemple, il est impossible d’énumérer « tous les </w:t>
      </w:r>
      <w:r>
        <w:rPr>
          <w:rStyle w:val="VerbatimChar"/>
        </w:rPr>
        <w:t>E19_Objet_matériel</w:t>
      </w:r>
      <w:r>
        <w:t xml:space="preserve"> d’un système qui ne sont pas des </w:t>
      </w:r>
      <w:r>
        <w:rPr>
          <w:rStyle w:val="VerbatimChar"/>
        </w:rPr>
        <w:t>E20_Objet_biologique</w:t>
      </w:r>
      <w:r>
        <w:t xml:space="preserve"> dans le monde réel”, mais il est néanmoins possible d’énumérer « tous les éléments </w:t>
      </w:r>
      <w:r>
        <w:rPr>
          <w:rStyle w:val="VerbatimChar"/>
        </w:rPr>
        <w:t>E19_Objet_matériel</w:t>
      </w:r>
      <w:r>
        <w:t xml:space="preserve"> connus de ce système qui ne sont pas des </w:t>
      </w:r>
      <w:r>
        <w:rPr>
          <w:rStyle w:val="VerbatimChar"/>
        </w:rPr>
        <w:t>E20_Objet_biologique</w:t>
      </w:r>
      <w:r>
        <w:t xml:space="preserve"> connus de ce même système”.</w:t>
      </w:r>
    </w:p>
    <w:p w14:paraId="5D8BA424" w14:textId="77777777" w:rsidR="0084489F" w:rsidRDefault="00110FE6">
      <w:pPr>
        <w:pStyle w:val="BodyText"/>
      </w:pPr>
      <w:r w:rsidRPr="246FBB6F">
        <w:rPr>
          <w:lang w:val="fr-FR"/>
        </w:rPr>
        <w:t xml:space="preserve">[n.d.t. voir la section sur la </w:t>
      </w:r>
      <w:hyperlink w:anchor="de-la-minimalite">
        <w:r w:rsidRPr="246FBB6F">
          <w:rPr>
            <w:rStyle w:val="Hyperlink"/>
            <w:lang w:val="fr-FR"/>
          </w:rPr>
          <w:t>Minimalité</w:t>
        </w:r>
      </w:hyperlink>
      <w:r w:rsidRPr="246FBB6F">
        <w:rPr>
          <w:lang w:val="fr-FR"/>
        </w:rPr>
        <w:t xml:space="preserve"> dans les </w:t>
      </w:r>
      <w:hyperlink w:anchor="principes-de-modelisation">
        <w:r w:rsidRPr="246FBB6F">
          <w:rPr>
            <w:rStyle w:val="Hyperlink"/>
            <w:lang w:val="fr-FR"/>
          </w:rPr>
          <w:t>Principes de modélisation</w:t>
        </w:r>
      </w:hyperlink>
      <w:r w:rsidRPr="246FBB6F">
        <w:rPr>
          <w:lang w:val="fr-FR"/>
        </w:rPr>
        <w:t>].</w:t>
      </w:r>
    </w:p>
    <w:p w14:paraId="5124E9FF" w14:textId="77777777" w:rsidR="0084489F" w:rsidRDefault="00110FE6">
      <w:pPr>
        <w:pStyle w:val="BlockText"/>
      </w:pPr>
      <w:r>
        <w:rPr>
          <w:b/>
          <w:bCs/>
          <w:i/>
          <w:iCs/>
        </w:rPr>
        <w:t>Note de traduction</w:t>
      </w:r>
    </w:p>
    <w:p w14:paraId="1031AB37" w14:textId="77777777" w:rsidR="0084489F" w:rsidRDefault="00110FE6">
      <w:pPr>
        <w:pStyle w:val="BlockText"/>
      </w:pPr>
      <w:r>
        <w:rPr>
          <w:b/>
          <w:bCs/>
          <w:i/>
          <w:iCs/>
        </w:rPr>
        <w:t>Références</w:t>
      </w:r>
    </w:p>
    <w:p w14:paraId="14DF88F9" w14:textId="77777777" w:rsidR="00260129" w:rsidRPr="00260129" w:rsidRDefault="00260129" w:rsidP="00AB28D9">
      <w:pPr>
        <w:pStyle w:val="BodyText"/>
      </w:pPr>
      <w:bookmarkStart w:id="40" w:name="terminologie-complement"/>
      <w:bookmarkEnd w:id="40"/>
    </w:p>
    <w:p w14:paraId="04A42B35" w14:textId="77777777" w:rsidR="0084489F" w:rsidRDefault="00110FE6">
      <w:pPr>
        <w:pStyle w:val="BodyText"/>
      </w:pPr>
      <w:r>
        <w:rPr>
          <w:b/>
          <w:bCs/>
        </w:rPr>
        <w:t>Complément</w:t>
      </w:r>
    </w:p>
    <w:p w14:paraId="291A4BC0" w14:textId="77777777" w:rsidR="0084489F" w:rsidRDefault="00110FE6">
      <w:pPr>
        <w:pStyle w:val="BodyText"/>
      </w:pPr>
      <w:r>
        <w:t xml:space="preserve">Le complément d’une </w:t>
      </w:r>
      <w:hyperlink w:anchor="terminologie-classe">
        <w:r>
          <w:rPr>
            <w:rStyle w:val="Hyperlink"/>
          </w:rPr>
          <w:t>classe</w:t>
        </w:r>
      </w:hyperlink>
      <w:r>
        <w:t xml:space="preserve"> </w:t>
      </w:r>
      <w:r>
        <w:rPr>
          <w:rStyle w:val="VerbatimChar"/>
        </w:rPr>
        <w:t>A</w:t>
      </w:r>
      <w:r>
        <w:t xml:space="preserve"> par rapport à une de ses </w:t>
      </w:r>
      <w:hyperlink w:anchor="terminologie-super-classe">
        <w:r>
          <w:rPr>
            <w:rStyle w:val="Hyperlink"/>
            <w:b/>
            <w:bCs/>
          </w:rPr>
          <w:t>super-classes</w:t>
        </w:r>
      </w:hyperlink>
      <w:r>
        <w:t xml:space="preserve"> </w:t>
      </w:r>
      <w:r>
        <w:rPr>
          <w:rStyle w:val="VerbatimChar"/>
        </w:rPr>
        <w:t>B</w:t>
      </w:r>
      <w:r>
        <w:t xml:space="preserve"> est l’ensemble de toutes les </w:t>
      </w:r>
      <w:hyperlink w:anchor="terminologie-instance">
        <w:r>
          <w:rPr>
            <w:rStyle w:val="Hyperlink"/>
            <w:b/>
            <w:bCs/>
          </w:rPr>
          <w:t>instances</w:t>
        </w:r>
      </w:hyperlink>
      <w:r>
        <w:t xml:space="preserve"> de </w:t>
      </w:r>
      <w:r>
        <w:rPr>
          <w:rStyle w:val="VerbatimChar"/>
        </w:rPr>
        <w:t>B</w:t>
      </w:r>
      <w:r>
        <w:t xml:space="preserve"> qui ne sont pas des instances de </w:t>
      </w:r>
      <w:r>
        <w:rPr>
          <w:rStyle w:val="VerbatimChar"/>
        </w:rPr>
        <w:t>A</w:t>
      </w:r>
      <w:r>
        <w:t>. Formellement, il s’agit (en ce qui a trait à la théorie des ensembles) de l’</w:t>
      </w:r>
      <w:hyperlink w:anchor="terminologie-extension">
        <w:r>
          <w:rPr>
            <w:rStyle w:val="Hyperlink"/>
            <w:b/>
            <w:bCs/>
          </w:rPr>
          <w:t>extension</w:t>
        </w:r>
      </w:hyperlink>
      <w:r>
        <w:t xml:space="preserve"> de </w:t>
      </w:r>
      <w:r>
        <w:rPr>
          <w:rStyle w:val="VerbatimChar"/>
        </w:rPr>
        <w:t>B</w:t>
      </w:r>
      <w:r>
        <w:t xml:space="preserve"> moins l’extension de </w:t>
      </w:r>
      <w:r>
        <w:rPr>
          <w:rStyle w:val="VerbatimChar"/>
        </w:rPr>
        <w:t>A</w:t>
      </w:r>
      <w:r>
        <w:t>. Les extensions compatibles de CIDOC CRM ne devraient déclarer aucune classe dont l’</w:t>
      </w:r>
      <w:hyperlink w:anchor="terminologie-intension">
        <w:r>
          <w:rPr>
            <w:rStyle w:val="Hyperlink"/>
            <w:b/>
            <w:bCs/>
          </w:rPr>
          <w:t>intension</w:t>
        </w:r>
      </w:hyperlink>
      <w:r>
        <w:t xml:space="preserve"> est le complément de l’une ou de plusieurs classes. Cela contreviendrait aux principes du </w:t>
      </w:r>
      <w:hyperlink w:anchor="terminologie-monde-ouvert">
        <w:r>
          <w:rPr>
            <w:rStyle w:val="Hyperlink"/>
            <w:b/>
            <w:bCs/>
          </w:rPr>
          <w:t>M</w:t>
        </w:r>
      </w:hyperlink>
      <w:hyperlink w:anchor="terminologie-monde-ouvert">
        <w:r>
          <w:rPr>
            <w:rStyle w:val="Hyperlink"/>
            <w:b/>
            <w:bCs/>
          </w:rPr>
          <w:t>onde Ouvert</w:t>
        </w:r>
      </w:hyperlink>
      <w:r>
        <w:t xml:space="preserve"> [n.d.t. selon lesquels], par exemple, pour tous les genres humains possibles, le masculin ne devrait pas être déclaré complémentaire du féminin et vice-versa.</w:t>
      </w:r>
    </w:p>
    <w:p w14:paraId="70D8C0C4" w14:textId="77777777" w:rsidR="0084489F" w:rsidRDefault="00110FE6">
      <w:pPr>
        <w:pStyle w:val="BlockText"/>
      </w:pPr>
      <w:r>
        <w:rPr>
          <w:b/>
          <w:bCs/>
          <w:i/>
          <w:iCs/>
        </w:rPr>
        <w:t>Note de traduction</w:t>
      </w:r>
    </w:p>
    <w:p w14:paraId="46680C00" w14:textId="77777777" w:rsidR="0084489F" w:rsidRDefault="00110FE6">
      <w:pPr>
        <w:pStyle w:val="BlockText"/>
      </w:pPr>
      <w:r w:rsidRPr="246FBB6F">
        <w:rPr>
          <w:lang w:val="fr-FR"/>
        </w:rPr>
        <w:t>La dernière phrase du texte original semble avoir pour objectif d’inclure toutes les personnes, mais elle est formulée de manière quelque peu cavalière et ne s’aligne pas avec l’approche des autres exemples mentionnés de sorte qu’elle pourrait être considérée marginalisante et peu inclusive. Puisqu’elle n’apporte pas d’information supplémentaire, elle a été retirée du texte traduit.</w:t>
      </w:r>
    </w:p>
    <w:p w14:paraId="20A12BF3" w14:textId="77777777" w:rsidR="0084489F" w:rsidRDefault="00110FE6">
      <w:pPr>
        <w:pStyle w:val="BlockText"/>
      </w:pPr>
      <w:r>
        <w:rPr>
          <w:b/>
          <w:bCs/>
          <w:i/>
          <w:iCs/>
        </w:rPr>
        <w:t>Références</w:t>
      </w:r>
    </w:p>
    <w:p w14:paraId="7B41F41D" w14:textId="77777777" w:rsidR="0084489F" w:rsidRDefault="0084489F">
      <w:pPr>
        <w:pStyle w:val="FirstParagraph"/>
      </w:pPr>
      <w:bookmarkStart w:id="41" w:name="terminologie-inclusion-des-requetes"/>
      <w:bookmarkEnd w:id="41"/>
    </w:p>
    <w:p w14:paraId="2C3EE609" w14:textId="77777777" w:rsidR="0084489F" w:rsidRDefault="00110FE6" w:rsidP="004B7BCB">
      <w:pPr>
        <w:pStyle w:val="BodyText"/>
        <w:keepNext/>
      </w:pPr>
      <w:r>
        <w:rPr>
          <w:b/>
          <w:bCs/>
        </w:rPr>
        <w:lastRenderedPageBreak/>
        <w:t>Inclusion des requêtes</w:t>
      </w:r>
    </w:p>
    <w:p w14:paraId="040BB786" w14:textId="1E247C45" w:rsidR="0084489F" w:rsidRDefault="00110FE6" w:rsidP="004B7BCB">
      <w:pPr>
        <w:pStyle w:val="BodyText"/>
        <w:keepNext/>
      </w:pPr>
      <w:r>
        <w:t xml:space="preserve">L’inclusion des requêtes [n.d.t relève de la théorie des bases de données et statue] que pour une requête </w:t>
      </w:r>
      <w:r>
        <w:rPr>
          <w:rStyle w:val="VerbatimChar"/>
        </w:rPr>
        <w:t>X</w:t>
      </w:r>
      <w:r>
        <w:t xml:space="preserve"> qui contient une requête </w:t>
      </w:r>
      <w:r>
        <w:rPr>
          <w:rStyle w:val="VerbatimChar"/>
        </w:rPr>
        <w:t>Y</w:t>
      </w:r>
      <w:r>
        <w:t xml:space="preserve">, pour chaque population possible de la base de données l’ensemble de résultats de la requête </w:t>
      </w:r>
      <w:r>
        <w:rPr>
          <w:rStyle w:val="VerbatimChar"/>
        </w:rPr>
        <w:t>X</w:t>
      </w:r>
      <w:r>
        <w:t xml:space="preserve"> contient aussi l’ensemble de résultats de la requête </w:t>
      </w:r>
      <w:r>
        <w:rPr>
          <w:rStyle w:val="VerbatimChar"/>
        </w:rPr>
        <w:t>Y</w:t>
      </w:r>
      <w:r>
        <w:t xml:space="preserve">. [n.d.t. Dans le cadre de CIDOC CRM, cela implique que] si les requêtes </w:t>
      </w:r>
      <w:r>
        <w:rPr>
          <w:rStyle w:val="VerbatimChar"/>
        </w:rPr>
        <w:t>X</w:t>
      </w:r>
      <w:r>
        <w:t xml:space="preserve"> et </w:t>
      </w:r>
      <w:r>
        <w:rPr>
          <w:rStyle w:val="VerbatimChar"/>
        </w:rPr>
        <w:t>Y</w:t>
      </w:r>
      <w:r>
        <w:t xml:space="preserve"> étaient des </w:t>
      </w:r>
      <w:hyperlink w:anchor="terminologie-classe">
        <w:r>
          <w:rPr>
            <w:rStyle w:val="Hyperlink"/>
          </w:rPr>
          <w:t>classes</w:t>
        </w:r>
      </w:hyperlink>
      <w:r>
        <w:t xml:space="preserve">, alors </w:t>
      </w:r>
      <w:r>
        <w:rPr>
          <w:rStyle w:val="VerbatimChar"/>
        </w:rPr>
        <w:t>X</w:t>
      </w:r>
      <w:r>
        <w:t xml:space="preserve"> serait </w:t>
      </w:r>
      <w:hyperlink w:anchor="terminologie-super-classe">
        <w:r>
          <w:rPr>
            <w:rStyle w:val="Hyperlink"/>
            <w:b/>
            <w:bCs/>
          </w:rPr>
          <w:t>super-classe</w:t>
        </w:r>
      </w:hyperlink>
      <w:r>
        <w:t xml:space="preserve"> de </w:t>
      </w:r>
      <w:r>
        <w:rPr>
          <w:rStyle w:val="VerbatimChar"/>
        </w:rPr>
        <w:t>Y</w:t>
      </w:r>
      <w:r>
        <w:t>.</w:t>
      </w:r>
    </w:p>
    <w:p w14:paraId="508C3166" w14:textId="77777777" w:rsidR="0084489F" w:rsidRDefault="00110FE6">
      <w:pPr>
        <w:pStyle w:val="BlockText"/>
      </w:pPr>
      <w:r>
        <w:rPr>
          <w:b/>
          <w:bCs/>
          <w:i/>
          <w:iCs/>
        </w:rPr>
        <w:t>Note de traduction</w:t>
      </w:r>
    </w:p>
    <w:p w14:paraId="2D4FE5DB" w14:textId="77777777" w:rsidR="0084489F" w:rsidRDefault="00110FE6">
      <w:pPr>
        <w:pStyle w:val="BlockText"/>
      </w:pPr>
      <w:r w:rsidRPr="246FBB6F">
        <w:rPr>
          <w:lang w:val="fr-FR"/>
        </w:rPr>
        <w:t>Le terme « query containment » a été traduit par « inclusion des requêtes ». Le « containment » est généralement traduit dans le domaine de l’algèbre par « inclusion » et dans le domaine logiciel par « contenance ». Puisqu’il s’agit d’un problème fondamentalement théorique et algorithmique, il est apparu préférable de se rapprocher de l’usage mathématique.</w:t>
      </w:r>
    </w:p>
    <w:p w14:paraId="6D31C731" w14:textId="77777777" w:rsidR="0084489F" w:rsidRDefault="00110FE6">
      <w:pPr>
        <w:pStyle w:val="BlockText"/>
      </w:pPr>
      <w:r>
        <w:rPr>
          <w:b/>
          <w:bCs/>
          <w:i/>
          <w:iCs/>
        </w:rPr>
        <w:t>Références</w:t>
      </w:r>
    </w:p>
    <w:p w14:paraId="29B38B54" w14:textId="77777777" w:rsidR="0084489F" w:rsidRDefault="00110FE6">
      <w:pPr>
        <w:pStyle w:val="BlockText"/>
      </w:pPr>
      <w:r w:rsidRPr="246FBB6F">
        <w:rPr>
          <w:lang w:val="fr-FR"/>
        </w:rPr>
        <w:t>Groz, Benoît. « Inclusion et équivalence de requêtes conjonctives ». Rapport de stage, Institut national de recherche en sciences et technologies du numérique, 2008.</w:t>
      </w:r>
      <w:hyperlink r:id="rId50">
        <w:r w:rsidRPr="246FBB6F">
          <w:rPr>
            <w:rStyle w:val="Hyperlink"/>
            <w:lang w:val="fr-FR"/>
          </w:rPr>
          <w:t xml:space="preserve"> </w:t>
        </w:r>
      </w:hyperlink>
      <w:hyperlink r:id="rId51">
        <w:r w:rsidRPr="246FBB6F">
          <w:rPr>
            <w:rStyle w:val="Hyperlink"/>
            <w:lang w:val="fr-FR"/>
          </w:rPr>
          <w:t>https://www.lri.fr/~groz/documents/rapport.pdf</w:t>
        </w:r>
      </w:hyperlink>
      <w:r w:rsidRPr="246FBB6F">
        <w:rPr>
          <w:lang w:val="fr-FR"/>
        </w:rPr>
        <w:t>.</w:t>
      </w:r>
    </w:p>
    <w:p w14:paraId="67F4D7FA" w14:textId="77777777" w:rsidR="0084489F" w:rsidRDefault="00110FE6">
      <w:pPr>
        <w:pStyle w:val="BlockText"/>
      </w:pPr>
      <w:r w:rsidRPr="246FBB6F">
        <w:rPr>
          <w:lang w:val="fr-FR"/>
        </w:rPr>
        <w:t xml:space="preserve">Termium. « containment ». Dans </w:t>
      </w:r>
      <w:r w:rsidRPr="246FBB6F">
        <w:rPr>
          <w:i/>
          <w:iCs/>
          <w:lang w:val="fr-FR"/>
        </w:rPr>
        <w:t>Termium Plus</w:t>
      </w:r>
      <w:r w:rsidRPr="246FBB6F">
        <w:rPr>
          <w:lang w:val="fr-FR"/>
        </w:rPr>
        <w:t>. Ottawa, CA-ON: Gouvernement du Canada, 8 octobre 2009.</w:t>
      </w:r>
      <w:hyperlink r:id="rId52" w:anchor="resultrecs">
        <w:r w:rsidRPr="246FBB6F">
          <w:rPr>
            <w:rStyle w:val="Hyperlink"/>
            <w:lang w:val="fr-FR"/>
          </w:rPr>
          <w:t xml:space="preserve"> </w:t>
        </w:r>
      </w:hyperlink>
      <w:hyperlink r:id="rId53" w:anchor="resultrecs">
        <w:r w:rsidRPr="246FBB6F">
          <w:rPr>
            <w:rStyle w:val="Hyperlink"/>
            <w:lang w:val="fr-FR"/>
          </w:rPr>
          <w:t>https://www.btb.termiumplus.gc.ca/tpv2alpha/alpha-fra.html?lang=fra&amp;i=1&amp;srchtxt=containment&amp;index=ent&amp;codom2nd_wet=1#resultrecs</w:t>
        </w:r>
      </w:hyperlink>
      <w:r w:rsidRPr="246FBB6F">
        <w:rPr>
          <w:lang w:val="fr-FR"/>
        </w:rPr>
        <w:t>.</w:t>
      </w:r>
    </w:p>
    <w:p w14:paraId="370E7015" w14:textId="77777777" w:rsidR="0084489F" w:rsidRDefault="0084489F">
      <w:pPr>
        <w:pStyle w:val="FirstParagraph"/>
      </w:pPr>
      <w:bookmarkStart w:id="42" w:name="Xb7685d8e48c0c7749851f5fbcc2e435bcfbd99b"/>
      <w:bookmarkEnd w:id="42"/>
    </w:p>
    <w:p w14:paraId="3FEE9C70" w14:textId="77777777" w:rsidR="0084489F" w:rsidRDefault="00110FE6">
      <w:pPr>
        <w:pStyle w:val="BodyText"/>
      </w:pPr>
      <w:r>
        <w:rPr>
          <w:b/>
          <w:bCs/>
        </w:rPr>
        <w:t>Interopérabilité [syntactique]</w:t>
      </w:r>
    </w:p>
    <w:p w14:paraId="3FF4411D" w14:textId="77777777" w:rsidR="0084489F" w:rsidRDefault="00110FE6">
      <w:pPr>
        <w:pStyle w:val="BodyText"/>
      </w:pPr>
      <w:r w:rsidRPr="246FBB6F">
        <w:rPr>
          <w:lang w:val="fr-FR"/>
        </w:rPr>
        <w:t>L’interopérabilité  réfère à la capacité de différents systèmes d’information de communiquer de l’information [n.d.t. entre eux], ce qui implique :</w:t>
      </w:r>
    </w:p>
    <w:p w14:paraId="1872D9DE" w14:textId="77777777" w:rsidR="0084489F" w:rsidRDefault="00110FE6" w:rsidP="00806324">
      <w:pPr>
        <w:numPr>
          <w:ilvl w:val="0"/>
          <w:numId w:val="10"/>
        </w:numPr>
      </w:pPr>
      <w:r w:rsidRPr="246FBB6F">
        <w:rPr>
          <w:lang w:val="fr-FR"/>
        </w:rPr>
        <w:t>que deux systèmes peuvent échanger de l’information;</w:t>
      </w:r>
    </w:p>
    <w:p w14:paraId="091CD572" w14:textId="77777777" w:rsidR="0084489F" w:rsidRDefault="00110FE6" w:rsidP="00806324">
      <w:pPr>
        <w:numPr>
          <w:ilvl w:val="0"/>
          <w:numId w:val="10"/>
        </w:numPr>
      </w:pPr>
      <w:r w:rsidRPr="246FBB6F">
        <w:rPr>
          <w:lang w:val="fr-FR"/>
        </w:rPr>
        <w:t>et/ou qu’il est possible d’accéder à plusieurs systèmes grâce à une seule méthode.</w:t>
      </w:r>
    </w:p>
    <w:p w14:paraId="323527F1" w14:textId="77777777" w:rsidR="0084489F" w:rsidRDefault="00110FE6">
      <w:pPr>
        <w:pStyle w:val="FirstParagraph"/>
      </w:pPr>
      <w:r w:rsidRPr="246FBB6F">
        <w:rPr>
          <w:lang w:val="fr-FR"/>
        </w:rPr>
        <w:t>Généralement, l’interopérabilité syntactique se distingue de l’</w:t>
      </w:r>
      <w:hyperlink w:anchor="terminologie-interoperabilite-semantique">
        <w:r w:rsidRPr="246FBB6F">
          <w:rPr>
            <w:rStyle w:val="Hyperlink"/>
            <w:b/>
            <w:bCs/>
            <w:lang w:val="fr-FR"/>
          </w:rPr>
          <w:t>interopérabilité sémantique</w:t>
        </w:r>
      </w:hyperlink>
      <w:r w:rsidRPr="246FBB6F">
        <w:rPr>
          <w:lang w:val="fr-FR"/>
        </w:rPr>
        <w:t xml:space="preserve"> par le fait que l’information encodée et les protocoles d’accès syntactiques sont compatibles de telle sorte que l’information peut être traitée sans erreur. Par contre, cela ne garantit pas que chaque système traite les données en adéquation avec la signification initiale des données. Par exemple, un système peut avoir une table « Acteur » alors qu’un autre peut avoir une table « Agent » [n.d.t. qui traitent toutes deux le même type d’information]. L’interopérabilité syntactique ne permet d’extraire les données que de manière distincte malgré que leur sens soit le même. La prise en compte de la signification des données lors de leur traitement nécessite en effet l’usage de l’interopérabilité sémantique en plus de l’interopérabilité syntactique. Le CIDOC CRM se repose sur cette dernière et n’a pour objectif que d’ajouter l’</w:t>
      </w:r>
      <w:r w:rsidRPr="246FBB6F">
        <w:rPr>
          <w:i/>
          <w:iCs/>
          <w:lang w:val="fr-FR"/>
        </w:rPr>
        <w:t>interopérabilité sémantique</w:t>
      </w:r>
      <w:r w:rsidRPr="246FBB6F">
        <w:rPr>
          <w:lang w:val="fr-FR"/>
        </w:rPr>
        <w:t>.</w:t>
      </w:r>
    </w:p>
    <w:p w14:paraId="3C4A24DD" w14:textId="77777777" w:rsidR="0084489F" w:rsidRDefault="00110FE6">
      <w:pPr>
        <w:pStyle w:val="BodyText"/>
      </w:pPr>
      <w:r w:rsidRPr="246FBB6F">
        <w:rPr>
          <w:lang w:val="fr-FR"/>
        </w:rPr>
        <w:t xml:space="preserve">[n.d.t. voir aussi </w:t>
      </w:r>
      <w:hyperlink w:anchor="terminologie-interoperabilite-semantique">
        <w:r w:rsidRPr="246FBB6F">
          <w:rPr>
            <w:rStyle w:val="Hyperlink"/>
            <w:lang w:val="fr-FR"/>
          </w:rPr>
          <w:t>Interopérabilité sémantique</w:t>
        </w:r>
      </w:hyperlink>
      <w:r w:rsidRPr="246FBB6F">
        <w:rPr>
          <w:lang w:val="fr-FR"/>
        </w:rPr>
        <w:t>].</w:t>
      </w:r>
    </w:p>
    <w:p w14:paraId="037503BC" w14:textId="77777777" w:rsidR="0084489F" w:rsidRDefault="00110FE6">
      <w:pPr>
        <w:pStyle w:val="BlockText"/>
      </w:pPr>
      <w:r>
        <w:rPr>
          <w:b/>
          <w:bCs/>
          <w:i/>
          <w:iCs/>
        </w:rPr>
        <w:t>Note de traduction</w:t>
      </w:r>
    </w:p>
    <w:p w14:paraId="3B1D07C8" w14:textId="77777777" w:rsidR="0084489F" w:rsidRDefault="00110FE6">
      <w:pPr>
        <w:pStyle w:val="BlockText"/>
      </w:pPr>
      <w:r>
        <w:rPr>
          <w:b/>
          <w:bCs/>
          <w:i/>
          <w:iCs/>
        </w:rPr>
        <w:t>Références</w:t>
      </w:r>
    </w:p>
    <w:p w14:paraId="65EC6183" w14:textId="77777777" w:rsidR="0084489F" w:rsidRDefault="0084489F">
      <w:pPr>
        <w:pStyle w:val="FirstParagraph"/>
      </w:pPr>
      <w:bookmarkStart w:id="43" w:name="terminologie-interoperabilite-semantique"/>
      <w:bookmarkEnd w:id="43"/>
    </w:p>
    <w:p w14:paraId="3865DB7F" w14:textId="77777777" w:rsidR="0084489F" w:rsidRDefault="00110FE6" w:rsidP="004B7BCB">
      <w:pPr>
        <w:pStyle w:val="BodyText"/>
        <w:keepNext/>
      </w:pPr>
      <w:r>
        <w:rPr>
          <w:b/>
          <w:bCs/>
        </w:rPr>
        <w:lastRenderedPageBreak/>
        <w:t>Interopérabilité sémantique</w:t>
      </w:r>
    </w:p>
    <w:p w14:paraId="36A2691C" w14:textId="77777777" w:rsidR="0084489F" w:rsidRDefault="00000000" w:rsidP="004B7BCB">
      <w:pPr>
        <w:pStyle w:val="BodyText"/>
        <w:keepNext/>
      </w:pPr>
      <w:hyperlink w:anchor="terminologie-interoperabilite-semantique">
        <w:r w:rsidR="00110FE6" w:rsidRPr="246FBB6F">
          <w:rPr>
            <w:rStyle w:val="Hyperlink"/>
            <w:lang w:val="fr-FR"/>
          </w:rPr>
          <w:t>L’</w:t>
        </w:r>
      </w:hyperlink>
      <w:hyperlink w:anchor="terminologie-interoperabilite-semantique">
        <w:r w:rsidR="00110FE6" w:rsidRPr="246FBB6F">
          <w:rPr>
            <w:rStyle w:val="Hyperlink"/>
            <w:b/>
            <w:bCs/>
            <w:lang w:val="fr-FR"/>
          </w:rPr>
          <w:t>interopérabilité</w:t>
        </w:r>
      </w:hyperlink>
      <w:r w:rsidR="00110FE6" w:rsidRPr="246FBB6F">
        <w:rPr>
          <w:lang w:val="fr-FR"/>
        </w:rPr>
        <w:t xml:space="preserve"> sémantique réfère à la capacité de différents systèmes d’information de communiquer de l’information [n.d.t. entre eux] en adéquation avec sa signification initiale, ce qui comprend :</w:t>
      </w:r>
    </w:p>
    <w:p w14:paraId="0FA72613" w14:textId="77777777" w:rsidR="0084489F" w:rsidRDefault="00110FE6" w:rsidP="00806324">
      <w:pPr>
        <w:numPr>
          <w:ilvl w:val="0"/>
          <w:numId w:val="11"/>
        </w:numPr>
      </w:pPr>
      <w:r w:rsidRPr="246FBB6F">
        <w:rPr>
          <w:lang w:val="fr-FR"/>
        </w:rPr>
        <w:t>les éléments de la structure de données impliqués;</w:t>
      </w:r>
    </w:p>
    <w:p w14:paraId="1A6C64A5" w14:textId="77777777" w:rsidR="0084489F" w:rsidRDefault="00110FE6" w:rsidP="00806324">
      <w:pPr>
        <w:numPr>
          <w:ilvl w:val="0"/>
          <w:numId w:val="11"/>
        </w:numPr>
      </w:pPr>
      <w:r w:rsidRPr="246FBB6F">
        <w:rPr>
          <w:lang w:val="fr-FR"/>
        </w:rPr>
        <w:t>la terminologie présentée comme données;</w:t>
      </w:r>
    </w:p>
    <w:p w14:paraId="4B5DDB31" w14:textId="77777777" w:rsidR="0084489F" w:rsidRDefault="00110FE6" w:rsidP="00806324">
      <w:pPr>
        <w:numPr>
          <w:ilvl w:val="0"/>
          <w:numId w:val="11"/>
        </w:numPr>
      </w:pPr>
      <w:r w:rsidRPr="246FBB6F">
        <w:rPr>
          <w:lang w:val="fr-FR"/>
        </w:rPr>
        <w:t>les identifiants représentant des éléments factuels comme des lieux, des personnes et des objets dans les données.</w:t>
      </w:r>
    </w:p>
    <w:p w14:paraId="6AAECB0D" w14:textId="77777777" w:rsidR="0084489F" w:rsidRDefault="00110FE6">
      <w:pPr>
        <w:pStyle w:val="FirstParagraph"/>
      </w:pPr>
      <w:r>
        <w:t>La communication des éléments structurels doit être résolue en premier lieu. Une communication adéquate implique à cet égard que les données transférées d’une structure à l’autre conservent leur signification, ou que les données référant aux mêmes éléments et ayant la même signification soient fusionnées. En pratique cependant, en raison des niveaux de généralisation qui varient d’un système à l’autre, cela n’est souvent pas possible.</w:t>
      </w:r>
    </w:p>
    <w:p w14:paraId="4EB0B346" w14:textId="78C03110" w:rsidR="0084489F" w:rsidRDefault="00110FE6">
      <w:pPr>
        <w:pStyle w:val="BodyText"/>
      </w:pPr>
      <w:r>
        <w:t>L’interopérabilité sémantique est donc considérée atteinte si des éléments attestant une généralisation raisonnablement comparable au transfert ou à la fusion [n.d.t. des données concernées] sont identifiés. Cela est un problème théorique étudié sous le nom du problème de l'</w:t>
      </w:r>
      <w:hyperlink w:anchor="terminologie-inclusion-des-requetes">
        <w:r>
          <w:rPr>
            <w:rStyle w:val="Hyperlink"/>
            <w:b/>
            <w:bCs/>
          </w:rPr>
          <w:t>inclusion des requêtes</w:t>
        </w:r>
      </w:hyperlink>
      <w:r>
        <w:t> »; le CIDOC CRM, pour sa part, ne se concentre que sur l'interopérabilité sémantique des éléments structurés.</w:t>
      </w:r>
    </w:p>
    <w:p w14:paraId="6BDA6070" w14:textId="77777777" w:rsidR="0084489F" w:rsidRDefault="00110FE6">
      <w:pPr>
        <w:pStyle w:val="BodyText"/>
      </w:pPr>
      <w:r w:rsidRPr="246FBB6F">
        <w:rPr>
          <w:lang w:val="fr-FR"/>
        </w:rPr>
        <w:t xml:space="preserve">[n.d.t. voir aussi </w:t>
      </w:r>
      <w:hyperlink w:anchor="Xb7685d8e48c0c7749851f5fbcc2e435bcfbd99b">
        <w:r w:rsidRPr="246FBB6F">
          <w:rPr>
            <w:rStyle w:val="Hyperlink"/>
            <w:lang w:val="fr-FR"/>
          </w:rPr>
          <w:t>Interopérabilité syntactique</w:t>
        </w:r>
      </w:hyperlink>
      <w:r w:rsidRPr="246FBB6F">
        <w:rPr>
          <w:lang w:val="fr-FR"/>
        </w:rPr>
        <w:t>].</w:t>
      </w:r>
    </w:p>
    <w:p w14:paraId="33B2AAFD" w14:textId="77777777" w:rsidR="0084489F" w:rsidRDefault="00110FE6">
      <w:pPr>
        <w:pStyle w:val="BlockText"/>
      </w:pPr>
      <w:r>
        <w:rPr>
          <w:b/>
          <w:bCs/>
          <w:i/>
          <w:iCs/>
        </w:rPr>
        <w:t>Note de traduction</w:t>
      </w:r>
    </w:p>
    <w:p w14:paraId="685680F4" w14:textId="77777777" w:rsidR="0084489F" w:rsidRDefault="00110FE6">
      <w:pPr>
        <w:pStyle w:val="BlockText"/>
      </w:pPr>
      <w:r>
        <w:t>Le terme « merge » a été traduit par « fusion », lequel semble être la traduction la plus courante dans le domaine du traitement de l’information.</w:t>
      </w:r>
    </w:p>
    <w:p w14:paraId="599DF0B3" w14:textId="77777777" w:rsidR="0084489F" w:rsidRDefault="00110FE6">
      <w:pPr>
        <w:pStyle w:val="BlockText"/>
      </w:pPr>
      <w:r w:rsidRPr="246FBB6F">
        <w:rPr>
          <w:lang w:val="fr-FR"/>
        </w:rPr>
        <w:t>Le terme « query containment » a été traduit par « inclusion des requêtes ». Le « containment » est généralement traduit dans le domaine de l’algèbre par « inclusion » et dans le domaine logiciel par « contenance ». Puisqu’il s’agit d’un problème fondamentalement théorique et algorithmique, il est apparu préférable de se rapprocher de l’usage mathématique.</w:t>
      </w:r>
    </w:p>
    <w:p w14:paraId="1B27D7A0" w14:textId="77777777" w:rsidR="0084489F" w:rsidRDefault="00110FE6">
      <w:pPr>
        <w:pStyle w:val="BlockText"/>
      </w:pPr>
      <w:r>
        <w:rPr>
          <w:b/>
          <w:bCs/>
          <w:i/>
          <w:iCs/>
        </w:rPr>
        <w:t>Références</w:t>
      </w:r>
    </w:p>
    <w:p w14:paraId="6287CB5F" w14:textId="77777777" w:rsidR="0084489F" w:rsidRDefault="00110FE6">
      <w:pPr>
        <w:pStyle w:val="BlockText"/>
      </w:pPr>
      <w:r w:rsidRPr="246FBB6F">
        <w:rPr>
          <w:lang w:val="fr-FR"/>
        </w:rPr>
        <w:t>Groz, Benoît. « Inclusion et équivalence de requêtes conjonctives ». Rapport de stage, Institut national de recherche en sciences et technologies du numérique, 2008.</w:t>
      </w:r>
      <w:hyperlink r:id="rId54">
        <w:r w:rsidRPr="246FBB6F">
          <w:rPr>
            <w:rStyle w:val="Hyperlink"/>
            <w:lang w:val="fr-FR"/>
          </w:rPr>
          <w:t xml:space="preserve"> </w:t>
        </w:r>
      </w:hyperlink>
      <w:hyperlink r:id="rId55">
        <w:r w:rsidRPr="246FBB6F">
          <w:rPr>
            <w:rStyle w:val="Hyperlink"/>
            <w:lang w:val="fr-FR"/>
          </w:rPr>
          <w:t>https://www.lri.fr/~groz/documents/rapport.pdf</w:t>
        </w:r>
      </w:hyperlink>
      <w:r w:rsidRPr="246FBB6F">
        <w:rPr>
          <w:lang w:val="fr-FR"/>
        </w:rPr>
        <w:t>.</w:t>
      </w:r>
    </w:p>
    <w:p w14:paraId="0E91E8D6" w14:textId="77777777" w:rsidR="0084489F" w:rsidRDefault="00110FE6">
      <w:pPr>
        <w:pStyle w:val="BlockText"/>
      </w:pPr>
      <w:r w:rsidRPr="246FBB6F">
        <w:rPr>
          <w:lang w:val="fr-FR"/>
        </w:rPr>
        <w:t xml:space="preserve">Termium. « containment ». Dans </w:t>
      </w:r>
      <w:r w:rsidRPr="246FBB6F">
        <w:rPr>
          <w:i/>
          <w:iCs/>
          <w:lang w:val="fr-FR"/>
        </w:rPr>
        <w:t>Termium Plus</w:t>
      </w:r>
      <w:r w:rsidRPr="246FBB6F">
        <w:rPr>
          <w:lang w:val="fr-FR"/>
        </w:rPr>
        <w:t>. Ottawa, CA-ON: Gouvernement du Canada, 8 octobre 2009.</w:t>
      </w:r>
      <w:hyperlink r:id="rId56" w:anchor="resultrecs">
        <w:r w:rsidRPr="246FBB6F">
          <w:rPr>
            <w:rStyle w:val="Hyperlink"/>
            <w:lang w:val="fr-FR"/>
          </w:rPr>
          <w:t xml:space="preserve"> </w:t>
        </w:r>
      </w:hyperlink>
      <w:hyperlink r:id="rId57" w:anchor="resultrecs">
        <w:r w:rsidRPr="246FBB6F">
          <w:rPr>
            <w:rStyle w:val="Hyperlink"/>
            <w:lang w:val="fr-FR"/>
          </w:rPr>
          <w:t>https://www.btb.termiumplus.gc.ca/tpv2alpha/alpha-fra.html?lang=fra&amp;i=1&amp;srchtxt=containment&amp;index=ent&amp;codom2nd_wet=1#resultrecs</w:t>
        </w:r>
      </w:hyperlink>
      <w:r w:rsidRPr="246FBB6F">
        <w:rPr>
          <w:lang w:val="fr-FR"/>
        </w:rPr>
        <w:t>.</w:t>
      </w:r>
    </w:p>
    <w:p w14:paraId="0E9E0DBF" w14:textId="77777777" w:rsidR="0084489F" w:rsidRDefault="00110FE6">
      <w:pPr>
        <w:pStyle w:val="BlockText"/>
      </w:pPr>
      <w:r w:rsidRPr="246FBB6F">
        <w:rPr>
          <w:lang w:val="fr-FR"/>
        </w:rPr>
        <w:t xml:space="preserve">———. « merge ». Dans </w:t>
      </w:r>
      <w:r w:rsidRPr="246FBB6F">
        <w:rPr>
          <w:i/>
          <w:iCs/>
          <w:lang w:val="fr-FR"/>
        </w:rPr>
        <w:t>Termium Plus</w:t>
      </w:r>
      <w:r w:rsidRPr="246FBB6F">
        <w:rPr>
          <w:lang w:val="fr-FR"/>
        </w:rPr>
        <w:t>. Ottawa, CA-ON: Gouvernement du Canada, 8 octobre 2009.</w:t>
      </w:r>
      <w:hyperlink r:id="rId58" w:anchor="resultrecs">
        <w:r w:rsidRPr="246FBB6F">
          <w:rPr>
            <w:rStyle w:val="Hyperlink"/>
            <w:lang w:val="fr-FR"/>
          </w:rPr>
          <w:t xml:space="preserve"> </w:t>
        </w:r>
      </w:hyperlink>
      <w:hyperlink r:id="rId59" w:anchor="resultrecs">
        <w:r w:rsidRPr="246FBB6F">
          <w:rPr>
            <w:rStyle w:val="Hyperlink"/>
            <w:lang w:val="fr-FR"/>
          </w:rPr>
          <w:t>https://www.btb.termiumplus.gc.ca/tpv2alpha/alpha-fra.html?lang=fra&amp;i=1&amp;srchtxt=merge&amp;index=ent&amp;codom2nd_wet=1#resultrecs</w:t>
        </w:r>
      </w:hyperlink>
      <w:r w:rsidRPr="246FBB6F">
        <w:rPr>
          <w:lang w:val="fr-FR"/>
        </w:rPr>
        <w:t>.</w:t>
      </w:r>
    </w:p>
    <w:p w14:paraId="60820E1C" w14:textId="77777777" w:rsidR="0084489F" w:rsidRDefault="0084489F">
      <w:pPr>
        <w:pStyle w:val="FirstParagraph"/>
      </w:pPr>
      <w:bookmarkStart w:id="44" w:name="terminologie-quantificateur-de-propriete"/>
      <w:bookmarkEnd w:id="44"/>
    </w:p>
    <w:p w14:paraId="78642B13" w14:textId="77777777" w:rsidR="0084489F" w:rsidRDefault="00110FE6">
      <w:pPr>
        <w:pStyle w:val="BodyText"/>
      </w:pPr>
      <w:r>
        <w:rPr>
          <w:b/>
          <w:bCs/>
        </w:rPr>
        <w:t>Quantificateur de propriété</w:t>
      </w:r>
    </w:p>
    <w:p w14:paraId="35D56F1D" w14:textId="77777777" w:rsidR="0084489F" w:rsidRDefault="00110FE6">
      <w:pPr>
        <w:pStyle w:val="BodyText"/>
      </w:pPr>
      <w:r>
        <w:t>Le terme « quantificateur de propriété » désigne la déclaration du nombre autorisé d’</w:t>
      </w:r>
      <w:hyperlink w:anchor="terminologie-instance">
        <w:r>
          <w:rPr>
            <w:rStyle w:val="Hyperlink"/>
            <w:b/>
            <w:bCs/>
          </w:rPr>
          <w:t>instances</w:t>
        </w:r>
      </w:hyperlink>
      <w:r>
        <w:t xml:space="preserve"> d’une </w:t>
      </w:r>
      <w:hyperlink w:anchor="terminologie-propriete">
        <w:r>
          <w:rPr>
            <w:rStyle w:val="Hyperlink"/>
            <w:b/>
            <w:bCs/>
          </w:rPr>
          <w:t>propriété</w:t>
        </w:r>
      </w:hyperlink>
      <w:r>
        <w:t xml:space="preserve"> qui peut référer à une instance particulière d’une </w:t>
      </w:r>
      <w:hyperlink w:anchor="terminologie-classe">
        <w:r>
          <w:rPr>
            <w:rStyle w:val="Hyperlink"/>
            <w:b/>
            <w:bCs/>
          </w:rPr>
          <w:t>classe</w:t>
        </w:r>
      </w:hyperlink>
      <w:r>
        <w:t xml:space="preserve"> de </w:t>
      </w:r>
      <w:hyperlink w:anchor="terminologie-portee">
        <w:r>
          <w:rPr>
            <w:rStyle w:val="Hyperlink"/>
            <w:b/>
            <w:bCs/>
          </w:rPr>
          <w:t>portée</w:t>
        </w:r>
      </w:hyperlink>
      <w:r>
        <w:t xml:space="preserve"> ou de </w:t>
      </w:r>
      <w:hyperlink w:anchor="terminologie-domaine">
        <w:r>
          <w:rPr>
            <w:rStyle w:val="Hyperlink"/>
            <w:b/>
            <w:bCs/>
          </w:rPr>
          <w:t>domaine</w:t>
        </w:r>
      </w:hyperlink>
      <w:r>
        <w:t xml:space="preserve"> de cette propriété. Ces déclarations sont ontologiques, c.-à-d. qu’elles concernent la nature du monde « réel » qui est décrit plutôt que la connaissance de celui-ci. Par exemple, chaque personne a exactement un père [n.d.t. biologique] même si les connaissances recensées peuvent n’en indiquer aucun ou plusieurs.</w:t>
      </w:r>
    </w:p>
    <w:p w14:paraId="58148513" w14:textId="77777777" w:rsidR="0084489F" w:rsidRDefault="00110FE6">
      <w:pPr>
        <w:pStyle w:val="BodyText"/>
      </w:pPr>
      <w:r w:rsidRPr="246FBB6F">
        <w:rPr>
          <w:lang w:val="fr-FR"/>
        </w:rPr>
        <w:lastRenderedPageBreak/>
        <w:t xml:space="preserve">[n.d.t. voir la section </w:t>
      </w:r>
      <w:hyperlink w:anchor="quantificateurs-de-proprietes">
        <w:r w:rsidRPr="246FBB6F">
          <w:rPr>
            <w:rStyle w:val="Hyperlink"/>
            <w:lang w:val="fr-FR"/>
          </w:rPr>
          <w:t>Quantificateurs de propriétés</w:t>
        </w:r>
      </w:hyperlink>
      <w:r w:rsidRPr="246FBB6F">
        <w:rPr>
          <w:lang w:val="fr-FR"/>
        </w:rPr>
        <w:t xml:space="preserve"> dans la section </w:t>
      </w:r>
      <w:hyperlink w:anchor="compatibilite-avec-le-cidoccrm">
        <w:r w:rsidRPr="246FBB6F">
          <w:rPr>
            <w:rStyle w:val="Hyperlink"/>
            <w:lang w:val="fr-FR"/>
          </w:rPr>
          <w:t xml:space="preserve">Compatibilité avec le </w:t>
        </w:r>
      </w:hyperlink>
      <w:hyperlink w:anchor="compatibilite-avec-le-cidoccrm">
        <w:r w:rsidRPr="246FBB6F">
          <w:rPr>
            <w:rStyle w:val="Hyperlink"/>
            <w:lang w:val="fr-FR"/>
          </w:rPr>
          <w:t xml:space="preserve">CIDOC CRM </w:t>
        </w:r>
      </w:hyperlink>
      <w:r w:rsidRPr="246FBB6F">
        <w:rPr>
          <w:lang w:val="fr-FR"/>
        </w:rPr>
        <w:t>].</w:t>
      </w:r>
    </w:p>
    <w:p w14:paraId="26420611" w14:textId="77777777" w:rsidR="0084489F" w:rsidRDefault="00110FE6">
      <w:pPr>
        <w:pStyle w:val="BlockText"/>
      </w:pPr>
      <w:r>
        <w:rPr>
          <w:b/>
          <w:bCs/>
          <w:i/>
          <w:iCs/>
        </w:rPr>
        <w:t>Note de traduction</w:t>
      </w:r>
    </w:p>
    <w:p w14:paraId="4DEF7DB0" w14:textId="77777777" w:rsidR="0084489F" w:rsidRDefault="00110FE6">
      <w:pPr>
        <w:pStyle w:val="BlockText"/>
      </w:pPr>
      <w:r>
        <w:rPr>
          <w:b/>
          <w:bCs/>
          <w:i/>
          <w:iCs/>
        </w:rPr>
        <w:t>Références</w:t>
      </w:r>
    </w:p>
    <w:p w14:paraId="77B595A9" w14:textId="77777777" w:rsidR="0084489F" w:rsidRDefault="00110FE6">
      <w:pPr>
        <w:pStyle w:val="BlockText"/>
      </w:pPr>
      <w:r w:rsidRPr="246FBB6F">
        <w:rPr>
          <w:lang w:val="fr-FR"/>
        </w:rPr>
        <w:t xml:space="preserve">Termium. « quantifier ». Dans </w:t>
      </w:r>
      <w:r w:rsidRPr="246FBB6F">
        <w:rPr>
          <w:i/>
          <w:iCs/>
          <w:lang w:val="fr-FR"/>
        </w:rPr>
        <w:t>Termium Plus</w:t>
      </w:r>
      <w:r w:rsidRPr="246FBB6F">
        <w:rPr>
          <w:lang w:val="fr-FR"/>
        </w:rPr>
        <w:t>. Ottawa, CA-ON: Gouvernement du Canada, 8 octobre 2009.</w:t>
      </w:r>
      <w:hyperlink r:id="rId60" w:anchor="resultrecs">
        <w:r w:rsidRPr="246FBB6F">
          <w:rPr>
            <w:rStyle w:val="Hyperlink"/>
            <w:lang w:val="fr-FR"/>
          </w:rPr>
          <w:t xml:space="preserve"> </w:t>
        </w:r>
      </w:hyperlink>
      <w:hyperlink r:id="rId61" w:anchor="resultrecs">
        <w:r w:rsidRPr="246FBB6F">
          <w:rPr>
            <w:rStyle w:val="Hyperlink"/>
            <w:lang w:val="fr-FR"/>
          </w:rPr>
          <w:t>https://www.btb.termiumplus.gc.ca/tpv2alpha/alpha-fra.html?lang=fra&amp;i=1&amp;srchtxt=quantifier&amp;index=ent&amp;codom2nd_wet=1#resultrecs</w:t>
        </w:r>
      </w:hyperlink>
      <w:r w:rsidRPr="246FBB6F">
        <w:rPr>
          <w:lang w:val="fr-FR"/>
        </w:rPr>
        <w:t>.</w:t>
      </w:r>
    </w:p>
    <w:p w14:paraId="0C3B749A" w14:textId="77777777" w:rsidR="0084489F" w:rsidRDefault="0084489F">
      <w:pPr>
        <w:pStyle w:val="FirstParagraph"/>
      </w:pPr>
      <w:bookmarkStart w:id="45" w:name="terminologie-universel"/>
      <w:bookmarkEnd w:id="45"/>
    </w:p>
    <w:p w14:paraId="5FF4E354" w14:textId="77CF757C" w:rsidR="0084489F" w:rsidRDefault="00260129">
      <w:pPr>
        <w:pStyle w:val="BodyText"/>
      </w:pPr>
      <w:r>
        <w:rPr>
          <w:b/>
          <w:bCs/>
        </w:rPr>
        <w:t>U</w:t>
      </w:r>
      <w:r w:rsidR="00110FE6">
        <w:rPr>
          <w:b/>
          <w:bCs/>
        </w:rPr>
        <w:t>niversel</w:t>
      </w:r>
    </w:p>
    <w:p w14:paraId="50C1EDDF" w14:textId="77777777" w:rsidR="0084489F" w:rsidRDefault="00110FE6">
      <w:pPr>
        <w:pStyle w:val="BodyText"/>
      </w:pPr>
      <w:r w:rsidRPr="246FBB6F">
        <w:rPr>
          <w:lang w:val="fr-FR"/>
        </w:rPr>
        <w:t xml:space="preserve">La distinction ontologique fondamentale entre universel et particulier peut être comprise informellement en examinant la relation de chacun avec son instanciation : alors que les particuliers n’ont aucune </w:t>
      </w:r>
      <w:hyperlink w:anchor="terminologie-instance">
        <w:r w:rsidRPr="246FBB6F">
          <w:rPr>
            <w:rStyle w:val="Hyperlink"/>
            <w:b/>
            <w:bCs/>
            <w:lang w:val="fr-FR"/>
          </w:rPr>
          <w:t>instance</w:t>
        </w:r>
      </w:hyperlink>
      <w:r w:rsidRPr="246FBB6F">
        <w:rPr>
          <w:lang w:val="fr-FR"/>
        </w:rPr>
        <w:t xml:space="preserve"> possible, peu importe le monde dans lequel ils se trouvent, les universels sont des entités qui, elles, ont des instances. Les </w:t>
      </w:r>
      <w:hyperlink w:anchor="terminologie-classe">
        <w:r w:rsidRPr="246FBB6F">
          <w:rPr>
            <w:rStyle w:val="Hyperlink"/>
            <w:b/>
            <w:bCs/>
            <w:lang w:val="fr-FR"/>
          </w:rPr>
          <w:t>classes</w:t>
        </w:r>
      </w:hyperlink>
      <w:r w:rsidRPr="246FBB6F">
        <w:rPr>
          <w:lang w:val="fr-FR"/>
        </w:rPr>
        <w:t xml:space="preserve"> et </w:t>
      </w:r>
      <w:hyperlink w:anchor="terminologie-propriete">
        <w:r w:rsidRPr="246FBB6F">
          <w:rPr>
            <w:rStyle w:val="Hyperlink"/>
            <w:b/>
            <w:bCs/>
            <w:lang w:val="fr-FR"/>
          </w:rPr>
          <w:t>propriétés</w:t>
        </w:r>
      </w:hyperlink>
      <w:r w:rsidRPr="246FBB6F">
        <w:rPr>
          <w:lang w:val="fr-FR"/>
        </w:rPr>
        <w:t xml:space="preserve"> (qui correspondent en langage logique à des prédicats) sont généralement considérées être des universels (Gangemi &amp; al. 2002, p. 166-181).</w:t>
      </w:r>
    </w:p>
    <w:p w14:paraId="3ACF747B" w14:textId="77777777" w:rsidR="0084489F" w:rsidRDefault="00110FE6">
      <w:pPr>
        <w:pStyle w:val="BlockText"/>
      </w:pPr>
      <w:r>
        <w:rPr>
          <w:b/>
          <w:bCs/>
          <w:i/>
          <w:iCs/>
        </w:rPr>
        <w:t>Note de traduction</w:t>
      </w:r>
    </w:p>
    <w:p w14:paraId="43B45ED0" w14:textId="77777777" w:rsidR="0084489F" w:rsidRDefault="00110FE6">
      <w:pPr>
        <w:pStyle w:val="BlockText"/>
      </w:pPr>
      <w:r>
        <w:rPr>
          <w:b/>
          <w:bCs/>
          <w:i/>
          <w:iCs/>
        </w:rPr>
        <w:t>Références</w:t>
      </w:r>
    </w:p>
    <w:p w14:paraId="7440FE17" w14:textId="77777777" w:rsidR="0084489F" w:rsidRDefault="0084489F">
      <w:pPr>
        <w:pStyle w:val="FirstParagraph"/>
      </w:pPr>
      <w:bookmarkStart w:id="46" w:name="Xc708d71018eddd02093b12763d4a6210ee1a949"/>
      <w:bookmarkEnd w:id="46"/>
    </w:p>
    <w:p w14:paraId="7C60B542" w14:textId="77777777" w:rsidR="0084489F" w:rsidRDefault="00110FE6">
      <w:pPr>
        <w:pStyle w:val="BodyText"/>
      </w:pPr>
      <w:r>
        <w:rPr>
          <w:b/>
          <w:bCs/>
        </w:rPr>
        <w:t>Processus de création de connaissances</w:t>
      </w:r>
    </w:p>
    <w:p w14:paraId="25169D63" w14:textId="77777777" w:rsidR="0084489F" w:rsidRDefault="00110FE6">
      <w:pPr>
        <w:pStyle w:val="BodyText"/>
      </w:pPr>
      <w:r>
        <w:t>Toute connaissance contenue dans un système d’information doit avoir été introduite dans ce système par un agent humain, que ce soit de manière directe ou indirecte. Malgré cela, plusieurs, si ce n’est la plupart, des énoncés de tels systèmes n’ont pas d’information associée quant à la personne ayant autorité sur eux. Néanmoins, le milieu patrimonial a des pratiques d’assignation de l’autorité établissant comment et par qui une information peut être introduite ou modifiée dans un système, en particulier dans le contexte de la documentation et de la gestion des collections. Ces pratiques sont idéalement recensées dans le cadre de politiques institutionnelles et de protocoles documentaires. Il est donc raisonnable de considérer que, dans le cadre de tels systèmes d’information, tout énoncé n’ayant pas une assignation explicite d’autorité représente la position officielle de l’institution responsable du système.</w:t>
      </w:r>
    </w:p>
    <w:p w14:paraId="6FA0B4E8" w14:textId="77777777" w:rsidR="0084489F" w:rsidRDefault="00110FE6">
      <w:pPr>
        <w:pStyle w:val="BodyText"/>
      </w:pPr>
      <w:r w:rsidRPr="246FBB6F">
        <w:rPr>
          <w:lang w:val="fr-FR"/>
        </w:rPr>
        <w:t>Cette posture [n.d.t. du CIDOC CRM ] n’implique cependant pas qu’un système d’information représente un état abouti des connaissances promues par l’institution qui en est responsable. Cette posture a plutôt pour objectif de mettre en évidence qu’un ensemble de données patrimoniales (à un quelconque degré d’élaboration) incarne une adhésion à un ensemble de standards qui garantissent la validité des données dans le cadre de celui-ci et de ses limitations. Tant que l’information [n.d.t. contenue dans le système d’information] est activement maintenue, elle demeure sujette à des améliorations, modifications et révisions au fur et à mesure que la recherche à son sujet présente de nouveaux éléments à son égard ou à l’égard de ce qui l’entoure.</w:t>
      </w:r>
    </w:p>
    <w:p w14:paraId="03490F3D" w14:textId="00273664" w:rsidR="0084489F" w:rsidRDefault="00110FE6">
      <w:pPr>
        <w:pStyle w:val="BodyText"/>
      </w:pPr>
      <w:r>
        <w:t xml:space="preserve">De l’information dans un ensemble de données auquel est associé un énoncé explicite de responsabilité constitue une exception notable à cette règle. Dans CIDOC CRM, de tels énoncés de responsabilité sont exprimés par des évènements de création de connaissances tels que </w:t>
      </w:r>
      <w:r>
        <w:rPr>
          <w:rStyle w:val="VerbatimChar"/>
        </w:rPr>
        <w:t>E13_Assignation_d'attribut</w:t>
      </w:r>
      <w:r>
        <w:t xml:space="preserve"> ou ses sous-classes pertinentes. Toute information dans un modèle CIDOC CRM basée sur un évènement de création explicite de cette information (où l’identité du créateur est spécifiée) a pour autorité et responsable le créateur en question. Pour toute information dans ce système qui n’a pas de référence explicite à un créateur spécifique ainsi que pour toute information qui n’est pas liée à un évènement de création, la responsabilité de l’information revient à l’institution qui assume la gestion de la base et du graphe de connaissances. Cela implique que l’information qui n’est exprimée que grâce à des raccourcis (p. ex. </w:t>
      </w:r>
      <w:r>
        <w:rPr>
          <w:rStyle w:val="VerbatimChar"/>
        </w:rPr>
        <w:t>P2_a_pour_type</w:t>
      </w:r>
      <w:r>
        <w:t>) :</w:t>
      </w:r>
    </w:p>
    <w:p w14:paraId="24DA3A74" w14:textId="77777777" w:rsidR="0084489F" w:rsidRDefault="00110FE6" w:rsidP="00806324">
      <w:pPr>
        <w:numPr>
          <w:ilvl w:val="0"/>
          <w:numId w:val="12"/>
        </w:numPr>
      </w:pPr>
      <w:r w:rsidRPr="246FBB6F">
        <w:rPr>
          <w:lang w:val="fr-FR"/>
        </w:rPr>
        <w:lastRenderedPageBreak/>
        <w:t>n’est pas associée à un évènement explicite de création de connaissances;</w:t>
      </w:r>
    </w:p>
    <w:p w14:paraId="63013CD2" w14:textId="77777777" w:rsidR="0084489F" w:rsidRDefault="00110FE6" w:rsidP="00806324">
      <w:pPr>
        <w:numPr>
          <w:ilvl w:val="0"/>
          <w:numId w:val="12"/>
        </w:numPr>
      </w:pPr>
      <w:r w:rsidRPr="246FBB6F">
        <w:rPr>
          <w:lang w:val="fr-FR"/>
        </w:rPr>
        <w:t>ne peut pas être associée à un évènement de création originel, car celui-ci ne peut être déduit;</w:t>
      </w:r>
    </w:p>
    <w:p w14:paraId="41873C79" w14:textId="77777777" w:rsidR="0084489F" w:rsidRDefault="00110FE6" w:rsidP="00806324">
      <w:pPr>
        <w:numPr>
          <w:ilvl w:val="0"/>
          <w:numId w:val="12"/>
        </w:numPr>
      </w:pPr>
      <w:r w:rsidRPr="246FBB6F">
        <w:rPr>
          <w:lang w:val="fr-FR"/>
        </w:rPr>
        <w:t>ne peut avoir pour responsable que l’institution responsable du système d’information (et qu’aucun autre organisme ne peut en être imputable).</w:t>
      </w:r>
    </w:p>
    <w:p w14:paraId="7C27D548" w14:textId="77777777" w:rsidR="0084489F" w:rsidRDefault="00110FE6">
      <w:pPr>
        <w:pStyle w:val="FirstParagraph"/>
      </w:pPr>
      <w:r w:rsidRPr="246FBB6F">
        <w:rPr>
          <w:lang w:val="fr-FR"/>
        </w:rPr>
        <w:t>Lorsqu’une institution prend à sa charge une base de données dans le cadre d’un transfert de sa garde d’une autorité administrative à une autre, deux relations de responsabilité sur les connaissances qui s’y trouvent sont possibles. Si l’institution hôte accepte la responsabilité de la maintenance des informations, elle devient l’autorité associée par défaut aux énoncés qui s’y trouvent. Si, par contre, l’institution hôte traite l’ensemble des données comme une ressource « fermée » [n.d.t. donc traité à la manière d’un artefact], l’autorité associée par défaut aux énoncés qui s’y trouvent sera celle de l’institution initiale [n.d.t. comme c’est le cas de tout autre document de recherche se trouvant dans la collection de l’institution hôte].</w:t>
      </w:r>
    </w:p>
    <w:p w14:paraId="1F2E1781" w14:textId="77777777" w:rsidR="0084489F" w:rsidRDefault="00110FE6">
      <w:pPr>
        <w:pStyle w:val="BodyText"/>
      </w:pPr>
      <w:r w:rsidRPr="246FBB6F">
        <w:rPr>
          <w:lang w:val="fr-FR"/>
        </w:rPr>
        <w:t xml:space="preserve">[n.d.t. voir </w:t>
      </w:r>
      <w:hyperlink w:anchor="X8ed7dddd9eaf3521a8b039300d7d03602b42027">
        <w:r w:rsidRPr="246FBB6F">
          <w:rPr>
            <w:rStyle w:val="Hyperlink"/>
            <w:lang w:val="fr-FR"/>
          </w:rPr>
          <w:t>De l’auctorialité des contenus d’une base de connaissances</w:t>
        </w:r>
      </w:hyperlink>
      <w:r w:rsidRPr="246FBB6F">
        <w:rPr>
          <w:lang w:val="fr-FR"/>
        </w:rPr>
        <w:t xml:space="preserve"> dans les </w:t>
      </w:r>
      <w:hyperlink w:anchor="principes-de-modelisation">
        <w:r w:rsidRPr="246FBB6F">
          <w:rPr>
            <w:rStyle w:val="Hyperlink"/>
            <w:lang w:val="fr-FR"/>
          </w:rPr>
          <w:t>Principes de modélisation</w:t>
        </w:r>
      </w:hyperlink>
      <w:r w:rsidRPr="246FBB6F">
        <w:rPr>
          <w:lang w:val="fr-FR"/>
        </w:rPr>
        <w:t>].</w:t>
      </w:r>
    </w:p>
    <w:p w14:paraId="46487C84" w14:textId="77777777" w:rsidR="0084489F" w:rsidRDefault="00110FE6">
      <w:pPr>
        <w:pStyle w:val="BlockText"/>
      </w:pPr>
      <w:r>
        <w:rPr>
          <w:b/>
          <w:bCs/>
          <w:i/>
          <w:iCs/>
        </w:rPr>
        <w:t>Note de traduction</w:t>
      </w:r>
    </w:p>
    <w:p w14:paraId="65DDA6D2" w14:textId="77777777" w:rsidR="0084489F" w:rsidRDefault="00110FE6">
      <w:pPr>
        <w:pStyle w:val="BlockText"/>
      </w:pPr>
      <w:r>
        <w:t>Le terme « information system » a été traduit par « système d’information ».</w:t>
      </w:r>
    </w:p>
    <w:p w14:paraId="0355C273" w14:textId="77777777" w:rsidR="0084489F" w:rsidRDefault="00110FE6">
      <w:pPr>
        <w:pStyle w:val="BlockText"/>
      </w:pPr>
      <w:r>
        <w:rPr>
          <w:b/>
          <w:bCs/>
          <w:i/>
          <w:iCs/>
        </w:rPr>
        <w:t>Références</w:t>
      </w:r>
    </w:p>
    <w:p w14:paraId="0C11686F" w14:textId="77777777" w:rsidR="0084489F" w:rsidRDefault="00110FE6">
      <w:pPr>
        <w:pStyle w:val="BlockText"/>
      </w:pPr>
      <w:r w:rsidRPr="246FBB6F">
        <w:rPr>
          <w:lang w:val="fr-FR"/>
        </w:rPr>
        <w:t xml:space="preserve">Termium. « Information System ». Dans </w:t>
      </w:r>
      <w:r w:rsidRPr="246FBB6F">
        <w:rPr>
          <w:i/>
          <w:iCs/>
          <w:lang w:val="fr-FR"/>
        </w:rPr>
        <w:t>Termium Plus</w:t>
      </w:r>
      <w:r w:rsidRPr="246FBB6F">
        <w:rPr>
          <w:lang w:val="fr-FR"/>
        </w:rPr>
        <w:t>. Ottawa, CA-ON: Gouvernement du Canada, 8 octobre 2009.</w:t>
      </w:r>
      <w:hyperlink r:id="rId62" w:anchor="resultrecs">
        <w:r w:rsidRPr="246FBB6F">
          <w:rPr>
            <w:rStyle w:val="Hyperlink"/>
            <w:lang w:val="fr-FR"/>
          </w:rPr>
          <w:t xml:space="preserve"> </w:t>
        </w:r>
      </w:hyperlink>
      <w:hyperlink r:id="rId63" w:anchor="resultrecs">
        <w:r w:rsidRPr="246FBB6F">
          <w:rPr>
            <w:rStyle w:val="Hyperlink"/>
            <w:lang w:val="fr-FR"/>
          </w:rPr>
          <w:t>https://www.btb.termiumplus.gc.ca/tpv2alpha/alpha-eng.html?lang=eng&amp;i=1&amp;srchtxt=INFORMATION+SYSTEM&amp;index=ent&amp;codom2nd_wet=1#resultrecs</w:t>
        </w:r>
      </w:hyperlink>
      <w:r w:rsidRPr="246FBB6F">
        <w:rPr>
          <w:lang w:val="fr-FR"/>
        </w:rPr>
        <w:t>.</w:t>
      </w:r>
    </w:p>
    <w:p w14:paraId="12E015B6" w14:textId="77777777" w:rsidR="0084489F" w:rsidRDefault="0084489F">
      <w:pPr>
        <w:pStyle w:val="FirstParagraph"/>
      </w:pPr>
      <w:bookmarkStart w:id="47" w:name="terminologie-transitivite"/>
      <w:bookmarkEnd w:id="47"/>
    </w:p>
    <w:p w14:paraId="39ADA11D" w14:textId="77777777" w:rsidR="0084489F" w:rsidRDefault="00110FE6">
      <w:pPr>
        <w:pStyle w:val="BodyText"/>
      </w:pPr>
      <w:r>
        <w:rPr>
          <w:b/>
          <w:bCs/>
        </w:rPr>
        <w:t>Transitivité</w:t>
      </w:r>
    </w:p>
    <w:p w14:paraId="550A9FA3" w14:textId="3889DBB5" w:rsidR="0084489F" w:rsidRDefault="00110FE6">
      <w:pPr>
        <w:pStyle w:val="BodyText"/>
      </w:pPr>
      <w:r w:rsidRPr="246FBB6F">
        <w:rPr>
          <w:lang w:val="fr-FR"/>
        </w:rPr>
        <w:t xml:space="preserve">La transitivité (définie selon des principes mathématiques et logiques) signifie qu’une </w:t>
      </w:r>
      <w:hyperlink w:anchor="terminologie-propriete">
        <w:r w:rsidRPr="246FBB6F">
          <w:rPr>
            <w:rStyle w:val="Hyperlink"/>
            <w:lang w:val="fr-FR"/>
          </w:rPr>
          <w:t>propriété</w:t>
        </w:r>
      </w:hyperlink>
      <w:r w:rsidRPr="246FBB6F">
        <w:rPr>
          <w:lang w:val="fr-FR"/>
        </w:rPr>
        <w:t xml:space="preserve"> </w:t>
      </w:r>
      <w:r w:rsidRPr="246FBB6F">
        <w:rPr>
          <w:rStyle w:val="VerbatimChar"/>
          <w:lang w:val="fr-FR"/>
        </w:rPr>
        <w:t>P</w:t>
      </w:r>
      <w:r w:rsidRPr="246FBB6F">
        <w:rPr>
          <w:lang w:val="fr-FR"/>
        </w:rPr>
        <w:t xml:space="preserve"> est </w:t>
      </w:r>
      <w:r w:rsidR="00A53FCB">
        <w:rPr>
          <w:lang w:val="fr-FR"/>
        </w:rPr>
        <w:t>transitive</w:t>
      </w:r>
      <w:r w:rsidRPr="246FBB6F">
        <w:rPr>
          <w:lang w:val="fr-FR"/>
        </w:rPr>
        <w:t xml:space="preserve"> si son </w:t>
      </w:r>
      <w:hyperlink w:anchor="terminologie-domaine">
        <w:r w:rsidRPr="246FBB6F">
          <w:rPr>
            <w:rStyle w:val="Hyperlink"/>
            <w:lang w:val="fr-FR"/>
          </w:rPr>
          <w:t>domaine</w:t>
        </w:r>
      </w:hyperlink>
      <w:r w:rsidRPr="246FBB6F">
        <w:rPr>
          <w:lang w:val="fr-FR"/>
        </w:rPr>
        <w:t xml:space="preserve"> et sa </w:t>
      </w:r>
      <w:hyperlink w:anchor="terminologie-portee">
        <w:r w:rsidRPr="246FBB6F">
          <w:rPr>
            <w:rStyle w:val="Hyperlink"/>
            <w:lang w:val="fr-FR"/>
          </w:rPr>
          <w:t>portée</w:t>
        </w:r>
      </w:hyperlink>
      <w:r w:rsidRPr="246FBB6F">
        <w:rPr>
          <w:lang w:val="fr-FR"/>
        </w:rPr>
        <w:t xml:space="preserve"> sont la même </w:t>
      </w:r>
      <w:hyperlink w:anchor="terminologie-classe">
        <w:r w:rsidRPr="246FBB6F">
          <w:rPr>
            <w:rStyle w:val="Hyperlink"/>
            <w:lang w:val="fr-FR"/>
          </w:rPr>
          <w:t>classe</w:t>
        </w:r>
      </w:hyperlink>
      <w:r w:rsidRPr="246FBB6F">
        <w:rPr>
          <w:lang w:val="fr-FR"/>
        </w:rPr>
        <w:t xml:space="preserve">, et que pour toutes les </w:t>
      </w:r>
      <w:hyperlink w:anchor="terminologie-instance">
        <w:r w:rsidRPr="246FBB6F">
          <w:rPr>
            <w:rStyle w:val="Hyperlink"/>
            <w:lang w:val="fr-FR"/>
          </w:rPr>
          <w:t>instances</w:t>
        </w:r>
      </w:hyperlink>
      <w:r w:rsidRPr="246FBB6F">
        <w:rPr>
          <w:lang w:val="fr-FR"/>
        </w:rPr>
        <w:t xml:space="preserve"> </w:t>
      </w:r>
      <w:r w:rsidRPr="246FBB6F">
        <w:rPr>
          <w:rStyle w:val="VerbatimChar"/>
          <w:lang w:val="fr-FR"/>
        </w:rPr>
        <w:t>x</w:t>
      </w:r>
      <w:r w:rsidRPr="246FBB6F">
        <w:rPr>
          <w:lang w:val="fr-FR"/>
        </w:rPr>
        <w:t xml:space="preserve">, </w:t>
      </w:r>
      <w:r w:rsidRPr="246FBB6F">
        <w:rPr>
          <w:rStyle w:val="VerbatimChar"/>
          <w:lang w:val="fr-FR"/>
        </w:rPr>
        <w:t>y</w:t>
      </w:r>
      <w:r w:rsidRPr="246FBB6F">
        <w:rPr>
          <w:lang w:val="fr-FR"/>
        </w:rPr>
        <w:t xml:space="preserve">, </w:t>
      </w:r>
      <w:r w:rsidRPr="246FBB6F">
        <w:rPr>
          <w:rStyle w:val="VerbatimChar"/>
          <w:lang w:val="fr-FR"/>
        </w:rPr>
        <w:t>z</w:t>
      </w:r>
      <w:r w:rsidRPr="246FBB6F">
        <w:rPr>
          <w:lang w:val="fr-FR"/>
        </w:rPr>
        <w:t xml:space="preserve"> de cette classe si </w:t>
      </w:r>
      <w:r w:rsidRPr="246FBB6F">
        <w:rPr>
          <w:rStyle w:val="VerbatimChar"/>
          <w:lang w:val="fr-FR"/>
        </w:rPr>
        <w:t>x</w:t>
      </w:r>
      <w:r w:rsidRPr="246FBB6F">
        <w:rPr>
          <w:lang w:val="fr-FR"/>
        </w:rPr>
        <w:t xml:space="preserve"> est relié par </w:t>
      </w:r>
      <w:r w:rsidRPr="246FBB6F">
        <w:rPr>
          <w:rStyle w:val="VerbatimChar"/>
          <w:lang w:val="fr-FR"/>
        </w:rPr>
        <w:t>P</w:t>
      </w:r>
      <w:r w:rsidRPr="246FBB6F">
        <w:rPr>
          <w:lang w:val="fr-FR"/>
        </w:rPr>
        <w:t xml:space="preserve"> à </w:t>
      </w:r>
      <w:r w:rsidRPr="246FBB6F">
        <w:rPr>
          <w:rStyle w:val="VerbatimChar"/>
          <w:lang w:val="fr-FR"/>
        </w:rPr>
        <w:t>y</w:t>
      </w:r>
      <w:r w:rsidRPr="246FBB6F">
        <w:rPr>
          <w:lang w:val="fr-FR"/>
        </w:rPr>
        <w:t xml:space="preserve"> et que </w:t>
      </w:r>
      <w:r w:rsidRPr="246FBB6F">
        <w:rPr>
          <w:rStyle w:val="VerbatimChar"/>
          <w:lang w:val="fr-FR"/>
        </w:rPr>
        <w:t>y</w:t>
      </w:r>
      <w:r w:rsidRPr="246FBB6F">
        <w:rPr>
          <w:lang w:val="fr-FR"/>
        </w:rPr>
        <w:t xml:space="preserve"> est relié par </w:t>
      </w:r>
      <w:r w:rsidRPr="246FBB6F">
        <w:rPr>
          <w:rStyle w:val="VerbatimChar"/>
          <w:lang w:val="fr-FR"/>
        </w:rPr>
        <w:t>P</w:t>
      </w:r>
      <w:r w:rsidRPr="246FBB6F">
        <w:rPr>
          <w:lang w:val="fr-FR"/>
        </w:rPr>
        <w:t xml:space="preserve"> à </w:t>
      </w:r>
      <w:r w:rsidRPr="246FBB6F">
        <w:rPr>
          <w:rStyle w:val="VerbatimChar"/>
          <w:lang w:val="fr-FR"/>
        </w:rPr>
        <w:t>z</w:t>
      </w:r>
      <w:r w:rsidRPr="246FBB6F">
        <w:rPr>
          <w:lang w:val="fr-FR"/>
        </w:rPr>
        <w:t xml:space="preserve">, alors </w:t>
      </w:r>
      <w:r w:rsidRPr="246FBB6F">
        <w:rPr>
          <w:rStyle w:val="VerbatimChar"/>
          <w:lang w:val="fr-FR"/>
        </w:rPr>
        <w:t>x</w:t>
      </w:r>
      <w:r w:rsidRPr="246FBB6F">
        <w:rPr>
          <w:lang w:val="fr-FR"/>
        </w:rPr>
        <w:t xml:space="preserve"> est relié par </w:t>
      </w:r>
      <w:r w:rsidRPr="246FBB6F">
        <w:rPr>
          <w:rStyle w:val="VerbatimChar"/>
          <w:lang w:val="fr-FR"/>
        </w:rPr>
        <w:t>P</w:t>
      </w:r>
      <w:r w:rsidRPr="246FBB6F">
        <w:rPr>
          <w:lang w:val="fr-FR"/>
        </w:rPr>
        <w:t xml:space="preserve"> à </w:t>
      </w:r>
      <w:r w:rsidRPr="246FBB6F">
        <w:rPr>
          <w:rStyle w:val="VerbatimChar"/>
          <w:lang w:val="fr-FR"/>
        </w:rPr>
        <w:t>z</w:t>
      </w:r>
      <w:r w:rsidRPr="246FBB6F">
        <w:rPr>
          <w:lang w:val="fr-FR"/>
        </w:rPr>
        <w:t xml:space="preserve">. L’intention de la propriété telle qu’elle est établie dans sa </w:t>
      </w:r>
      <w:hyperlink w:anchor="terminologie-note-dapplication">
        <w:r w:rsidRPr="246FBB6F">
          <w:rPr>
            <w:rStyle w:val="Hyperlink"/>
            <w:lang w:val="fr-FR"/>
          </w:rPr>
          <w:t>note d’application</w:t>
        </w:r>
      </w:hyperlink>
      <w:r w:rsidRPr="246FBB6F">
        <w:rPr>
          <w:lang w:val="fr-FR"/>
        </w:rPr>
        <w:t xml:space="preserve"> détermine si elle est transitive ou non. Par exemple, la propriété </w:t>
      </w:r>
      <w:r w:rsidRPr="246FBB6F">
        <w:rPr>
          <w:rStyle w:val="VerbatimChar"/>
          <w:lang w:val="fr-FR"/>
        </w:rPr>
        <w:t>P121_se_superpose_partiellement_à</w:t>
      </w:r>
      <w:r w:rsidRPr="246FBB6F">
        <w:rPr>
          <w:lang w:val="fr-FR"/>
        </w:rPr>
        <w:t xml:space="preserve"> entre des instances de </w:t>
      </w:r>
      <w:r w:rsidRPr="246FBB6F">
        <w:rPr>
          <w:rStyle w:val="VerbatimChar"/>
          <w:lang w:val="fr-FR"/>
        </w:rPr>
        <w:t>E53_Lieu</w:t>
      </w:r>
      <w:r w:rsidRPr="246FBB6F">
        <w:rPr>
          <w:lang w:val="fr-FR"/>
        </w:rPr>
        <w:t xml:space="preserve"> n’est pas transitive alors que la propriété </w:t>
      </w:r>
      <w:r w:rsidRPr="246FBB6F">
        <w:rPr>
          <w:rStyle w:val="VerbatimChar"/>
          <w:lang w:val="fr-FR"/>
        </w:rPr>
        <w:t>P89_s’insère_dans (contient)</w:t>
      </w:r>
      <w:r w:rsidRPr="246FBB6F">
        <w:rPr>
          <w:lang w:val="fr-FR"/>
        </w:rPr>
        <w:t xml:space="preserve"> entre des instances de </w:t>
      </w:r>
      <w:r w:rsidRPr="246FBB6F">
        <w:rPr>
          <w:rStyle w:val="VerbatimChar"/>
          <w:lang w:val="fr-FR"/>
        </w:rPr>
        <w:t>E53_Lieu</w:t>
      </w:r>
      <w:r w:rsidRPr="246FBB6F">
        <w:rPr>
          <w:lang w:val="fr-FR"/>
        </w:rPr>
        <w:t xml:space="preserve"> et la propriété </w:t>
      </w:r>
      <w:r w:rsidRPr="246FBB6F">
        <w:rPr>
          <w:rStyle w:val="VerbatimChar"/>
          <w:lang w:val="fr-FR"/>
        </w:rPr>
        <w:t>P46_est_composé_de (fait_partie_de)</w:t>
      </w:r>
      <w:r w:rsidRPr="246FBB6F">
        <w:rPr>
          <w:lang w:val="fr-FR"/>
        </w:rPr>
        <w:t xml:space="preserve"> entre des instances de </w:t>
      </w:r>
      <w:r w:rsidRPr="246FBB6F">
        <w:rPr>
          <w:rStyle w:val="VerbatimChar"/>
          <w:lang w:val="fr-FR"/>
        </w:rPr>
        <w:t>E18_Chose_matérielle</w:t>
      </w:r>
      <w:r w:rsidRPr="246FBB6F">
        <w:rPr>
          <w:lang w:val="fr-FR"/>
        </w:rPr>
        <w:t xml:space="preserve"> sont toutes deux transitives. La transitivité est particulièrement utile lors de l’implémentation de CIDOC CRM dans un système qui utilise la déduction logique.</w:t>
      </w:r>
    </w:p>
    <w:p w14:paraId="139B22B5" w14:textId="77777777" w:rsidR="0084489F" w:rsidRDefault="00110FE6">
      <w:pPr>
        <w:pStyle w:val="BodyText"/>
      </w:pPr>
      <w:r w:rsidRPr="246FBB6F">
        <w:rPr>
          <w:lang w:val="fr-FR"/>
        </w:rPr>
        <w:t xml:space="preserve">[n.d.t. voir </w:t>
      </w:r>
      <w:hyperlink w:anchor="de-lheritage-et-de-la-transitivite">
        <w:r w:rsidRPr="246FBB6F">
          <w:rPr>
            <w:rStyle w:val="Hyperlink"/>
            <w:lang w:val="fr-FR"/>
          </w:rPr>
          <w:t>De l’héritage et de la transitivité</w:t>
        </w:r>
      </w:hyperlink>
      <w:r w:rsidRPr="246FBB6F">
        <w:rPr>
          <w:lang w:val="fr-FR"/>
        </w:rPr>
        <w:t xml:space="preserve"> dans les </w:t>
      </w:r>
      <w:hyperlink w:anchor="principes-de-modelisation">
        <w:r w:rsidRPr="246FBB6F">
          <w:rPr>
            <w:rStyle w:val="Hyperlink"/>
            <w:lang w:val="fr-FR"/>
          </w:rPr>
          <w:t>Principes de modélisation</w:t>
        </w:r>
      </w:hyperlink>
      <w:r w:rsidRPr="246FBB6F">
        <w:rPr>
          <w:lang w:val="fr-FR"/>
        </w:rPr>
        <w:t>].</w:t>
      </w:r>
    </w:p>
    <w:p w14:paraId="418F4236" w14:textId="77777777" w:rsidR="0084489F" w:rsidRDefault="00110FE6">
      <w:pPr>
        <w:pStyle w:val="BlockText"/>
      </w:pPr>
      <w:r>
        <w:rPr>
          <w:b/>
          <w:bCs/>
          <w:i/>
          <w:iCs/>
        </w:rPr>
        <w:t>Note de traduction</w:t>
      </w:r>
    </w:p>
    <w:p w14:paraId="2FEBDDE5" w14:textId="77777777" w:rsidR="0084489F" w:rsidRDefault="00110FE6">
      <w:pPr>
        <w:pStyle w:val="BlockText"/>
      </w:pPr>
      <w:r>
        <w:rPr>
          <w:b/>
          <w:bCs/>
          <w:i/>
          <w:iCs/>
        </w:rPr>
        <w:t>Références</w:t>
      </w:r>
    </w:p>
    <w:p w14:paraId="2067EE88" w14:textId="77777777" w:rsidR="0084489F" w:rsidRDefault="0084489F">
      <w:pPr>
        <w:pStyle w:val="FirstParagraph"/>
      </w:pPr>
      <w:bookmarkStart w:id="48" w:name="terminologie-symetrie"/>
      <w:bookmarkEnd w:id="48"/>
    </w:p>
    <w:p w14:paraId="4E36882F" w14:textId="77777777" w:rsidR="0084489F" w:rsidRDefault="00110FE6">
      <w:pPr>
        <w:pStyle w:val="BodyText"/>
      </w:pPr>
      <w:r>
        <w:rPr>
          <w:b/>
          <w:bCs/>
        </w:rPr>
        <w:t>Symétrie</w:t>
      </w:r>
    </w:p>
    <w:p w14:paraId="1D13566E" w14:textId="77777777" w:rsidR="0084489F" w:rsidRDefault="00110FE6">
      <w:pPr>
        <w:pStyle w:val="BodyText"/>
      </w:pPr>
      <w:r>
        <w:t xml:space="preserve">La symétrie (définie selon des principes mathématiques et logiques) signifie qu’une </w:t>
      </w:r>
      <w:hyperlink w:anchor="terminologie-propriete">
        <w:r>
          <w:rPr>
            <w:rStyle w:val="Hyperlink"/>
          </w:rPr>
          <w:t>propriété</w:t>
        </w:r>
      </w:hyperlink>
      <w:r>
        <w:t xml:space="preserve"> </w:t>
      </w:r>
      <w:r>
        <w:rPr>
          <w:rStyle w:val="VerbatimChar"/>
        </w:rPr>
        <w:t>P</w:t>
      </w:r>
      <w:r>
        <w:t xml:space="preserve"> est symétrique si son </w:t>
      </w:r>
      <w:hyperlink w:anchor="terminologie-domaine">
        <w:r>
          <w:rPr>
            <w:rStyle w:val="Hyperlink"/>
          </w:rPr>
          <w:t>domaine</w:t>
        </w:r>
      </w:hyperlink>
      <w:r>
        <w:t xml:space="preserve"> et sa </w:t>
      </w:r>
      <w:hyperlink w:anchor="terminologie-portee">
        <w:r>
          <w:rPr>
            <w:rStyle w:val="Hyperlink"/>
          </w:rPr>
          <w:t>portée</w:t>
        </w:r>
      </w:hyperlink>
      <w:r>
        <w:t xml:space="preserve"> sont la même </w:t>
      </w:r>
      <w:hyperlink w:anchor="terminologie-classe">
        <w:r>
          <w:rPr>
            <w:rStyle w:val="Hyperlink"/>
          </w:rPr>
          <w:t>classe</w:t>
        </w:r>
      </w:hyperlink>
      <w:r>
        <w:t xml:space="preserve">, et que pour toutes les </w:t>
      </w:r>
      <w:hyperlink w:anchor="terminologie-instance">
        <w:r>
          <w:rPr>
            <w:rStyle w:val="Hyperlink"/>
          </w:rPr>
          <w:t>instances</w:t>
        </w:r>
      </w:hyperlink>
      <w:r>
        <w:t xml:space="preserve"> </w:t>
      </w:r>
      <w:r>
        <w:rPr>
          <w:rStyle w:val="VerbatimChar"/>
        </w:rPr>
        <w:t>x, y</w:t>
      </w:r>
      <w:r>
        <w:t xml:space="preserve"> de cette classe si </w:t>
      </w:r>
      <w:r>
        <w:rPr>
          <w:rStyle w:val="VerbatimChar"/>
        </w:rPr>
        <w:t>x</w:t>
      </w:r>
      <w:r>
        <w:t xml:space="preserve"> est relié par </w:t>
      </w:r>
      <w:r>
        <w:rPr>
          <w:rStyle w:val="VerbatimChar"/>
        </w:rPr>
        <w:t>P</w:t>
      </w:r>
      <w:r>
        <w:t xml:space="preserve"> à </w:t>
      </w:r>
      <w:r>
        <w:rPr>
          <w:rStyle w:val="VerbatimChar"/>
        </w:rPr>
        <w:t>y</w:t>
      </w:r>
      <w:r>
        <w:t xml:space="preserve">, alors </w:t>
      </w:r>
      <w:r>
        <w:rPr>
          <w:rStyle w:val="VerbatimChar"/>
        </w:rPr>
        <w:t>y</w:t>
      </w:r>
      <w:r>
        <w:t xml:space="preserve"> est relié par </w:t>
      </w:r>
      <w:r>
        <w:rPr>
          <w:rStyle w:val="VerbatimChar"/>
        </w:rPr>
        <w:t>P</w:t>
      </w:r>
      <w:r>
        <w:t xml:space="preserve"> à </w:t>
      </w:r>
      <w:r>
        <w:rPr>
          <w:rStyle w:val="VerbatimChar"/>
        </w:rPr>
        <w:t>x</w:t>
      </w:r>
      <w:r>
        <w:t xml:space="preserve">. L’intention de la propriété (telle qu’elle est établie dans sa </w:t>
      </w:r>
      <w:hyperlink w:anchor="terminologie-note-dapplication">
        <w:r>
          <w:rPr>
            <w:rStyle w:val="Hyperlink"/>
          </w:rPr>
          <w:t>note d’application</w:t>
        </w:r>
      </w:hyperlink>
      <w:r>
        <w:t xml:space="preserve">) détermine si elle est symétrique ou non. Un exemple de propriété symétrique est </w:t>
      </w:r>
      <w:r>
        <w:rPr>
          <w:rStyle w:val="VerbatimChar"/>
        </w:rPr>
        <w:t>E53_Lieu</w:t>
      </w:r>
      <w:r>
        <w:t xml:space="preserve">. </w:t>
      </w:r>
      <w:r>
        <w:rPr>
          <w:rStyle w:val="VerbatimChar"/>
        </w:rPr>
        <w:t>P122_est_limitrophe_de</w:t>
      </w:r>
      <w:r>
        <w:t xml:space="preserve"> : </w:t>
      </w:r>
      <w:r>
        <w:rPr>
          <w:rStyle w:val="VerbatimChar"/>
        </w:rPr>
        <w:t>E53_Lieu</w:t>
      </w:r>
      <w:r>
        <w:t xml:space="preserve">. Les noms de propriétés symétriques </w:t>
      </w:r>
      <w:r>
        <w:lastRenderedPageBreak/>
        <w:t>n’ont pas de forme parenthétique, car les lire depuis la portée vers le domaine revient au même que les lire depuis le domaine vers la portée.</w:t>
      </w:r>
    </w:p>
    <w:p w14:paraId="09E78E42" w14:textId="77777777" w:rsidR="0084489F" w:rsidRDefault="00110FE6">
      <w:pPr>
        <w:pStyle w:val="BlockText"/>
      </w:pPr>
      <w:r>
        <w:rPr>
          <w:b/>
          <w:bCs/>
          <w:i/>
          <w:iCs/>
        </w:rPr>
        <w:t>Note de traduction</w:t>
      </w:r>
    </w:p>
    <w:p w14:paraId="13493AB8" w14:textId="77777777" w:rsidR="0084489F" w:rsidRDefault="00110FE6">
      <w:pPr>
        <w:pStyle w:val="BlockText"/>
      </w:pPr>
      <w:r>
        <w:rPr>
          <w:b/>
          <w:bCs/>
          <w:i/>
          <w:iCs/>
        </w:rPr>
        <w:t>Références</w:t>
      </w:r>
    </w:p>
    <w:p w14:paraId="6D131799" w14:textId="77777777" w:rsidR="0084489F" w:rsidRDefault="0084489F">
      <w:pPr>
        <w:pStyle w:val="FirstParagraph"/>
      </w:pPr>
      <w:bookmarkStart w:id="49" w:name="terminologie-reflexivite"/>
      <w:bookmarkEnd w:id="49"/>
    </w:p>
    <w:p w14:paraId="107D32E9" w14:textId="77777777" w:rsidR="0084489F" w:rsidRDefault="00110FE6">
      <w:pPr>
        <w:pStyle w:val="BodyText"/>
      </w:pPr>
      <w:r>
        <w:rPr>
          <w:b/>
          <w:bCs/>
        </w:rPr>
        <w:t>Réflexivité</w:t>
      </w:r>
    </w:p>
    <w:p w14:paraId="2E16BE88" w14:textId="77777777" w:rsidR="0084489F" w:rsidRDefault="00110FE6">
      <w:pPr>
        <w:pStyle w:val="BodyText"/>
      </w:pPr>
      <w:r>
        <w:t xml:space="preserve">La réflexivité (définie selon des principes mathématiques et logiques standards) signifie qu’une </w:t>
      </w:r>
      <w:hyperlink w:anchor="terminologie-propriete">
        <w:r>
          <w:rPr>
            <w:rStyle w:val="Hyperlink"/>
          </w:rPr>
          <w:t>propriété</w:t>
        </w:r>
      </w:hyperlink>
      <w:r>
        <w:t xml:space="preserve"> </w:t>
      </w:r>
      <w:r>
        <w:rPr>
          <w:rStyle w:val="VerbatimChar"/>
        </w:rPr>
        <w:t>P</w:t>
      </w:r>
      <w:r>
        <w:t xml:space="preserve"> est réflexive si son </w:t>
      </w:r>
      <w:hyperlink w:anchor="terminologie-domaine">
        <w:r>
          <w:rPr>
            <w:rStyle w:val="Hyperlink"/>
          </w:rPr>
          <w:t>domaine</w:t>
        </w:r>
      </w:hyperlink>
      <w:r>
        <w:t xml:space="preserve"> et sa </w:t>
      </w:r>
      <w:hyperlink w:anchor="terminologie-portee">
        <w:r>
          <w:rPr>
            <w:rStyle w:val="Hyperlink"/>
          </w:rPr>
          <w:t>portée</w:t>
        </w:r>
      </w:hyperlink>
      <w:r>
        <w:t xml:space="preserve"> sont la même </w:t>
      </w:r>
      <w:hyperlink w:anchor="terminologie-classe">
        <w:r>
          <w:rPr>
            <w:rStyle w:val="Hyperlink"/>
          </w:rPr>
          <w:t>classe</w:t>
        </w:r>
      </w:hyperlink>
      <w:r>
        <w:t xml:space="preserve">, et que pour toutes les </w:t>
      </w:r>
      <w:hyperlink w:anchor="terminologie-instance">
        <w:r>
          <w:rPr>
            <w:rStyle w:val="Hyperlink"/>
          </w:rPr>
          <w:t>instances</w:t>
        </w:r>
      </w:hyperlink>
      <w:r>
        <w:t xml:space="preserve"> </w:t>
      </w:r>
      <w:r>
        <w:rPr>
          <w:rStyle w:val="VerbatimChar"/>
        </w:rPr>
        <w:t>x</w:t>
      </w:r>
      <w:r>
        <w:t xml:space="preserve"> de cette classe </w:t>
      </w:r>
      <w:r>
        <w:rPr>
          <w:rStyle w:val="VerbatimChar"/>
        </w:rPr>
        <w:t>x</w:t>
      </w:r>
      <w:r>
        <w:t xml:space="preserve"> est relié à lui-même par </w:t>
      </w:r>
      <w:r>
        <w:rPr>
          <w:rStyle w:val="VerbatimChar"/>
        </w:rPr>
        <w:t>P</w:t>
      </w:r>
      <w:r>
        <w:t xml:space="preserve">. L’intention de la propriété (telle qu’elle est établie dans sa note d’application) détermine si elle réflexive ou non. Un exemple de propriété réflexive est </w:t>
      </w:r>
      <w:r>
        <w:rPr>
          <w:rStyle w:val="VerbatimChar"/>
        </w:rPr>
        <w:t>E53_Lieu</w:t>
      </w:r>
      <w:r>
        <w:t xml:space="preserve">. </w:t>
      </w:r>
      <w:r>
        <w:rPr>
          <w:rStyle w:val="VerbatimChar"/>
        </w:rPr>
        <w:t>P89_s’insère_dans (contient)</w:t>
      </w:r>
      <w:r>
        <w:t xml:space="preserve"> : </w:t>
      </w:r>
      <w:r>
        <w:rPr>
          <w:rStyle w:val="VerbatimChar"/>
        </w:rPr>
        <w:t>E53_Lieu</w:t>
      </w:r>
      <w:r>
        <w:t>.</w:t>
      </w:r>
    </w:p>
    <w:p w14:paraId="39982F7D" w14:textId="77777777" w:rsidR="0084489F" w:rsidRDefault="00110FE6">
      <w:pPr>
        <w:pStyle w:val="BlockText"/>
      </w:pPr>
      <w:r>
        <w:rPr>
          <w:b/>
          <w:bCs/>
          <w:i/>
          <w:iCs/>
        </w:rPr>
        <w:t>Note de traduction</w:t>
      </w:r>
    </w:p>
    <w:p w14:paraId="1E629E36" w14:textId="77777777" w:rsidR="0084489F" w:rsidRDefault="00110FE6">
      <w:pPr>
        <w:pStyle w:val="BlockText"/>
      </w:pPr>
      <w:r>
        <w:rPr>
          <w:b/>
          <w:bCs/>
          <w:i/>
          <w:iCs/>
        </w:rPr>
        <w:t>Références</w:t>
      </w:r>
    </w:p>
    <w:p w14:paraId="485C4240" w14:textId="77777777" w:rsidR="0084489F" w:rsidRDefault="0084489F">
      <w:pPr>
        <w:pStyle w:val="BlockText"/>
      </w:pPr>
    </w:p>
    <w:p w14:paraId="166679C7" w14:textId="77777777" w:rsidR="0084489F" w:rsidRDefault="00110FE6">
      <w:pPr>
        <w:pStyle w:val="Heading2"/>
      </w:pPr>
      <w:bookmarkStart w:id="50" w:name="_Toc176864409"/>
      <w:bookmarkStart w:id="51" w:name="application-formelle"/>
      <w:bookmarkEnd w:id="16"/>
      <w:r>
        <w:t>Application formelle</w:t>
      </w:r>
      <w:bookmarkEnd w:id="50"/>
    </w:p>
    <w:p w14:paraId="745A89AD" w14:textId="77777777" w:rsidR="0084489F" w:rsidRDefault="00110FE6">
      <w:pPr>
        <w:pStyle w:val="FirstParagraph"/>
      </w:pPr>
      <w:r w:rsidRPr="246FBB6F">
        <w:rPr>
          <w:lang w:val="fr-FR"/>
        </w:rPr>
        <w:t xml:space="preserve">Le CIDOC CRM est une ontologie (dans le sens informatique du terme) prenant la forme d’un modèle sémantique orienté-objet destiné à la conversion vers des formats lisibles par des machines (p. ex. </w:t>
      </w:r>
      <w:hyperlink r:id="rId64">
        <w:r w:rsidRPr="246FBB6F">
          <w:rPr>
            <w:rStyle w:val="Hyperlink"/>
            <w:lang w:val="fr-FR"/>
          </w:rPr>
          <w:t>RDF Schema</w:t>
        </w:r>
      </w:hyperlink>
      <w:r w:rsidRPr="246FBB6F">
        <w:rPr>
          <w:lang w:val="fr-FR"/>
        </w:rPr>
        <w:t xml:space="preserve">, </w:t>
      </w:r>
      <w:hyperlink r:id="rId65">
        <w:r w:rsidRPr="246FBB6F">
          <w:rPr>
            <w:rStyle w:val="Hyperlink"/>
            <w:lang w:val="fr-FR"/>
          </w:rPr>
          <w:t>OWL</w:t>
        </w:r>
      </w:hyperlink>
      <w:r w:rsidRPr="246FBB6F">
        <w:rPr>
          <w:lang w:val="fr-FR"/>
        </w:rPr>
        <w:t xml:space="preserve">), mais formulé afin d’être compris tant par les informaticiens que par les experts de la documentation. Une documentation conforme au CIDOC CRM peut-être implémentée en utilisant RDF Schema ou OWL, mais aussi des schémas relationnels ou orientés-objets. Les instances de CIDOC CRM peuvent être encodées en RDF, </w:t>
      </w:r>
      <w:hyperlink r:id="rId66">
        <w:r w:rsidRPr="246FBB6F">
          <w:rPr>
            <w:rStyle w:val="Hyperlink"/>
            <w:lang w:val="fr-FR"/>
          </w:rPr>
          <w:t>JSON-LD</w:t>
        </w:r>
      </w:hyperlink>
      <w:r w:rsidRPr="246FBB6F">
        <w:rPr>
          <w:lang w:val="fr-FR"/>
        </w:rPr>
        <w:t xml:space="preserve">, </w:t>
      </w:r>
      <w:hyperlink r:id="rId67">
        <w:r w:rsidRPr="246FBB6F">
          <w:rPr>
            <w:rStyle w:val="Hyperlink"/>
            <w:lang w:val="fr-FR"/>
          </w:rPr>
          <w:t>XML</w:t>
        </w:r>
      </w:hyperlink>
      <w:r w:rsidRPr="246FBB6F">
        <w:rPr>
          <w:lang w:val="fr-FR"/>
        </w:rPr>
        <w:t>, OWL ou d'autres formats.</w:t>
      </w:r>
    </w:p>
    <w:p w14:paraId="5060AF80" w14:textId="77777777" w:rsidR="0084489F" w:rsidRDefault="00110FE6">
      <w:pPr>
        <w:pStyle w:val="BodyText"/>
      </w:pPr>
      <w:r>
        <w:t>Plus spécifiquement, le CIDOC CRM est exprimé en utilisant les primitives de la modélisation sémantique de données. À ce titre, le modèle est constitué de :</w:t>
      </w:r>
    </w:p>
    <w:p w14:paraId="2839B2DE" w14:textId="77777777" w:rsidR="0084489F" w:rsidRDefault="00110FE6" w:rsidP="00806324">
      <w:pPr>
        <w:numPr>
          <w:ilvl w:val="0"/>
          <w:numId w:val="13"/>
        </w:numPr>
      </w:pPr>
      <w:r w:rsidRPr="246FBB6F">
        <w:rPr>
          <w:i/>
          <w:iCs/>
          <w:lang w:val="fr-FR"/>
        </w:rPr>
        <w:t>classes</w:t>
      </w:r>
      <w:r w:rsidRPr="246FBB6F">
        <w:rPr>
          <w:lang w:val="fr-FR"/>
        </w:rPr>
        <w:t xml:space="preserve">, qui représentent des notions générales du domaine du discours comme la classe du CIDOC CRM </w:t>
      </w:r>
      <w:r w:rsidRPr="246FBB6F">
        <w:rPr>
          <w:rStyle w:val="VerbatimChar"/>
          <w:lang w:val="fr-FR"/>
        </w:rPr>
        <w:t>E21_Personne</w:t>
      </w:r>
      <w:r w:rsidRPr="246FBB6F">
        <w:rPr>
          <w:lang w:val="fr-FR"/>
        </w:rPr>
        <w:t xml:space="preserve"> qui représente la notion de personne;</w:t>
      </w:r>
    </w:p>
    <w:p w14:paraId="488FC1AB" w14:textId="77777777" w:rsidR="0084489F" w:rsidRDefault="00110FE6" w:rsidP="00806324">
      <w:pPr>
        <w:numPr>
          <w:ilvl w:val="0"/>
          <w:numId w:val="13"/>
        </w:numPr>
      </w:pPr>
      <w:r w:rsidRPr="246FBB6F">
        <w:rPr>
          <w:i/>
          <w:iCs/>
          <w:lang w:val="fr-FR"/>
        </w:rPr>
        <w:t>propriétés</w:t>
      </w:r>
      <w:r w:rsidRPr="246FBB6F">
        <w:rPr>
          <w:lang w:val="fr-FR"/>
        </w:rPr>
        <w:t xml:space="preserve">, qui représentent les relations binaires liant les instances du domaine du discours, comme la propriété du CIDOC CRM </w:t>
      </w:r>
      <w:r w:rsidRPr="246FBB6F">
        <w:rPr>
          <w:rStyle w:val="VerbatimChar"/>
          <w:lang w:val="fr-FR"/>
        </w:rPr>
        <w:t>P152_a_pour_parent (est_le_parent_de)</w:t>
      </w:r>
      <w:r w:rsidRPr="246FBB6F">
        <w:rPr>
          <w:lang w:val="fr-FR"/>
        </w:rPr>
        <w:t xml:space="preserve"> qui relie une personne à l'un de ses parents;</w:t>
      </w:r>
    </w:p>
    <w:p w14:paraId="4E05A0DA" w14:textId="77777777" w:rsidR="0084489F" w:rsidRDefault="00110FE6" w:rsidP="00806324">
      <w:pPr>
        <w:numPr>
          <w:ilvl w:val="0"/>
          <w:numId w:val="13"/>
        </w:numPr>
      </w:pPr>
      <w:r w:rsidRPr="246FBB6F">
        <w:rPr>
          <w:i/>
          <w:iCs/>
          <w:lang w:val="fr-FR"/>
        </w:rPr>
        <w:t>propriétés de propriétés</w:t>
      </w:r>
      <w:r w:rsidRPr="246FBB6F">
        <w:rPr>
          <w:lang w:val="fr-FR"/>
        </w:rPr>
        <w:t xml:space="preserve">, comme la propriété </w:t>
      </w:r>
      <w:r w:rsidRPr="246FBB6F">
        <w:rPr>
          <w:rStyle w:val="VerbatimChar"/>
          <w:lang w:val="fr-FR"/>
        </w:rPr>
        <w:t>P14.1_dans_le_rôle_de</w:t>
      </w:r>
      <w:r w:rsidRPr="246FBB6F">
        <w:rPr>
          <w:lang w:val="fr-FR"/>
        </w:rPr>
        <w:t xml:space="preserve"> dérivée de la propriété du CIDOC CRM </w:t>
      </w:r>
      <w:r w:rsidRPr="246FBB6F">
        <w:rPr>
          <w:rStyle w:val="VerbatimChar"/>
          <w:lang w:val="fr-FR"/>
        </w:rPr>
        <w:t>P14_a_été_effectué_par (a_effectué)</w:t>
      </w:r>
      <w:r w:rsidRPr="246FBB6F">
        <w:rPr>
          <w:lang w:val="fr-FR"/>
        </w:rPr>
        <w:t xml:space="preserve"> (voir Des Types). Celles-ci n'apparaissent pas dans la hiérarchie des propriétés; elles sont plutôt incluses dans la déclaration de leur propriété source et mentionnées dans les déclarations de classe. Elles ont toutes la quantification implicite « plusieurs à plusieurs » (voir Quantificateurs de propriétés).</w:t>
      </w:r>
    </w:p>
    <w:p w14:paraId="48F89BF8" w14:textId="77777777" w:rsidR="0084489F" w:rsidRDefault="00110FE6">
      <w:pPr>
        <w:pStyle w:val="FirstParagraph"/>
      </w:pPr>
      <w:r w:rsidRPr="246FBB6F">
        <w:rPr>
          <w:lang w:val="fr-FR"/>
        </w:rPr>
        <w:t>La définition présentée ici du CIDOC CRM est complète, bien qu’elle demeure une présentation intentionnellement concise et succincte de ses 81 classes et 160 propriétés uniques. Celle-ci n’a donc pas pour objectif de décliner l’héritage des propriétés par sous-classes à travers la hiérarchie des classes (ce qui exigerait la déclaration de plusieurs milliers de propriétés plutôt que de 160). Par contre, cette définition contient toute l’information nécessaire à l’inférence et à la génération automatique d’une déclaration complète des propriétés, ce qui inclut les propriétés héritées.</w:t>
      </w:r>
    </w:p>
    <w:p w14:paraId="04844B98" w14:textId="77777777" w:rsidR="0084489F" w:rsidRPr="008C0D99" w:rsidRDefault="00110FE6">
      <w:pPr>
        <w:pStyle w:val="BlockText"/>
        <w:rPr>
          <w:lang w:val="en-CA"/>
        </w:rPr>
      </w:pPr>
      <w:r w:rsidRPr="008C0D99">
        <w:rPr>
          <w:b/>
          <w:bCs/>
          <w:i/>
          <w:iCs/>
          <w:lang w:val="en-CA"/>
        </w:rPr>
        <w:t>Note de traduction</w:t>
      </w:r>
    </w:p>
    <w:p w14:paraId="6254B92B" w14:textId="77777777" w:rsidR="0084489F" w:rsidRPr="008C0D99" w:rsidRDefault="00110FE6" w:rsidP="004B7BCB">
      <w:pPr>
        <w:pStyle w:val="BlockText"/>
        <w:keepNext/>
        <w:ind w:left="475" w:right="475"/>
        <w:rPr>
          <w:lang w:val="en-CA"/>
        </w:rPr>
      </w:pPr>
      <w:r w:rsidRPr="008C0D99">
        <w:rPr>
          <w:b/>
          <w:bCs/>
          <w:i/>
          <w:iCs/>
          <w:lang w:val="en-CA"/>
        </w:rPr>
        <w:lastRenderedPageBreak/>
        <w:t>Références</w:t>
      </w:r>
    </w:p>
    <w:p w14:paraId="6750943D" w14:textId="77777777" w:rsidR="0084489F" w:rsidRDefault="00110FE6" w:rsidP="004B7BCB">
      <w:pPr>
        <w:pStyle w:val="BlockText"/>
        <w:keepNext/>
        <w:ind w:left="475" w:right="475"/>
      </w:pPr>
      <w:r w:rsidRPr="008C0D99">
        <w:rPr>
          <w:lang w:val="en-CA"/>
        </w:rPr>
        <w:t xml:space="preserve">JSON-LD Working Group. « JSON-LD - JSON for Linking Data ». </w:t>
      </w:r>
      <w:r>
        <w:t>JSON-LD, 16 janvier 2014.</w:t>
      </w:r>
      <w:hyperlink r:id="rId68">
        <w:r>
          <w:rPr>
            <w:rStyle w:val="Hyperlink"/>
          </w:rPr>
          <w:t xml:space="preserve"> </w:t>
        </w:r>
      </w:hyperlink>
      <w:hyperlink r:id="rId69">
        <w:r>
          <w:rPr>
            <w:rStyle w:val="Hyperlink"/>
          </w:rPr>
          <w:t>https://json-ld.org/</w:t>
        </w:r>
      </w:hyperlink>
      <w:r>
        <w:t>.</w:t>
      </w:r>
    </w:p>
    <w:p w14:paraId="1953DE66" w14:textId="77777777" w:rsidR="0084489F" w:rsidRPr="008C0D99" w:rsidRDefault="00110FE6">
      <w:pPr>
        <w:pStyle w:val="BlockText"/>
        <w:rPr>
          <w:lang w:val="en-CA"/>
        </w:rPr>
      </w:pPr>
      <w:r w:rsidRPr="008C0D99">
        <w:rPr>
          <w:lang w:val="en-CA"/>
        </w:rPr>
        <w:t xml:space="preserve">OWL Working Group. « OWL - Semantic Web Standards ». </w:t>
      </w:r>
      <w:r>
        <w:t>Ontologie. Cambridge, USA-MA: World Wide Web Consortium (W3C), 11 décembre 2012.</w:t>
      </w:r>
      <w:hyperlink r:id="rId70">
        <w:r>
          <w:rPr>
            <w:rStyle w:val="Hyperlink"/>
          </w:rPr>
          <w:t xml:space="preserve"> </w:t>
        </w:r>
      </w:hyperlink>
      <w:hyperlink r:id="rId71">
        <w:r w:rsidRPr="008C0D99">
          <w:rPr>
            <w:rStyle w:val="Hyperlink"/>
            <w:lang w:val="en-CA"/>
          </w:rPr>
          <w:t>https://www.w3.org/OWL/</w:t>
        </w:r>
      </w:hyperlink>
      <w:r w:rsidRPr="008C0D99">
        <w:rPr>
          <w:lang w:val="en-CA"/>
        </w:rPr>
        <w:t>.</w:t>
      </w:r>
    </w:p>
    <w:p w14:paraId="4187BAA8" w14:textId="77777777" w:rsidR="0084489F" w:rsidRPr="008C0D99" w:rsidRDefault="00110FE6">
      <w:pPr>
        <w:pStyle w:val="BlockText"/>
        <w:rPr>
          <w:lang w:val="en-CA"/>
        </w:rPr>
      </w:pPr>
      <w:r w:rsidRPr="008C0D99">
        <w:rPr>
          <w:lang w:val="en-CA"/>
        </w:rPr>
        <w:t xml:space="preserve">RDF Working Group. « RDF Schema 1.1 ». Modèle. Cambridge, USA-MA: World Wide Web Consortium (W3C), 25 février 2014. </w:t>
      </w:r>
      <w:hyperlink r:id="rId72">
        <w:r w:rsidRPr="008C0D99">
          <w:rPr>
            <w:rStyle w:val="Hyperlink"/>
            <w:lang w:val="en-CA"/>
          </w:rPr>
          <w:t>https://www.w3.org/TR/rdf11-schema/</w:t>
        </w:r>
      </w:hyperlink>
      <w:r w:rsidRPr="008C0D99">
        <w:rPr>
          <w:lang w:val="en-CA"/>
        </w:rPr>
        <w:t>.</w:t>
      </w:r>
    </w:p>
    <w:p w14:paraId="0F10A370" w14:textId="77777777" w:rsidR="0084489F" w:rsidRDefault="00110FE6">
      <w:pPr>
        <w:pStyle w:val="BlockText"/>
      </w:pPr>
      <w:r w:rsidRPr="008C0D99">
        <w:rPr>
          <w:lang w:val="en-CA"/>
        </w:rPr>
        <w:t>XML Working Group. « Extensible Markup Language (XML) ». World Wide Web Consortium (W3C), 11 octobre 2016.</w:t>
      </w:r>
      <w:hyperlink r:id="rId73">
        <w:r w:rsidRPr="008C0D99">
          <w:rPr>
            <w:rStyle w:val="Hyperlink"/>
            <w:lang w:val="en-CA"/>
          </w:rPr>
          <w:t xml:space="preserve"> </w:t>
        </w:r>
      </w:hyperlink>
      <w:hyperlink r:id="rId74">
        <w:r>
          <w:rPr>
            <w:rStyle w:val="Hyperlink"/>
          </w:rPr>
          <w:t>https://www.w3.org/XML/</w:t>
        </w:r>
      </w:hyperlink>
      <w:r>
        <w:t>.</w:t>
      </w:r>
    </w:p>
    <w:p w14:paraId="0C5AC274" w14:textId="77777777" w:rsidR="0084489F" w:rsidRDefault="00110FE6">
      <w:pPr>
        <w:pStyle w:val="Heading3"/>
      </w:pPr>
      <w:bookmarkStart w:id="52" w:name="_Toc176864410"/>
      <w:bookmarkStart w:id="53" w:name="convention-dappellation"/>
      <w:r>
        <w:t>Convention d’appellation</w:t>
      </w:r>
      <w:bookmarkEnd w:id="52"/>
    </w:p>
    <w:p w14:paraId="10E2898D" w14:textId="77777777" w:rsidR="0084489F" w:rsidRDefault="00110FE6">
      <w:pPr>
        <w:pStyle w:val="FirstParagraph"/>
      </w:pPr>
      <w:r>
        <w:t>La convention suivante a été appliquée :</w:t>
      </w:r>
    </w:p>
    <w:p w14:paraId="5DC39C8B" w14:textId="77777777" w:rsidR="0084489F" w:rsidRDefault="00110FE6" w:rsidP="00806324">
      <w:pPr>
        <w:numPr>
          <w:ilvl w:val="0"/>
          <w:numId w:val="14"/>
        </w:numPr>
      </w:pPr>
      <w:r>
        <w:t xml:space="preserve">Les </w:t>
      </w:r>
      <w:hyperlink w:anchor="terminologie-classe">
        <w:r>
          <w:rPr>
            <w:rStyle w:val="Hyperlink"/>
          </w:rPr>
          <w:t>classes</w:t>
        </w:r>
      </w:hyperlink>
      <w:r>
        <w:t xml:space="preserve"> sont identifiées par des numéros précédés de la lettre majuscule « E » (historiquement, les classes de CIDOC CRM étaient parfois appelées des « entités ») et leurs appellations sont constituées de groupes nominaux, les initiales des noms sont en majuscules. Par exemple, </w:t>
      </w:r>
      <w:r>
        <w:rPr>
          <w:rStyle w:val="VerbatimChar"/>
        </w:rPr>
        <w:t>E63_Début_d'existence</w:t>
      </w:r>
      <w:r>
        <w:t xml:space="preserve"> [n.d.t. Dans la version francophone, les classes sont toujours conjuguées au féminin singulier, p. ex. « une </w:t>
      </w:r>
      <w:r>
        <w:rPr>
          <w:rStyle w:val="VerbatimChar"/>
        </w:rPr>
        <w:t>E63_Début_d'existence</w:t>
      </w:r>
      <w:r>
        <w:t> »].</w:t>
      </w:r>
    </w:p>
    <w:p w14:paraId="345974C9" w14:textId="77777777" w:rsidR="0084489F" w:rsidRDefault="00110FE6" w:rsidP="00806324">
      <w:pPr>
        <w:numPr>
          <w:ilvl w:val="0"/>
          <w:numId w:val="14"/>
        </w:numPr>
      </w:pPr>
      <w:r w:rsidRPr="246FBB6F">
        <w:rPr>
          <w:lang w:val="fr-FR"/>
        </w:rPr>
        <w:t xml:space="preserve">Les </w:t>
      </w:r>
      <w:hyperlink w:anchor="terminologie-propriete">
        <w:r w:rsidRPr="246FBB6F">
          <w:rPr>
            <w:rStyle w:val="Hyperlink"/>
            <w:lang w:val="fr-FR"/>
          </w:rPr>
          <w:t>propriétés</w:t>
        </w:r>
      </w:hyperlink>
      <w:r w:rsidRPr="246FBB6F">
        <w:rPr>
          <w:lang w:val="fr-FR"/>
        </w:rPr>
        <w:t xml:space="preserve"> sont identifiées par des numéros précédés de la lettre majuscule « P » et leurs appellations sont bidirectionnelles et constituées de syntagmes verbaux dont tous les termes sont en minuscules. Les propriétés ayant les caractéristiques d’états utilisent le présent (p. ex. « a pout type »), alors que les propriétés liées à des évènements sont nommées au passé (p. ex. a été effectué par). Par exemple, </w:t>
      </w:r>
      <w:r w:rsidRPr="246FBB6F">
        <w:rPr>
          <w:rStyle w:val="VerbatimChar"/>
          <w:lang w:val="fr-FR"/>
        </w:rPr>
        <w:t>P126_a_employé (a_été_employé_dans)</w:t>
      </w:r>
      <w:r w:rsidRPr="246FBB6F">
        <w:rPr>
          <w:lang w:val="fr-FR"/>
        </w:rPr>
        <w:t xml:space="preserve"> [n.d.t. Dans la version francophone, les propriétés sont toujours conjuguées au féminin singulier, p. ex. « une </w:t>
      </w:r>
      <w:r w:rsidRPr="246FBB6F">
        <w:rPr>
          <w:rStyle w:val="VerbatimChar"/>
          <w:lang w:val="fr-FR"/>
        </w:rPr>
        <w:t>P126_a_employé (a_été_employé_dans)</w:t>
      </w:r>
      <w:r w:rsidRPr="246FBB6F">
        <w:rPr>
          <w:lang w:val="fr-FR"/>
        </w:rPr>
        <w:t> »].</w:t>
      </w:r>
    </w:p>
    <w:p w14:paraId="66E21943" w14:textId="77777777" w:rsidR="0084489F" w:rsidRDefault="00110FE6" w:rsidP="00806324">
      <w:pPr>
        <w:numPr>
          <w:ilvl w:val="0"/>
          <w:numId w:val="14"/>
        </w:numPr>
      </w:pPr>
      <w:r w:rsidRPr="246FBB6F">
        <w:rPr>
          <w:lang w:val="fr-FR"/>
        </w:rPr>
        <w:t xml:space="preserve">Les noms des propriétés devraient être lus dans leur forme non parenthétique lors d’une lecture dirigée depuis le </w:t>
      </w:r>
      <w:hyperlink w:anchor="terminologie-domaine">
        <w:r w:rsidRPr="246FBB6F">
          <w:rPr>
            <w:rStyle w:val="Hyperlink"/>
            <w:lang w:val="fr-FR"/>
          </w:rPr>
          <w:t>domaine</w:t>
        </w:r>
      </w:hyperlink>
      <w:r w:rsidRPr="246FBB6F">
        <w:rPr>
          <w:lang w:val="fr-FR"/>
        </w:rPr>
        <w:t xml:space="preserve"> vers la </w:t>
      </w:r>
      <w:hyperlink w:anchor="terminologie-portee">
        <w:r w:rsidRPr="246FBB6F">
          <w:rPr>
            <w:rStyle w:val="Hyperlink"/>
            <w:lang w:val="fr-FR"/>
          </w:rPr>
          <w:t>portée</w:t>
        </w:r>
      </w:hyperlink>
      <w:r w:rsidRPr="246FBB6F">
        <w:rPr>
          <w:lang w:val="fr-FR"/>
        </w:rPr>
        <w:t xml:space="preserve">, et dans leur forme parenthétique lors d’une lecture dirigée depuis la portée vers le domaine. Lire une propriété depuis la portée vers le domaine équivaut à l’inverse de cette propriété. En adéquation avec les pratiques de notation </w:t>
      </w:r>
      <w:hyperlink r:id="rId75">
        <w:r w:rsidRPr="246FBB6F">
          <w:rPr>
            <w:rStyle w:val="Hyperlink"/>
            <w:lang w:val="fr-FR"/>
          </w:rPr>
          <w:t>OWL</w:t>
        </w:r>
      </w:hyperlink>
      <w:r w:rsidRPr="246FBB6F">
        <w:rPr>
          <w:lang w:val="fr-FR"/>
        </w:rPr>
        <w:t xml:space="preserve"> actuelles, les </w:t>
      </w:r>
      <w:hyperlink w:anchor="terminologie-inverse-de">
        <w:r w:rsidRPr="246FBB6F">
          <w:rPr>
            <w:rStyle w:val="Hyperlink"/>
            <w:lang w:val="fr-FR"/>
          </w:rPr>
          <w:t xml:space="preserve">propriétés inverses </w:t>
        </w:r>
      </w:hyperlink>
      <w:r w:rsidRPr="246FBB6F">
        <w:rPr>
          <w:lang w:val="fr-FR"/>
        </w:rPr>
        <w:t xml:space="preserve">sont identifiées par l’ajout d’un « i » minuscule à la suite du numéro d’identification et de la forme parenthétique complète de la propriété (p. ex. </w:t>
      </w:r>
      <w:r w:rsidRPr="246FBB6F">
        <w:rPr>
          <w:rStyle w:val="VerbatimChar"/>
          <w:lang w:val="fr-FR"/>
        </w:rPr>
        <w:t>P59i_se_situe_sur_ou_dans</w:t>
      </w:r>
      <w:r w:rsidRPr="246FBB6F">
        <w:rPr>
          <w:lang w:val="fr-FR"/>
        </w:rPr>
        <w:t xml:space="preserve"> est la propriété inverse de </w:t>
      </w:r>
      <w:r w:rsidRPr="246FBB6F">
        <w:rPr>
          <w:rStyle w:val="VerbatimChar"/>
          <w:lang w:val="fr-FR"/>
        </w:rPr>
        <w:t>P59_a_pour_section (se_situe_sur_ou_dans)</w:t>
      </w:r>
      <w:r w:rsidRPr="246FBB6F">
        <w:rPr>
          <w:lang w:val="fr-FR"/>
        </w:rPr>
        <w:t>).</w:t>
      </w:r>
    </w:p>
    <w:p w14:paraId="0AEFFBCE" w14:textId="77777777" w:rsidR="0084489F" w:rsidRDefault="00110FE6" w:rsidP="00806324">
      <w:pPr>
        <w:numPr>
          <w:ilvl w:val="0"/>
          <w:numId w:val="14"/>
        </w:numPr>
      </w:pPr>
      <w:r>
        <w:t xml:space="preserve">Les propriétés dont la portée est une </w:t>
      </w:r>
      <w:hyperlink w:anchor="terminologie-sous-classe">
        <w:r>
          <w:rPr>
            <w:rStyle w:val="Hyperlink"/>
          </w:rPr>
          <w:t>sous-classe</w:t>
        </w:r>
      </w:hyperlink>
      <w:r>
        <w:t xml:space="preserve"> de </w:t>
      </w:r>
      <w:r>
        <w:rPr>
          <w:rStyle w:val="VerbatimChar"/>
        </w:rPr>
        <w:t>E59_Valeur_primitive</w:t>
      </w:r>
      <w:r>
        <w:t xml:space="preserve"> (p. ex. </w:t>
      </w:r>
      <w:r>
        <w:rPr>
          <w:rStyle w:val="VerbatimChar"/>
        </w:rPr>
        <w:t>E1_Entité_CRM</w:t>
      </w:r>
      <w:r>
        <w:t xml:space="preserve">. </w:t>
      </w:r>
      <w:r>
        <w:rPr>
          <w:rStyle w:val="VerbatimChar"/>
        </w:rPr>
        <w:t>P3_a_pour_note</w:t>
      </w:r>
      <w:r>
        <w:t xml:space="preserve"> : </w:t>
      </w:r>
      <w:r>
        <w:rPr>
          <w:rStyle w:val="VerbatimChar"/>
        </w:rPr>
        <w:t>E62_Chaîne_de_caractères</w:t>
      </w:r>
      <w:r>
        <w:t>) n’ont pas de forme appellative parenthétique, car la lecture depuis la portée vers le domaine n’est pas porteuse de sens.</w:t>
      </w:r>
    </w:p>
    <w:p w14:paraId="339BC6DC" w14:textId="77777777" w:rsidR="0084489F" w:rsidRDefault="00110FE6" w:rsidP="00806324">
      <w:pPr>
        <w:numPr>
          <w:ilvl w:val="0"/>
          <w:numId w:val="14"/>
        </w:numPr>
      </w:pPr>
      <w:r w:rsidRPr="246FBB6F">
        <w:rPr>
          <w:lang w:val="fr-FR"/>
        </w:rPr>
        <w:t xml:space="preserve">Les propriétés qui ont des domaine et portée identiques sont soit </w:t>
      </w:r>
      <w:hyperlink w:anchor="terminologie-symetrie">
        <w:r w:rsidRPr="246FBB6F">
          <w:rPr>
            <w:rStyle w:val="Hyperlink"/>
            <w:lang w:val="fr-FR"/>
          </w:rPr>
          <w:t>symétriques</w:t>
        </w:r>
      </w:hyperlink>
      <w:r w:rsidRPr="246FBB6F">
        <w:rPr>
          <w:lang w:val="fr-FR"/>
        </w:rPr>
        <w:t xml:space="preserve">, soit </w:t>
      </w:r>
      <w:hyperlink w:anchor="terminologie-transitivite">
        <w:r w:rsidRPr="246FBB6F">
          <w:rPr>
            <w:rStyle w:val="Hyperlink"/>
            <w:lang w:val="fr-FR"/>
          </w:rPr>
          <w:t>transitives</w:t>
        </w:r>
      </w:hyperlink>
      <w:r w:rsidRPr="246FBB6F">
        <w:rPr>
          <w:lang w:val="fr-FR"/>
        </w:rPr>
        <w:t xml:space="preserve">. Instancier une propriété symétrique implique que la relation est applicable lors de la lecture depuis le domaine vers la portée et depuis la portée vers le domaine (p. ex. </w:t>
      </w:r>
      <w:r w:rsidRPr="246FBB6F">
        <w:rPr>
          <w:rStyle w:val="VerbatimChar"/>
          <w:lang w:val="fr-FR"/>
        </w:rPr>
        <w:t>E53_Lieu</w:t>
      </w:r>
      <w:r w:rsidRPr="246FBB6F">
        <w:rPr>
          <w:lang w:val="fr-FR"/>
        </w:rPr>
        <w:t xml:space="preserve">. </w:t>
      </w:r>
      <w:r w:rsidRPr="246FBB6F">
        <w:rPr>
          <w:rStyle w:val="VerbatimChar"/>
          <w:lang w:val="fr-FR"/>
        </w:rPr>
        <w:t>P122_est_limitrophe_de</w:t>
      </w:r>
      <w:r w:rsidRPr="246FBB6F">
        <w:rPr>
          <w:lang w:val="fr-FR"/>
        </w:rPr>
        <w:t xml:space="preserve"> : </w:t>
      </w:r>
      <w:r w:rsidRPr="246FBB6F">
        <w:rPr>
          <w:rStyle w:val="VerbatimChar"/>
          <w:lang w:val="fr-FR"/>
        </w:rPr>
        <w:t>E53_Lieu</w:t>
      </w:r>
      <w:r w:rsidRPr="246FBB6F">
        <w:rPr>
          <w:lang w:val="fr-FR"/>
        </w:rPr>
        <w:t xml:space="preserve">). Les formes appellatives de propriétés symétriques n’ont pas de forme parenthétique, car la lecture depuis la portée vers le domaine équivaut à la lecture depuis le domaine vers la portée. Les propriétés transitives asymétriques (p. ex. </w:t>
      </w:r>
      <w:r w:rsidRPr="246FBB6F">
        <w:rPr>
          <w:rStyle w:val="VerbatimChar"/>
          <w:lang w:val="fr-FR"/>
        </w:rPr>
        <w:t>E4_Période</w:t>
      </w:r>
      <w:r w:rsidRPr="246FBB6F">
        <w:rPr>
          <w:lang w:val="fr-FR"/>
        </w:rPr>
        <w:t xml:space="preserve">. </w:t>
      </w:r>
      <w:r w:rsidRPr="246FBB6F">
        <w:rPr>
          <w:rStyle w:val="VerbatimChar"/>
          <w:lang w:val="fr-FR"/>
        </w:rPr>
        <w:t>P9_comprend (fait_partie_de)</w:t>
      </w:r>
      <w:r w:rsidRPr="246FBB6F">
        <w:rPr>
          <w:lang w:val="fr-FR"/>
        </w:rPr>
        <w:t xml:space="preserve"> : </w:t>
      </w:r>
      <w:r w:rsidRPr="246FBB6F">
        <w:rPr>
          <w:rStyle w:val="VerbatimChar"/>
          <w:lang w:val="fr-FR"/>
        </w:rPr>
        <w:t>E4_Période</w:t>
      </w:r>
      <w:r w:rsidRPr="246FBB6F">
        <w:rPr>
          <w:lang w:val="fr-FR"/>
        </w:rPr>
        <w:t>) ont une forme parenthétique qui porte sur la signification de leur direction inverse.</w:t>
      </w:r>
    </w:p>
    <w:p w14:paraId="7A28A229" w14:textId="77777777" w:rsidR="0084489F" w:rsidRDefault="00110FE6" w:rsidP="00806324">
      <w:pPr>
        <w:numPr>
          <w:ilvl w:val="0"/>
          <w:numId w:val="14"/>
        </w:numPr>
      </w:pPr>
      <w:r>
        <w:t>Le choix des domaines d'une propriétés, et donc de l’ordre de leurs appellations, est établi selon les priorités suivantes :</w:t>
      </w:r>
    </w:p>
    <w:p w14:paraId="03E20099" w14:textId="77777777" w:rsidR="0084489F" w:rsidRDefault="00110FE6" w:rsidP="00806324">
      <w:pPr>
        <w:numPr>
          <w:ilvl w:val="0"/>
          <w:numId w:val="14"/>
        </w:numPr>
      </w:pPr>
      <w:r>
        <w:lastRenderedPageBreak/>
        <w:t>Entités temporelles (</w:t>
      </w:r>
      <w:r>
        <w:rPr>
          <w:rStyle w:val="VerbatimChar"/>
        </w:rPr>
        <w:t>E2_Entité_temporelle</w:t>
      </w:r>
      <w:r>
        <w:t xml:space="preserve"> et ses sous-classes)</w:t>
      </w:r>
    </w:p>
    <w:p w14:paraId="103DB13F" w14:textId="77777777" w:rsidR="0084489F" w:rsidRDefault="00110FE6" w:rsidP="00806324">
      <w:pPr>
        <w:numPr>
          <w:ilvl w:val="0"/>
          <w:numId w:val="14"/>
        </w:numPr>
      </w:pPr>
      <w:r>
        <w:t>Choses (</w:t>
      </w:r>
      <w:r>
        <w:rPr>
          <w:rStyle w:val="VerbatimChar"/>
        </w:rPr>
        <w:t>E70_Chose</w:t>
      </w:r>
      <w:r>
        <w:t xml:space="preserve"> et ses sous-classes)</w:t>
      </w:r>
    </w:p>
    <w:p w14:paraId="29C57230" w14:textId="77777777" w:rsidR="0084489F" w:rsidRDefault="00110FE6" w:rsidP="00806324">
      <w:pPr>
        <w:numPr>
          <w:ilvl w:val="0"/>
          <w:numId w:val="14"/>
        </w:numPr>
      </w:pPr>
      <w:r>
        <w:t>Acteurs (</w:t>
      </w:r>
      <w:r>
        <w:rPr>
          <w:rStyle w:val="VerbatimChar"/>
        </w:rPr>
        <w:t>E39_Actant</w:t>
      </w:r>
      <w:r>
        <w:t xml:space="preserve"> et ses sous-classes)</w:t>
      </w:r>
    </w:p>
    <w:p w14:paraId="16BA6D0A" w14:textId="77777777" w:rsidR="0084489F" w:rsidRDefault="00110FE6" w:rsidP="00806324">
      <w:pPr>
        <w:numPr>
          <w:ilvl w:val="0"/>
          <w:numId w:val="14"/>
        </w:numPr>
      </w:pPr>
      <w:r>
        <w:t>Autres</w:t>
      </w:r>
    </w:p>
    <w:p w14:paraId="08F5C4B2" w14:textId="77777777" w:rsidR="0084489F" w:rsidRDefault="00110FE6" w:rsidP="00806324">
      <w:pPr>
        <w:numPr>
          <w:ilvl w:val="0"/>
          <w:numId w:val="14"/>
        </w:numPr>
      </w:pPr>
      <w:r w:rsidRPr="246FBB6F">
        <w:rPr>
          <w:lang w:val="fr-FR"/>
        </w:rPr>
        <w:t xml:space="preserve">Les propriétés de propriétés sont identifiées par la lettre majuscule « P » suivi du numéro de la propriété source complété par « .1 » et sont nommées de manière unidirectionnelle à l'aide de syntagmes verbaux dont tous les termes sont en minuscules et au présent. Par exemple, la propriété </w:t>
      </w:r>
      <w:r w:rsidRPr="246FBB6F">
        <w:rPr>
          <w:rStyle w:val="VerbatimChar"/>
          <w:lang w:val="fr-FR"/>
        </w:rPr>
        <w:t>P62.1_mode_d’illustration</w:t>
      </w:r>
      <w:r w:rsidRPr="246FBB6F">
        <w:rPr>
          <w:lang w:val="fr-FR"/>
        </w:rPr>
        <w:t xml:space="preserve"> de la propriété </w:t>
      </w:r>
      <w:r w:rsidRPr="246FBB6F">
        <w:rPr>
          <w:rStyle w:val="VerbatimChar"/>
          <w:lang w:val="fr-FR"/>
        </w:rPr>
        <w:t>P62_illustre (est_illustré_par)</w:t>
      </w:r>
      <w:r w:rsidRPr="246FBB6F">
        <w:rPr>
          <w:lang w:val="fr-FR"/>
        </w:rPr>
        <w:t>.</w:t>
      </w:r>
    </w:p>
    <w:p w14:paraId="57878CA5" w14:textId="77777777" w:rsidR="0084489F" w:rsidRDefault="00110FE6">
      <w:pPr>
        <w:pStyle w:val="BlockText"/>
      </w:pPr>
      <w:r>
        <w:rPr>
          <w:b/>
          <w:bCs/>
          <w:i/>
          <w:iCs/>
        </w:rPr>
        <w:t>Note de traduction</w:t>
      </w:r>
    </w:p>
    <w:p w14:paraId="062B87B0" w14:textId="77777777" w:rsidR="0084489F" w:rsidRDefault="00110FE6">
      <w:pPr>
        <w:pStyle w:val="BlockText"/>
      </w:pPr>
      <w:r w:rsidRPr="246FBB6F">
        <w:rPr>
          <w:lang w:val="fr-FR"/>
        </w:rPr>
        <w:t>Le terme « naming convention » est parfois traduit par « convention d’appellation » ou « convention de nommage »; le terme « convention d’appellation » a été privilégié, car il semble davantage utilisé de manière générale (après avoir fait une brève recherche en ligne) et est entériné par Termium.</w:t>
      </w:r>
    </w:p>
    <w:p w14:paraId="4F011413" w14:textId="77777777" w:rsidR="0084489F" w:rsidRPr="008C0D99" w:rsidRDefault="00110FE6">
      <w:pPr>
        <w:pStyle w:val="BlockText"/>
        <w:rPr>
          <w:lang w:val="en-CA"/>
        </w:rPr>
      </w:pPr>
      <w:r w:rsidRPr="008C0D99">
        <w:rPr>
          <w:b/>
          <w:bCs/>
          <w:i/>
          <w:iCs/>
          <w:lang w:val="en-CA"/>
        </w:rPr>
        <w:t>Références</w:t>
      </w:r>
    </w:p>
    <w:p w14:paraId="776BEC06" w14:textId="77777777" w:rsidR="0084489F" w:rsidRDefault="00110FE6">
      <w:pPr>
        <w:pStyle w:val="BlockText"/>
      </w:pPr>
      <w:r w:rsidRPr="008C0D99">
        <w:rPr>
          <w:lang w:val="en-CA"/>
        </w:rPr>
        <w:t xml:space="preserve">OWL Working Group. « OWL - Semantic Web Standards ». </w:t>
      </w:r>
      <w:r>
        <w:t>Ontologie. Cambridge, USA-MA: World Wide Web Consortium (W3C), 11 décembre 2012.</w:t>
      </w:r>
      <w:hyperlink r:id="rId76">
        <w:r>
          <w:rPr>
            <w:rStyle w:val="Hyperlink"/>
          </w:rPr>
          <w:t xml:space="preserve"> </w:t>
        </w:r>
      </w:hyperlink>
      <w:hyperlink r:id="rId77">
        <w:r>
          <w:rPr>
            <w:rStyle w:val="Hyperlink"/>
          </w:rPr>
          <w:t>https://www.w3.org/OWL/</w:t>
        </w:r>
      </w:hyperlink>
      <w:r>
        <w:t>.</w:t>
      </w:r>
    </w:p>
    <w:p w14:paraId="024A9B31" w14:textId="77777777" w:rsidR="0084489F" w:rsidRDefault="00110FE6">
      <w:pPr>
        <w:pStyle w:val="BlockText"/>
      </w:pPr>
      <w:r w:rsidRPr="246FBB6F">
        <w:rPr>
          <w:lang w:val="fr-FR"/>
        </w:rPr>
        <w:t xml:space="preserve">Termium. « Convention Appellation Courriels ». Dans </w:t>
      </w:r>
      <w:r w:rsidRPr="246FBB6F">
        <w:rPr>
          <w:i/>
          <w:iCs/>
          <w:lang w:val="fr-FR"/>
        </w:rPr>
        <w:t>Termium Plus</w:t>
      </w:r>
      <w:r w:rsidRPr="246FBB6F">
        <w:rPr>
          <w:lang w:val="fr-FR"/>
        </w:rPr>
        <w:t>. Ottawa, CA-ON: Gouvernement du Canada, 8 octobre 2009.</w:t>
      </w:r>
      <w:hyperlink r:id="rId78">
        <w:r w:rsidRPr="246FBB6F">
          <w:rPr>
            <w:rStyle w:val="Hyperlink"/>
            <w:lang w:val="fr-FR"/>
          </w:rPr>
          <w:t xml:space="preserve"> </w:t>
        </w:r>
      </w:hyperlink>
      <w:hyperlink r:id="rId79">
        <w:r w:rsidRPr="246FBB6F">
          <w:rPr>
            <w:rStyle w:val="Hyperlink"/>
            <w:lang w:val="fr-FR"/>
          </w:rPr>
          <w:t>https://www.btb.termiumplus.gc.ca/tpv2alpha/alpha-eng.html?lang=eng&amp;i=1&amp;index=frt&amp;srchtxt=CONVENTION%20APPELLATION%20COURRIELS</w:t>
        </w:r>
      </w:hyperlink>
      <w:r w:rsidRPr="246FBB6F">
        <w:rPr>
          <w:lang w:val="fr-FR"/>
        </w:rPr>
        <w:t>.</w:t>
      </w:r>
    </w:p>
    <w:p w14:paraId="71E9187A" w14:textId="77777777" w:rsidR="004B7BCB" w:rsidRPr="004B7BCB" w:rsidRDefault="004B7BCB" w:rsidP="004B7BCB">
      <w:pPr>
        <w:pStyle w:val="BodyText"/>
      </w:pPr>
    </w:p>
    <w:p w14:paraId="033067C5" w14:textId="77777777" w:rsidR="0084489F" w:rsidRDefault="00110FE6">
      <w:pPr>
        <w:pStyle w:val="Heading3"/>
      </w:pPr>
      <w:bookmarkStart w:id="54" w:name="_Toc176864411"/>
      <w:bookmarkStart w:id="55" w:name="de-lheritage-et-de-la-transitivite"/>
      <w:bookmarkEnd w:id="53"/>
      <w:r>
        <w:t>De l’héritage et de la transitivité</w:t>
      </w:r>
      <w:bookmarkEnd w:id="54"/>
    </w:p>
    <w:p w14:paraId="73099030" w14:textId="77777777" w:rsidR="0084489F" w:rsidRDefault="00110FE6">
      <w:pPr>
        <w:pStyle w:val="FirstParagraph"/>
      </w:pPr>
      <w:r w:rsidRPr="246FBB6F">
        <w:rPr>
          <w:lang w:val="fr-FR"/>
        </w:rPr>
        <w:t xml:space="preserve">Le CIDOC CRM est un système de </w:t>
      </w:r>
      <w:hyperlink w:anchor="terminologie-classe">
        <w:r w:rsidRPr="246FBB6F">
          <w:rPr>
            <w:rStyle w:val="Hyperlink"/>
            <w:lang w:val="fr-FR"/>
          </w:rPr>
          <w:t>classe</w:t>
        </w:r>
      </w:hyperlink>
      <w:r w:rsidRPr="246FBB6F">
        <w:rPr>
          <w:lang w:val="fr-FR"/>
        </w:rPr>
        <w:t xml:space="preserve"> dotées </w:t>
      </w:r>
      <w:hyperlink w:anchor="terminologie-heritage">
        <w:r w:rsidRPr="246FBB6F">
          <w:rPr>
            <w:rStyle w:val="Hyperlink"/>
            <w:lang w:val="fr-FR"/>
          </w:rPr>
          <w:t>d’héritage</w:t>
        </w:r>
      </w:hyperlink>
      <w:r w:rsidRPr="246FBB6F">
        <w:rPr>
          <w:lang w:val="fr-FR"/>
        </w:rPr>
        <w:t xml:space="preserve">, de telle manière qu’une </w:t>
      </w:r>
      <w:hyperlink w:anchor="terminologie-propriete">
        <w:r w:rsidRPr="246FBB6F">
          <w:rPr>
            <w:rStyle w:val="Hyperlink"/>
            <w:lang w:val="fr-FR"/>
          </w:rPr>
          <w:t>propriété</w:t>
        </w:r>
      </w:hyperlink>
      <w:r w:rsidRPr="246FBB6F">
        <w:rPr>
          <w:lang w:val="fr-FR"/>
        </w:rPr>
        <w:t xml:space="preserve"> </w:t>
      </w:r>
      <w:r w:rsidRPr="246FBB6F">
        <w:rPr>
          <w:rStyle w:val="VerbatimChar"/>
          <w:lang w:val="fr-FR"/>
        </w:rPr>
        <w:t>P</w:t>
      </w:r>
      <w:r w:rsidRPr="246FBB6F">
        <w:rPr>
          <w:lang w:val="fr-FR"/>
        </w:rPr>
        <w:t xml:space="preserve"> ayant pour </w:t>
      </w:r>
      <w:hyperlink w:anchor="terminologie-domaine">
        <w:r w:rsidRPr="246FBB6F">
          <w:rPr>
            <w:rStyle w:val="Hyperlink"/>
            <w:lang w:val="fr-FR"/>
          </w:rPr>
          <w:t>domaine</w:t>
        </w:r>
      </w:hyperlink>
      <w:r w:rsidRPr="246FBB6F">
        <w:rPr>
          <w:lang w:val="fr-FR"/>
        </w:rPr>
        <w:t xml:space="preserve"> </w:t>
      </w:r>
      <w:r w:rsidRPr="246FBB6F">
        <w:rPr>
          <w:rStyle w:val="VerbatimChar"/>
          <w:lang w:val="fr-FR"/>
        </w:rPr>
        <w:t>A</w:t>
      </w:r>
      <w:r w:rsidRPr="246FBB6F">
        <w:rPr>
          <w:lang w:val="fr-FR"/>
        </w:rPr>
        <w:t xml:space="preserve"> et pour </w:t>
      </w:r>
      <w:hyperlink w:anchor="terminologie-portee">
        <w:r w:rsidRPr="246FBB6F">
          <w:rPr>
            <w:rStyle w:val="Hyperlink"/>
            <w:lang w:val="fr-FR"/>
          </w:rPr>
          <w:t>portée</w:t>
        </w:r>
      </w:hyperlink>
      <w:r w:rsidRPr="246FBB6F">
        <w:rPr>
          <w:lang w:val="fr-FR"/>
        </w:rPr>
        <w:t xml:space="preserve"> </w:t>
      </w:r>
      <w:r w:rsidRPr="246FBB6F">
        <w:rPr>
          <w:rStyle w:val="VerbatimChar"/>
          <w:lang w:val="fr-FR"/>
        </w:rPr>
        <w:t>B</w:t>
      </w:r>
      <w:r w:rsidRPr="246FBB6F">
        <w:rPr>
          <w:lang w:val="fr-FR"/>
        </w:rPr>
        <w:t xml:space="preserve"> sera aussi une propriété potentielle de toutes les </w:t>
      </w:r>
      <w:hyperlink w:anchor="terminologie-sous-classe">
        <w:r w:rsidRPr="246FBB6F">
          <w:rPr>
            <w:rStyle w:val="Hyperlink"/>
            <w:lang w:val="fr-FR"/>
          </w:rPr>
          <w:t>sous-classe</w:t>
        </w:r>
      </w:hyperlink>
      <w:r w:rsidRPr="246FBB6F">
        <w:rPr>
          <w:lang w:val="fr-FR"/>
        </w:rPr>
        <w:t xml:space="preserve">s de </w:t>
      </w:r>
      <w:r w:rsidRPr="246FBB6F">
        <w:rPr>
          <w:rStyle w:val="VerbatimChar"/>
          <w:lang w:val="fr-FR"/>
        </w:rPr>
        <w:t>A</w:t>
      </w:r>
      <w:r w:rsidRPr="246FBB6F">
        <w:rPr>
          <w:lang w:val="fr-FR"/>
        </w:rPr>
        <w:t xml:space="preserve"> et de </w:t>
      </w:r>
      <w:r w:rsidRPr="246FBB6F">
        <w:rPr>
          <w:rStyle w:val="VerbatimChar"/>
          <w:lang w:val="fr-FR"/>
        </w:rPr>
        <w:t>B</w:t>
      </w:r>
      <w:r w:rsidRPr="246FBB6F">
        <w:rPr>
          <w:lang w:val="fr-FR"/>
        </w:rPr>
        <w:t>. Dans la plupart des cas, il y aura une sous-classe commune (</w:t>
      </w:r>
      <w:r w:rsidRPr="246FBB6F">
        <w:rPr>
          <w:rStyle w:val="VerbatimChar"/>
          <w:lang w:val="fr-FR"/>
        </w:rPr>
        <w:t>C</w:t>
      </w:r>
      <w:r w:rsidRPr="246FBB6F">
        <w:rPr>
          <w:lang w:val="fr-FR"/>
        </w:rPr>
        <w:t xml:space="preserve">) de </w:t>
      </w:r>
      <w:r w:rsidRPr="246FBB6F">
        <w:rPr>
          <w:rStyle w:val="VerbatimChar"/>
          <w:lang w:val="fr-FR"/>
        </w:rPr>
        <w:t>A</w:t>
      </w:r>
      <w:r w:rsidRPr="246FBB6F">
        <w:rPr>
          <w:lang w:val="fr-FR"/>
        </w:rPr>
        <w:t xml:space="preserve"> et de </w:t>
      </w:r>
      <w:r w:rsidRPr="246FBB6F">
        <w:rPr>
          <w:rStyle w:val="VerbatimChar"/>
          <w:lang w:val="fr-FR"/>
        </w:rPr>
        <w:t>B</w:t>
      </w:r>
      <w:r w:rsidRPr="246FBB6F">
        <w:rPr>
          <w:lang w:val="fr-FR"/>
        </w:rPr>
        <w:t xml:space="preserve">. Si c’est le cas, une propriété restreinte à </w:t>
      </w:r>
      <w:r w:rsidRPr="246FBB6F">
        <w:rPr>
          <w:rStyle w:val="VerbatimChar"/>
          <w:lang w:val="fr-FR"/>
        </w:rPr>
        <w:t>C</w:t>
      </w:r>
      <w:r w:rsidRPr="246FBB6F">
        <w:rPr>
          <w:lang w:val="fr-FR"/>
        </w:rPr>
        <w:t xml:space="preserve"> (c.-à-d. une propriété ayant </w:t>
      </w:r>
      <w:r w:rsidRPr="246FBB6F">
        <w:rPr>
          <w:rStyle w:val="VerbatimChar"/>
          <w:lang w:val="fr-FR"/>
        </w:rPr>
        <w:t>C</w:t>
      </w:r>
      <w:r w:rsidRPr="246FBB6F">
        <w:rPr>
          <w:lang w:val="fr-FR"/>
        </w:rPr>
        <w:t xml:space="preserve"> pour domaine et pour portée) pourrait être </w:t>
      </w:r>
      <w:hyperlink w:anchor="terminologie-transitivite">
        <w:r w:rsidRPr="246FBB6F">
          <w:rPr>
            <w:rStyle w:val="Hyperlink"/>
            <w:lang w:val="fr-FR"/>
          </w:rPr>
          <w:t>transitive</w:t>
        </w:r>
      </w:hyperlink>
      <w:r w:rsidRPr="246FBB6F">
        <w:rPr>
          <w:lang w:val="fr-FR"/>
        </w:rPr>
        <w:t xml:space="preserve">. Par exemple, un </w:t>
      </w:r>
      <w:r w:rsidRPr="246FBB6F">
        <w:rPr>
          <w:rStyle w:val="VerbatimChar"/>
          <w:lang w:val="fr-FR"/>
        </w:rPr>
        <w:t>E73_Objet_informationnel</w:t>
      </w:r>
      <w:r w:rsidRPr="246FBB6F">
        <w:rPr>
          <w:lang w:val="fr-FR"/>
        </w:rPr>
        <w:t xml:space="preserve"> peut faire partie d’un </w:t>
      </w:r>
      <w:r w:rsidRPr="246FBB6F">
        <w:rPr>
          <w:rStyle w:val="VerbatimChar"/>
          <w:lang w:val="fr-FR"/>
        </w:rPr>
        <w:t>E90_Objet_symbolique</w:t>
      </w:r>
      <w:r w:rsidRPr="246FBB6F">
        <w:rPr>
          <w:lang w:val="fr-FR"/>
        </w:rPr>
        <w:t xml:space="preserve">, de telle sorte qu’un objet informationnel peut s’intégrer à un autre objet informationnel [n.d.t. puisqu’un </w:t>
      </w:r>
      <w:r w:rsidRPr="246FBB6F">
        <w:rPr>
          <w:rStyle w:val="VerbatimChar"/>
          <w:lang w:val="fr-FR"/>
        </w:rPr>
        <w:t>E90_Objet_symbolique</w:t>
      </w:r>
      <w:r w:rsidRPr="246FBB6F">
        <w:rPr>
          <w:lang w:val="fr-FR"/>
        </w:rPr>
        <w:t xml:space="preserve"> est un </w:t>
      </w:r>
      <w:r w:rsidRPr="246FBB6F">
        <w:rPr>
          <w:rStyle w:val="VerbatimChar"/>
          <w:lang w:val="fr-FR"/>
        </w:rPr>
        <w:t>E73_Objet_informationnel</w:t>
      </w:r>
      <w:r w:rsidRPr="246FBB6F">
        <w:rPr>
          <w:lang w:val="fr-FR"/>
        </w:rPr>
        <w:t>].</w:t>
      </w:r>
    </w:p>
    <w:p w14:paraId="50ED64F0" w14:textId="6CDB0949" w:rsidR="0084489F" w:rsidRDefault="00110FE6">
      <w:pPr>
        <w:pStyle w:val="BodyText"/>
      </w:pPr>
      <w:r>
        <w:t xml:space="preserve">Les propriétés transitives sont explicitement indiquées comme telles dans les </w:t>
      </w:r>
      <w:hyperlink w:anchor="terminologie-note-dapplication">
        <w:r>
          <w:rPr>
            <w:rStyle w:val="Hyperlink"/>
          </w:rPr>
          <w:t>notes d’application</w:t>
        </w:r>
      </w:hyperlink>
      <w:r>
        <w:t xml:space="preserve"> du CIDOC CRM, si bien que les propriétés dénuées de cette mention doivent être considérées comme non transitives.</w:t>
      </w:r>
    </w:p>
    <w:p w14:paraId="3E4625ED" w14:textId="77777777" w:rsidR="0084489F" w:rsidRDefault="00110FE6">
      <w:pPr>
        <w:pStyle w:val="BlockText"/>
      </w:pPr>
      <w:r>
        <w:rPr>
          <w:b/>
          <w:bCs/>
          <w:i/>
          <w:iCs/>
        </w:rPr>
        <w:t>Note de traduction</w:t>
      </w:r>
    </w:p>
    <w:p w14:paraId="2429CDAA" w14:textId="77777777" w:rsidR="0084489F" w:rsidRDefault="00110FE6">
      <w:pPr>
        <w:pStyle w:val="BlockText"/>
      </w:pPr>
      <w:r>
        <w:t>Certains paragraphes ont été édités dans la version francophone aux fins de compréhension. Les sections concernées sont indiquées de [n.d.t. texte concerné].</w:t>
      </w:r>
    </w:p>
    <w:p w14:paraId="72C3C10E" w14:textId="77777777" w:rsidR="0084489F" w:rsidRDefault="00110FE6">
      <w:pPr>
        <w:pStyle w:val="BlockText"/>
      </w:pPr>
      <w:r>
        <w:rPr>
          <w:b/>
          <w:bCs/>
          <w:i/>
          <w:iCs/>
        </w:rPr>
        <w:t>Références</w:t>
      </w:r>
    </w:p>
    <w:p w14:paraId="5AD22F2B" w14:textId="77777777" w:rsidR="0084489F" w:rsidRDefault="0084489F">
      <w:pPr>
        <w:pStyle w:val="BlockText"/>
      </w:pPr>
    </w:p>
    <w:p w14:paraId="4C6872D7" w14:textId="77777777" w:rsidR="0084489F" w:rsidRDefault="00110FE6">
      <w:pPr>
        <w:pStyle w:val="Heading3"/>
      </w:pPr>
      <w:bookmarkStart w:id="56" w:name="_Toc176864412"/>
      <w:bookmarkStart w:id="57" w:name="des-raccourcis"/>
      <w:bookmarkEnd w:id="55"/>
      <w:r>
        <w:t>Des raccourcis</w:t>
      </w:r>
      <w:bookmarkEnd w:id="56"/>
    </w:p>
    <w:p w14:paraId="5E0A835C" w14:textId="77777777" w:rsidR="0084489F" w:rsidRDefault="00110FE6">
      <w:pPr>
        <w:pStyle w:val="FirstParagraph"/>
      </w:pPr>
      <w:r w:rsidRPr="246FBB6F">
        <w:rPr>
          <w:lang w:val="fr-FR"/>
        </w:rPr>
        <w:t xml:space="preserve">Certaines </w:t>
      </w:r>
      <w:hyperlink w:anchor="terminologie-propriete">
        <w:r w:rsidRPr="246FBB6F">
          <w:rPr>
            <w:rStyle w:val="Hyperlink"/>
            <w:lang w:val="fr-FR"/>
          </w:rPr>
          <w:t>propriétés</w:t>
        </w:r>
      </w:hyperlink>
      <w:r w:rsidRPr="246FBB6F">
        <w:rPr>
          <w:lang w:val="fr-FR"/>
        </w:rPr>
        <w:t xml:space="preserve"> sont déclarées être des </w:t>
      </w:r>
      <w:hyperlink w:anchor="terminologie-raccourci">
        <w:r w:rsidRPr="246FBB6F">
          <w:rPr>
            <w:rStyle w:val="Hyperlink"/>
            <w:lang w:val="fr-FR"/>
          </w:rPr>
          <w:t>raccourcis</w:t>
        </w:r>
      </w:hyperlink>
      <w:r w:rsidRPr="246FBB6F">
        <w:rPr>
          <w:lang w:val="fr-FR"/>
        </w:rPr>
        <w:t xml:space="preserve"> de chemins sémantiques plus exhaustifs et détaillés qui relient les mêmes </w:t>
      </w:r>
      <w:hyperlink w:anchor="terminologie-classe">
        <w:r w:rsidRPr="246FBB6F">
          <w:rPr>
            <w:rStyle w:val="Hyperlink"/>
            <w:lang w:val="fr-FR"/>
          </w:rPr>
          <w:t>classes</w:t>
        </w:r>
      </w:hyperlink>
      <w:r w:rsidRPr="246FBB6F">
        <w:rPr>
          <w:lang w:val="fr-FR"/>
        </w:rPr>
        <w:t xml:space="preserve"> de </w:t>
      </w:r>
      <w:hyperlink w:anchor="terminologie-domaine">
        <w:r w:rsidRPr="246FBB6F">
          <w:rPr>
            <w:rStyle w:val="Hyperlink"/>
            <w:lang w:val="fr-FR"/>
          </w:rPr>
          <w:t>domaine</w:t>
        </w:r>
      </w:hyperlink>
      <w:r w:rsidRPr="246FBB6F">
        <w:rPr>
          <w:lang w:val="fr-FR"/>
        </w:rPr>
        <w:t xml:space="preserve"> et de </w:t>
      </w:r>
      <w:hyperlink w:anchor="terminologie-portee">
        <w:r w:rsidRPr="246FBB6F">
          <w:rPr>
            <w:rStyle w:val="Hyperlink"/>
            <w:lang w:val="fr-FR"/>
          </w:rPr>
          <w:t>portée</w:t>
        </w:r>
      </w:hyperlink>
      <w:r w:rsidRPr="246FBB6F">
        <w:rPr>
          <w:lang w:val="fr-FR"/>
        </w:rPr>
        <w:t xml:space="preserve"> que la propriété-raccourci, mais utilisent une ou plusieurs classes intermédiaires. Par exemple, la propriété </w:t>
      </w:r>
      <w:r w:rsidRPr="246FBB6F">
        <w:rPr>
          <w:rStyle w:val="VerbatimChar"/>
          <w:lang w:val="fr-FR"/>
        </w:rPr>
        <w:t>E18_Chose_matérielle</w:t>
      </w:r>
      <w:r w:rsidRPr="246FBB6F">
        <w:rPr>
          <w:lang w:val="fr-FR"/>
        </w:rPr>
        <w:t xml:space="preserve">. </w:t>
      </w:r>
      <w:r w:rsidRPr="246FBB6F">
        <w:rPr>
          <w:rStyle w:val="VerbatimChar"/>
          <w:lang w:val="fr-FR"/>
        </w:rPr>
        <w:t>P52_a_pour_propriétaire_actuel (est_propriétaire_actuel_de)</w:t>
      </w:r>
      <w:r w:rsidRPr="246FBB6F">
        <w:rPr>
          <w:lang w:val="fr-FR"/>
        </w:rPr>
        <w:t xml:space="preserve"> : </w:t>
      </w:r>
      <w:r w:rsidRPr="246FBB6F">
        <w:rPr>
          <w:rStyle w:val="VerbatimChar"/>
          <w:lang w:val="fr-FR"/>
        </w:rPr>
        <w:t>E39_Actant</w:t>
      </w:r>
      <w:r w:rsidRPr="246FBB6F">
        <w:rPr>
          <w:lang w:val="fr-FR"/>
        </w:rPr>
        <w:t xml:space="preserve"> est un raccourci du chemin sémantique complet </w:t>
      </w:r>
      <w:r w:rsidRPr="246FBB6F">
        <w:rPr>
          <w:rStyle w:val="VerbatimChar"/>
          <w:lang w:val="fr-FR"/>
        </w:rPr>
        <w:t>E18_Chose_matérielle</w:t>
      </w:r>
      <w:r w:rsidRPr="246FBB6F">
        <w:rPr>
          <w:lang w:val="fr-FR"/>
        </w:rPr>
        <w:t xml:space="preserve"> suivi de </w:t>
      </w:r>
      <w:r w:rsidRPr="246FBB6F">
        <w:rPr>
          <w:rStyle w:val="VerbatimChar"/>
          <w:lang w:val="fr-FR"/>
        </w:rPr>
        <w:t>E8_Acquisition</w:t>
      </w:r>
      <w:r w:rsidRPr="246FBB6F">
        <w:rPr>
          <w:lang w:val="fr-FR"/>
        </w:rPr>
        <w:t xml:space="preserve"> et finalement </w:t>
      </w:r>
      <w:r w:rsidRPr="246FBB6F">
        <w:rPr>
          <w:rStyle w:val="VerbatimChar"/>
          <w:lang w:val="fr-FR"/>
        </w:rPr>
        <w:t>E39_Actant</w:t>
      </w:r>
      <w:r w:rsidRPr="246FBB6F">
        <w:rPr>
          <w:lang w:val="fr-FR"/>
        </w:rPr>
        <w:t xml:space="preserve">. </w:t>
      </w:r>
      <w:r w:rsidRPr="246FBB6F">
        <w:rPr>
          <w:lang w:val="fr-FR"/>
        </w:rPr>
        <w:lastRenderedPageBreak/>
        <w:t xml:space="preserve">Une </w:t>
      </w:r>
      <w:hyperlink w:anchor="terminologie-instance">
        <w:r w:rsidRPr="246FBB6F">
          <w:rPr>
            <w:rStyle w:val="Hyperlink"/>
            <w:lang w:val="fr-FR"/>
          </w:rPr>
          <w:t>instance</w:t>
        </w:r>
      </w:hyperlink>
      <w:r w:rsidRPr="246FBB6F">
        <w:rPr>
          <w:lang w:val="fr-FR"/>
        </w:rPr>
        <w:t xml:space="preserve"> du chemin sémantique complet implique toujours une instance de la propriété-raccourci bien que l’inverse ne soit pas toujours vrai (c.-à-d. qu’une instance du chemin sémantique complet ne peut pas toujours être déduite d’une instance de la propriété-raccourci, en particulier dans le cadre d’une base de connaissances précise).</w:t>
      </w:r>
    </w:p>
    <w:p w14:paraId="545E57C8" w14:textId="77777777" w:rsidR="0084489F" w:rsidRDefault="00110FE6">
      <w:pPr>
        <w:pStyle w:val="BodyText"/>
      </w:pPr>
      <w:r>
        <w:t xml:space="preserve">La classe </w:t>
      </w:r>
      <w:r>
        <w:rPr>
          <w:rStyle w:val="VerbatimChar"/>
        </w:rPr>
        <w:t>E13_Assignation_d'attribut</w:t>
      </w:r>
      <w:r>
        <w:t xml:space="preserve"> peut être utilisée pour documenter ce qui a mené à l’attribution d’une propriété (notamment en ce qui a trait à l’opinion du responsable qui a pris la décision de cette attribution), et ce même dans le cas de propriétés qui ne seraient pas des raccourcis.</w:t>
      </w:r>
    </w:p>
    <w:p w14:paraId="425A7B0F" w14:textId="77777777" w:rsidR="0084489F" w:rsidRDefault="00110FE6">
      <w:pPr>
        <w:pStyle w:val="BlockText"/>
      </w:pPr>
      <w:r>
        <w:rPr>
          <w:b/>
          <w:bCs/>
          <w:i/>
          <w:iCs/>
        </w:rPr>
        <w:t>Note de traduction</w:t>
      </w:r>
    </w:p>
    <w:p w14:paraId="242FBB67" w14:textId="77777777" w:rsidR="0084489F" w:rsidRDefault="00110FE6">
      <w:pPr>
        <w:pStyle w:val="BlockText"/>
      </w:pPr>
      <w:r>
        <w:rPr>
          <w:b/>
          <w:bCs/>
          <w:i/>
          <w:iCs/>
        </w:rPr>
        <w:t>Références</w:t>
      </w:r>
    </w:p>
    <w:p w14:paraId="563526CC" w14:textId="77777777" w:rsidR="0084489F" w:rsidRDefault="0084489F">
      <w:pPr>
        <w:pStyle w:val="BlockText"/>
      </w:pPr>
    </w:p>
    <w:p w14:paraId="501E4BC8" w14:textId="77777777" w:rsidR="0084489F" w:rsidRDefault="00110FE6">
      <w:pPr>
        <w:pStyle w:val="Heading3"/>
      </w:pPr>
      <w:bookmarkStart w:id="58" w:name="_Toc176864413"/>
      <w:bookmarkStart w:id="59" w:name="Xeb5c43bab63a51231d7b1aba1b4d7de550858b2"/>
      <w:bookmarkEnd w:id="57"/>
      <w:r>
        <w:t>Des expressions logiques utilisées dans le CIDOC CRM</w:t>
      </w:r>
      <w:bookmarkEnd w:id="58"/>
    </w:p>
    <w:p w14:paraId="354E122C" w14:textId="77777777" w:rsidR="0084489F" w:rsidRDefault="00110FE6">
      <w:pPr>
        <w:pStyle w:val="FirstParagraph"/>
      </w:pPr>
      <w:r>
        <w:t>Les définitions du CIDOC CRM sont annotées d’axiomes qui fournissent de l’information sur l’expression formelle de l’ontologie. Cette section introduit les assomptions qui sous-tendent l’expression logique du CIDOC CRM (pour une revue détaillée de l’expression logique de la modélisation sémantique de données, voir (Reiter, 1984)).</w:t>
      </w:r>
    </w:p>
    <w:p w14:paraId="0F1BE5A6" w14:textId="77777777" w:rsidR="0084489F" w:rsidRDefault="00110FE6">
      <w:pPr>
        <w:pStyle w:val="BodyText"/>
      </w:pPr>
      <w:r>
        <w:t xml:space="preserve">En termes de modélisation de données sémantiques, les classes et propriétés sont utilisées pour exprimer des connaissances ontologiques par le biais de contraintes telles que des liens de </w:t>
      </w:r>
      <w:hyperlink w:anchor="terminologie-sous-classe">
        <w:r>
          <w:rPr>
            <w:rStyle w:val="Hyperlink"/>
          </w:rPr>
          <w:t>sous-classe</w:t>
        </w:r>
      </w:hyperlink>
      <w:r>
        <w:t>/</w:t>
      </w:r>
      <w:hyperlink w:anchor="terminologie-sous-propriete">
        <w:r>
          <w:rPr>
            <w:rStyle w:val="Hyperlink"/>
          </w:rPr>
          <w:t>sous-propriété</w:t>
        </w:r>
      </w:hyperlink>
      <w:r>
        <w:t xml:space="preserve"> (p. ex. </w:t>
      </w:r>
      <w:r>
        <w:rPr>
          <w:rStyle w:val="VerbatimChar"/>
        </w:rPr>
        <w:t>E21_Personne</w:t>
      </w:r>
      <w:r>
        <w:t xml:space="preserve"> est une sous-classe de </w:t>
      </w:r>
      <w:r>
        <w:rPr>
          <w:rStyle w:val="VerbatimChar"/>
        </w:rPr>
        <w:t>E20_Objet_biologique</w:t>
      </w:r>
      <w:r>
        <w:t xml:space="preserve">) ou des contraintes de </w:t>
      </w:r>
      <w:hyperlink w:anchor="terminologie-domaine">
        <w:r>
          <w:rPr>
            <w:rStyle w:val="Hyperlink"/>
          </w:rPr>
          <w:t>domaine</w:t>
        </w:r>
      </w:hyperlink>
      <w:r>
        <w:t>/</w:t>
      </w:r>
      <w:hyperlink w:anchor="terminologie-portee">
        <w:r>
          <w:rPr>
            <w:rStyle w:val="Hyperlink"/>
          </w:rPr>
          <w:t>portée</w:t>
        </w:r>
      </w:hyperlink>
      <w:r>
        <w:t xml:space="preserve"> (p. ex. le domaine de </w:t>
      </w:r>
      <w:r>
        <w:rPr>
          <w:rStyle w:val="VerbatimChar"/>
        </w:rPr>
        <w:t>P152_a_pour_parent</w:t>
      </w:r>
      <w:r>
        <w:t xml:space="preserve"> est la classe </w:t>
      </w:r>
      <w:r>
        <w:rPr>
          <w:rStyle w:val="VerbatimChar"/>
        </w:rPr>
        <w:t>E21_Personne</w:t>
      </w:r>
      <w:r>
        <w:t>).</w:t>
      </w:r>
    </w:p>
    <w:p w14:paraId="3C45C59B" w14:textId="77777777" w:rsidR="0084489F" w:rsidRDefault="00110FE6">
      <w:pPr>
        <w:pStyle w:val="BodyText"/>
      </w:pPr>
      <w:r>
        <w:t>Au contraire, la représentation de connaissances sous forme de logique du premier ordre repose sur un langage permettant d’encoder de manière formelle une ontologie. Ce langage peut être mis en correspondance directe avec la modélisation sémantique de données :</w:t>
      </w:r>
    </w:p>
    <w:p w14:paraId="5BBA9CE7" w14:textId="77777777" w:rsidR="0084489F" w:rsidRDefault="00110FE6" w:rsidP="00806324">
      <w:pPr>
        <w:numPr>
          <w:ilvl w:val="0"/>
          <w:numId w:val="15"/>
        </w:numPr>
      </w:pPr>
      <w:r w:rsidRPr="246FBB6F">
        <w:rPr>
          <w:lang w:val="fr-FR"/>
        </w:rPr>
        <w:t xml:space="preserve">les classes sont nommées par des </w:t>
      </w:r>
      <w:r w:rsidRPr="246FBB6F">
        <w:rPr>
          <w:i/>
          <w:iCs/>
          <w:lang w:val="fr-FR"/>
        </w:rPr>
        <w:t>symboles de prédicats unaires</w:t>
      </w:r>
      <w:r w:rsidRPr="246FBB6F">
        <w:rPr>
          <w:lang w:val="fr-FR"/>
        </w:rPr>
        <w:t xml:space="preserve">; par convention, « E21 » est le symbole de prédicat unaire correspondant à la classe </w:t>
      </w:r>
      <w:r w:rsidRPr="246FBB6F">
        <w:rPr>
          <w:rStyle w:val="VerbatimChar"/>
          <w:lang w:val="fr-FR"/>
        </w:rPr>
        <w:t>E21_Personne</w:t>
      </w:r>
      <w:r w:rsidRPr="246FBB6F">
        <w:rPr>
          <w:lang w:val="fr-FR"/>
        </w:rPr>
        <w:t>;</w:t>
      </w:r>
    </w:p>
    <w:p w14:paraId="212242B4" w14:textId="77777777" w:rsidR="0084489F" w:rsidRDefault="00110FE6" w:rsidP="00806324">
      <w:pPr>
        <w:numPr>
          <w:ilvl w:val="0"/>
          <w:numId w:val="15"/>
        </w:numPr>
      </w:pPr>
      <w:r w:rsidRPr="246FBB6F">
        <w:rPr>
          <w:lang w:val="fr-FR"/>
        </w:rPr>
        <w:t xml:space="preserve">les propriétés sont nommées par des </w:t>
      </w:r>
      <w:r w:rsidRPr="246FBB6F">
        <w:rPr>
          <w:i/>
          <w:iCs/>
          <w:lang w:val="fr-FR"/>
        </w:rPr>
        <w:t>symboles de prédicats binaires</w:t>
      </w:r>
      <w:r w:rsidRPr="246FBB6F">
        <w:rPr>
          <w:lang w:val="fr-FR"/>
        </w:rPr>
        <w:t xml:space="preserve">; par convention, « P152 » est le symbole de prédicat binaire correspondant à la propriété </w:t>
      </w:r>
      <w:r w:rsidRPr="246FBB6F">
        <w:rPr>
          <w:rStyle w:val="VerbatimChar"/>
          <w:lang w:val="fr-FR"/>
        </w:rPr>
        <w:t>P152_a_pour_parent</w:t>
      </w:r>
      <w:r w:rsidRPr="246FBB6F">
        <w:rPr>
          <w:lang w:val="fr-FR"/>
        </w:rPr>
        <w:t>;</w:t>
      </w:r>
    </w:p>
    <w:p w14:paraId="3A65C5BD" w14:textId="77777777" w:rsidR="0084489F" w:rsidRDefault="00110FE6" w:rsidP="00806324">
      <w:pPr>
        <w:numPr>
          <w:ilvl w:val="0"/>
          <w:numId w:val="15"/>
        </w:numPr>
      </w:pPr>
      <w:r w:rsidRPr="246FBB6F">
        <w:rPr>
          <w:lang w:val="fr-FR"/>
        </w:rPr>
        <w:t xml:space="preserve">les propriétés de propriétés « propriétés .1 » sont nommées par des symboles de prédicats ternaires; par convention « P14.1 » est le symbole de prédicat ternaire correspondant à la propriété </w:t>
      </w:r>
      <w:r w:rsidRPr="246FBB6F">
        <w:rPr>
          <w:rStyle w:val="VerbatimChar"/>
          <w:lang w:val="fr-FR"/>
        </w:rPr>
        <w:t>P14.1_dans_le_rôle_de</w:t>
      </w:r>
      <w:r w:rsidRPr="246FBB6F">
        <w:rPr>
          <w:lang w:val="fr-FR"/>
        </w:rPr>
        <w:t>.</w:t>
      </w:r>
    </w:p>
    <w:p w14:paraId="6D5FAF09" w14:textId="77777777" w:rsidR="0084489F" w:rsidRDefault="00110FE6">
      <w:pPr>
        <w:pStyle w:val="FirstParagraph"/>
      </w:pPr>
      <w:r w:rsidRPr="246FBB6F">
        <w:rPr>
          <w:lang w:val="fr-FR"/>
        </w:rPr>
        <w:t>L’ontologie est exprimée logiquement par le biais d’axiomes qui correspondent aux contraintes de la modélisation sémantique. Dans la définition des classes et propriétés de CIDOC CRM, les axiomes sont énoncés dans la section « Logique ». Plusieurs options sont possibles lorsque vient le temps de rédiger des énoncés sous une forme de logique du premier ordre; ce document privilégie une notation compacte standard utilisée dans plusieurs ouvrages et articles scientifiques. Les définitions [n.d.t. pertinentes] sont présentées dans le tableau ci-dessous.</w:t>
      </w:r>
    </w:p>
    <w:p w14:paraId="0ACAE223" w14:textId="77777777" w:rsidR="0084489F" w:rsidRDefault="00110FE6">
      <w:pPr>
        <w:pStyle w:val="BlockText"/>
      </w:pPr>
      <w:r>
        <w:rPr>
          <w:b/>
          <w:bCs/>
          <w:i/>
          <w:iCs/>
        </w:rPr>
        <w:t>Note de traduction</w:t>
      </w:r>
    </w:p>
    <w:p w14:paraId="2452018E" w14:textId="77777777" w:rsidR="0084489F" w:rsidRDefault="00110FE6">
      <w:pPr>
        <w:pStyle w:val="BlockText"/>
      </w:pPr>
      <w:r>
        <w:t>Le terme « assomption » est peu courant, mais est préféré dans un contexte logique ou mathématique, raison pour laquelle il a été utilisé plutôt que « supposition » ou « hypothèse ».</w:t>
      </w:r>
    </w:p>
    <w:p w14:paraId="791257D5" w14:textId="77777777" w:rsidR="0084489F" w:rsidRDefault="00110FE6">
      <w:pPr>
        <w:pStyle w:val="BlockText"/>
      </w:pPr>
      <w:r>
        <w:rPr>
          <w:b/>
          <w:bCs/>
          <w:i/>
          <w:iCs/>
        </w:rPr>
        <w:t>Références</w:t>
      </w:r>
    </w:p>
    <w:p w14:paraId="4FC08FDF" w14:textId="77777777" w:rsidR="0084489F" w:rsidRDefault="0084489F">
      <w:pPr>
        <w:pStyle w:val="BlockText"/>
      </w:pPr>
    </w:p>
    <w:tbl>
      <w:tblPr>
        <w:tblStyle w:val="Table"/>
        <w:tblW w:w="5000" w:type="pct"/>
        <w:tblInd w:w="0" w:type="dxa"/>
        <w:tblLook w:val="0000" w:firstRow="0" w:lastRow="0" w:firstColumn="0" w:lastColumn="0" w:noHBand="0" w:noVBand="0"/>
      </w:tblPr>
      <w:tblGrid>
        <w:gridCol w:w="1773"/>
        <w:gridCol w:w="2167"/>
        <w:gridCol w:w="1746"/>
        <w:gridCol w:w="5094"/>
      </w:tblGrid>
      <w:tr w:rsidR="0084489F" w14:paraId="7BDD38B6" w14:textId="77777777" w:rsidTr="246FBB6F">
        <w:tc>
          <w:tcPr>
            <w:tcW w:w="0" w:type="auto"/>
          </w:tcPr>
          <w:p w14:paraId="295C43D7" w14:textId="77777777" w:rsidR="0084489F" w:rsidRDefault="00110FE6">
            <w:r>
              <w:rPr>
                <w:b/>
                <w:bCs/>
              </w:rPr>
              <w:lastRenderedPageBreak/>
              <w:t>Symbole</w:t>
            </w:r>
          </w:p>
        </w:tc>
        <w:tc>
          <w:tcPr>
            <w:tcW w:w="0" w:type="auto"/>
          </w:tcPr>
          <w:p w14:paraId="53A3632D" w14:textId="77777777" w:rsidR="0084489F" w:rsidRDefault="00110FE6">
            <w:r>
              <w:rPr>
                <w:b/>
                <w:bCs/>
              </w:rPr>
              <w:t>Nom</w:t>
            </w:r>
          </w:p>
        </w:tc>
        <w:tc>
          <w:tcPr>
            <w:tcW w:w="0" w:type="auto"/>
          </w:tcPr>
          <w:p w14:paraId="3E20878B" w14:textId="77777777" w:rsidR="0084489F" w:rsidRDefault="00110FE6">
            <w:r>
              <w:rPr>
                <w:b/>
                <w:bCs/>
              </w:rPr>
              <w:t>Lecture</w:t>
            </w:r>
          </w:p>
        </w:tc>
        <w:tc>
          <w:tcPr>
            <w:tcW w:w="0" w:type="auto"/>
          </w:tcPr>
          <w:p w14:paraId="00FCC34E" w14:textId="77777777" w:rsidR="0084489F" w:rsidRDefault="00110FE6">
            <w:r>
              <w:rPr>
                <w:b/>
                <w:bCs/>
              </w:rPr>
              <w:t>Valeur de vérité</w:t>
            </w:r>
          </w:p>
        </w:tc>
      </w:tr>
      <w:tr w:rsidR="0084489F" w14:paraId="48BB7F74" w14:textId="77777777" w:rsidTr="246FBB6F">
        <w:tc>
          <w:tcPr>
            <w:tcW w:w="0" w:type="auto"/>
          </w:tcPr>
          <w:p w14:paraId="70D592DB" w14:textId="77777777" w:rsidR="0084489F" w:rsidRDefault="00110FE6">
            <w:r>
              <w:rPr>
                <w:i/>
                <w:iCs/>
              </w:rPr>
              <w:t>Opérateurs</w:t>
            </w:r>
          </w:p>
        </w:tc>
        <w:tc>
          <w:tcPr>
            <w:tcW w:w="0" w:type="auto"/>
          </w:tcPr>
          <w:p w14:paraId="4C6FC0C9" w14:textId="77777777" w:rsidR="0084489F" w:rsidRDefault="0084489F">
            <w:pPr>
              <w:pStyle w:val="Compact"/>
            </w:pPr>
          </w:p>
        </w:tc>
        <w:tc>
          <w:tcPr>
            <w:tcW w:w="0" w:type="auto"/>
          </w:tcPr>
          <w:p w14:paraId="7643C824" w14:textId="77777777" w:rsidR="0084489F" w:rsidRDefault="0084489F">
            <w:pPr>
              <w:pStyle w:val="Compact"/>
            </w:pPr>
          </w:p>
        </w:tc>
        <w:tc>
          <w:tcPr>
            <w:tcW w:w="0" w:type="auto"/>
          </w:tcPr>
          <w:p w14:paraId="21620737" w14:textId="77777777" w:rsidR="0084489F" w:rsidRDefault="0084489F">
            <w:pPr>
              <w:pStyle w:val="Compact"/>
            </w:pPr>
          </w:p>
        </w:tc>
      </w:tr>
      <w:tr w:rsidR="0084489F" w14:paraId="7ED48D93" w14:textId="77777777" w:rsidTr="246FBB6F">
        <w:tc>
          <w:tcPr>
            <w:tcW w:w="0" w:type="auto"/>
          </w:tcPr>
          <w:p w14:paraId="5C156100" w14:textId="77777777" w:rsidR="0084489F" w:rsidRDefault="00110FE6">
            <w:r>
              <w:t>∧</w:t>
            </w:r>
          </w:p>
        </w:tc>
        <w:tc>
          <w:tcPr>
            <w:tcW w:w="0" w:type="auto"/>
          </w:tcPr>
          <w:p w14:paraId="3B37315D" w14:textId="77777777" w:rsidR="0084489F" w:rsidRDefault="00110FE6">
            <w:r w:rsidRPr="246FBB6F">
              <w:rPr>
                <w:lang w:val="fr-FR"/>
              </w:rPr>
              <w:t>conjonction</w:t>
            </w:r>
          </w:p>
        </w:tc>
        <w:tc>
          <w:tcPr>
            <w:tcW w:w="0" w:type="auto"/>
          </w:tcPr>
          <w:p w14:paraId="4F6D99FF" w14:textId="77777777" w:rsidR="0084489F" w:rsidRDefault="00110FE6">
            <w:r w:rsidRPr="246FBB6F">
              <w:rPr>
                <w:lang w:val="fr-FR"/>
              </w:rPr>
              <w:t>et</w:t>
            </w:r>
          </w:p>
        </w:tc>
        <w:tc>
          <w:tcPr>
            <w:tcW w:w="0" w:type="auto"/>
          </w:tcPr>
          <w:p w14:paraId="3AB9A3FA" w14:textId="77777777" w:rsidR="0084489F" w:rsidRDefault="00110FE6">
            <w:r w:rsidRPr="246FBB6F">
              <w:rPr>
                <w:lang w:val="fr-FR"/>
              </w:rPr>
              <w:t>(φ ∧ ψ) est vrai si et seulement si à la fois </w:t>
            </w:r>
            <w:r w:rsidRPr="246FBB6F">
              <w:rPr>
                <w:i/>
                <w:iCs/>
                <w:lang w:val="fr-FR"/>
              </w:rPr>
              <w:t>φ</w:t>
            </w:r>
            <w:r w:rsidRPr="246FBB6F">
              <w:rPr>
                <w:lang w:val="fr-FR"/>
              </w:rPr>
              <w:t> et </w:t>
            </w:r>
            <w:r w:rsidRPr="246FBB6F">
              <w:rPr>
                <w:i/>
                <w:iCs/>
                <w:lang w:val="fr-FR"/>
              </w:rPr>
              <w:t>ψ</w:t>
            </w:r>
            <w:r w:rsidRPr="246FBB6F">
              <w:rPr>
                <w:lang w:val="fr-FR"/>
              </w:rPr>
              <w:t xml:space="preserve"> sont vrais</w:t>
            </w:r>
          </w:p>
        </w:tc>
      </w:tr>
      <w:tr w:rsidR="0084489F" w14:paraId="54769E46" w14:textId="77777777" w:rsidTr="246FBB6F">
        <w:tc>
          <w:tcPr>
            <w:tcW w:w="0" w:type="auto"/>
          </w:tcPr>
          <w:p w14:paraId="3B4845DA" w14:textId="77777777" w:rsidR="0084489F" w:rsidRDefault="00110FE6">
            <w:r>
              <w:t>∨</w:t>
            </w:r>
          </w:p>
        </w:tc>
        <w:tc>
          <w:tcPr>
            <w:tcW w:w="0" w:type="auto"/>
          </w:tcPr>
          <w:p w14:paraId="5EAC8300" w14:textId="77777777" w:rsidR="0084489F" w:rsidRDefault="00110FE6">
            <w:r w:rsidRPr="246FBB6F">
              <w:rPr>
                <w:lang w:val="fr-FR"/>
              </w:rPr>
              <w:t>disjonction</w:t>
            </w:r>
          </w:p>
        </w:tc>
        <w:tc>
          <w:tcPr>
            <w:tcW w:w="0" w:type="auto"/>
          </w:tcPr>
          <w:p w14:paraId="1B2A89CB" w14:textId="77777777" w:rsidR="0084489F" w:rsidRDefault="00110FE6">
            <w:r w:rsidRPr="246FBB6F">
              <w:rPr>
                <w:lang w:val="fr-FR"/>
              </w:rPr>
              <w:t>ou</w:t>
            </w:r>
          </w:p>
        </w:tc>
        <w:tc>
          <w:tcPr>
            <w:tcW w:w="0" w:type="auto"/>
          </w:tcPr>
          <w:p w14:paraId="49F4EEB6" w14:textId="77777777" w:rsidR="0084489F" w:rsidRDefault="00110FE6">
            <w:r w:rsidRPr="246FBB6F">
              <w:rPr>
                <w:lang w:val="fr-FR"/>
              </w:rPr>
              <w:t>(φ ∨ ψ) est vrai si et seulement si l’un de φ ou ψ est vrai</w:t>
            </w:r>
          </w:p>
        </w:tc>
      </w:tr>
      <w:tr w:rsidR="0084489F" w14:paraId="2B21B770" w14:textId="77777777" w:rsidTr="246FBB6F">
        <w:tc>
          <w:tcPr>
            <w:tcW w:w="0" w:type="auto"/>
          </w:tcPr>
          <w:p w14:paraId="65A2BB52" w14:textId="77777777" w:rsidR="0084489F" w:rsidRDefault="00110FE6">
            <w:r>
              <w:t>¬</w:t>
            </w:r>
          </w:p>
        </w:tc>
        <w:tc>
          <w:tcPr>
            <w:tcW w:w="0" w:type="auto"/>
          </w:tcPr>
          <w:p w14:paraId="2EF9151A" w14:textId="77777777" w:rsidR="0084489F" w:rsidRDefault="00110FE6">
            <w:r w:rsidRPr="246FBB6F">
              <w:rPr>
                <w:lang w:val="fr-FR"/>
              </w:rPr>
              <w:t>négation</w:t>
            </w:r>
          </w:p>
        </w:tc>
        <w:tc>
          <w:tcPr>
            <w:tcW w:w="0" w:type="auto"/>
          </w:tcPr>
          <w:p w14:paraId="24AB57E5" w14:textId="77777777" w:rsidR="0084489F" w:rsidRDefault="00110FE6">
            <w:r w:rsidRPr="246FBB6F">
              <w:rPr>
                <w:lang w:val="fr-FR"/>
              </w:rPr>
              <w:t>non</w:t>
            </w:r>
          </w:p>
        </w:tc>
        <w:tc>
          <w:tcPr>
            <w:tcW w:w="0" w:type="auto"/>
          </w:tcPr>
          <w:p w14:paraId="5C57B0AD" w14:textId="77777777" w:rsidR="0084489F" w:rsidRDefault="00110FE6">
            <w:r>
              <w:t>¬φ est vrai si et seulement si </w:t>
            </w:r>
            <w:r>
              <w:rPr>
                <w:i/>
                <w:iCs/>
              </w:rPr>
              <w:t>φ</w:t>
            </w:r>
            <w:r>
              <w:t xml:space="preserve"> est faux</w:t>
            </w:r>
          </w:p>
        </w:tc>
      </w:tr>
      <w:tr w:rsidR="0084489F" w14:paraId="3ECF40D9" w14:textId="77777777" w:rsidTr="246FBB6F">
        <w:tc>
          <w:tcPr>
            <w:tcW w:w="0" w:type="auto"/>
          </w:tcPr>
          <w:p w14:paraId="47870E51" w14:textId="77777777" w:rsidR="0084489F" w:rsidRDefault="00110FE6">
            <w:r>
              <w:t>⇒</w:t>
            </w:r>
          </w:p>
        </w:tc>
        <w:tc>
          <w:tcPr>
            <w:tcW w:w="0" w:type="auto"/>
          </w:tcPr>
          <w:p w14:paraId="233D0FF8" w14:textId="77777777" w:rsidR="0084489F" w:rsidRDefault="00110FE6">
            <w:r w:rsidRPr="246FBB6F">
              <w:rPr>
                <w:lang w:val="fr-FR"/>
              </w:rPr>
              <w:t>implication</w:t>
            </w:r>
          </w:p>
        </w:tc>
        <w:tc>
          <w:tcPr>
            <w:tcW w:w="0" w:type="auto"/>
          </w:tcPr>
          <w:p w14:paraId="789A6F10" w14:textId="77777777" w:rsidR="0084489F" w:rsidRDefault="00110FE6">
            <w:r w:rsidRPr="246FBB6F">
              <w:rPr>
                <w:lang w:val="fr-FR"/>
              </w:rPr>
              <w:t>implique que,</w:t>
            </w:r>
          </w:p>
          <w:p w14:paraId="57A3AE13" w14:textId="77777777" w:rsidR="0084489F" w:rsidRDefault="00110FE6">
            <w:r w:rsidRPr="246FBB6F">
              <w:rPr>
                <w:lang w:val="fr-FR"/>
              </w:rPr>
              <w:t>si… alors...</w:t>
            </w:r>
          </w:p>
        </w:tc>
        <w:tc>
          <w:tcPr>
            <w:tcW w:w="0" w:type="auto"/>
          </w:tcPr>
          <w:p w14:paraId="3D59F315" w14:textId="77777777" w:rsidR="0084489F" w:rsidRDefault="00110FE6">
            <w:r w:rsidRPr="246FBB6F">
              <w:rPr>
                <w:lang w:val="fr-FR"/>
              </w:rPr>
              <w:t>(φ ⇒ ψ) est vrai si et seulement si ce n’est pas le cas que </w:t>
            </w:r>
            <w:r w:rsidRPr="246FBB6F">
              <w:rPr>
                <w:i/>
                <w:iCs/>
                <w:lang w:val="fr-FR"/>
              </w:rPr>
              <w:t>φ</w:t>
            </w:r>
            <w:r w:rsidRPr="246FBB6F">
              <w:rPr>
                <w:lang w:val="fr-FR"/>
              </w:rPr>
              <w:t xml:space="preserve"> est vrai et </w:t>
            </w:r>
            <w:r w:rsidRPr="246FBB6F">
              <w:rPr>
                <w:i/>
                <w:iCs/>
                <w:lang w:val="fr-FR"/>
              </w:rPr>
              <w:t>ψ</w:t>
            </w:r>
            <w:r w:rsidRPr="246FBB6F">
              <w:rPr>
                <w:lang w:val="fr-FR"/>
              </w:rPr>
              <w:t xml:space="preserve"> est faux</w:t>
            </w:r>
          </w:p>
        </w:tc>
      </w:tr>
      <w:tr w:rsidR="0084489F" w14:paraId="64961E61" w14:textId="77777777" w:rsidTr="246FBB6F">
        <w:tc>
          <w:tcPr>
            <w:tcW w:w="0" w:type="auto"/>
          </w:tcPr>
          <w:p w14:paraId="2FF7A4F7" w14:textId="77777777" w:rsidR="0084489F" w:rsidRDefault="00110FE6">
            <w:r>
              <w:t>⇔</w:t>
            </w:r>
          </w:p>
        </w:tc>
        <w:tc>
          <w:tcPr>
            <w:tcW w:w="0" w:type="auto"/>
          </w:tcPr>
          <w:p w14:paraId="4A80734B" w14:textId="77777777" w:rsidR="0084489F" w:rsidRDefault="00110FE6">
            <w:r w:rsidRPr="246FBB6F">
              <w:rPr>
                <w:lang w:val="fr-FR"/>
              </w:rPr>
              <w:t>équivalence</w:t>
            </w:r>
          </w:p>
        </w:tc>
        <w:tc>
          <w:tcPr>
            <w:tcW w:w="0" w:type="auto"/>
          </w:tcPr>
          <w:p w14:paraId="3CD3DCBD" w14:textId="77777777" w:rsidR="0084489F" w:rsidRDefault="00110FE6">
            <w:r w:rsidRPr="246FBB6F">
              <w:rPr>
                <w:lang w:val="fr-FR"/>
              </w:rPr>
              <w:t>est équivalent à,</w:t>
            </w:r>
          </w:p>
          <w:p w14:paraId="26C805FE" w14:textId="77777777" w:rsidR="0084489F" w:rsidRDefault="00110FE6">
            <w:r w:rsidRPr="246FBB6F">
              <w:rPr>
                <w:lang w:val="fr-FR"/>
              </w:rPr>
              <w:t>si… et seulement si...</w:t>
            </w:r>
          </w:p>
        </w:tc>
        <w:tc>
          <w:tcPr>
            <w:tcW w:w="0" w:type="auto"/>
          </w:tcPr>
          <w:p w14:paraId="629AB81D" w14:textId="77777777" w:rsidR="0084489F" w:rsidRDefault="00110FE6">
            <w:r w:rsidRPr="246FBB6F">
              <w:rPr>
                <w:lang w:val="fr-FR"/>
              </w:rPr>
              <w:t>φ ⇔ ψ est vrai si et seulement si à la fois </w:t>
            </w:r>
            <w:r w:rsidRPr="246FBB6F">
              <w:rPr>
                <w:i/>
                <w:iCs/>
                <w:lang w:val="fr-FR"/>
              </w:rPr>
              <w:t>φ</w:t>
            </w:r>
            <w:r w:rsidRPr="246FBB6F">
              <w:rPr>
                <w:lang w:val="fr-FR"/>
              </w:rPr>
              <w:t> et </w:t>
            </w:r>
            <w:r w:rsidRPr="246FBB6F">
              <w:rPr>
                <w:i/>
                <w:iCs/>
                <w:lang w:val="fr-FR"/>
              </w:rPr>
              <w:t>ψ</w:t>
            </w:r>
            <w:r w:rsidRPr="246FBB6F">
              <w:rPr>
                <w:lang w:val="fr-FR"/>
              </w:rPr>
              <w:t> sont vrais ou qu’à la fois φ et ψ sont faux</w:t>
            </w:r>
          </w:p>
        </w:tc>
      </w:tr>
      <w:tr w:rsidR="0084489F" w14:paraId="1BC9D7E7" w14:textId="77777777" w:rsidTr="246FBB6F">
        <w:tc>
          <w:tcPr>
            <w:tcW w:w="0" w:type="auto"/>
          </w:tcPr>
          <w:p w14:paraId="6E185404" w14:textId="77777777" w:rsidR="0084489F" w:rsidRDefault="00000000">
            <w:hyperlink w:anchor="X3a77811b7576d47c9c051be2c80d6c86422beed">
              <w:r w:rsidR="00110FE6">
                <w:rPr>
                  <w:rStyle w:val="Hyperlink"/>
                  <w:i/>
                  <w:iCs/>
                </w:rPr>
                <w:t>Quantificateurs</w:t>
              </w:r>
            </w:hyperlink>
          </w:p>
        </w:tc>
        <w:tc>
          <w:tcPr>
            <w:tcW w:w="0" w:type="auto"/>
          </w:tcPr>
          <w:p w14:paraId="365C030F" w14:textId="77777777" w:rsidR="0084489F" w:rsidRDefault="0084489F">
            <w:pPr>
              <w:pStyle w:val="Compact"/>
            </w:pPr>
          </w:p>
        </w:tc>
        <w:tc>
          <w:tcPr>
            <w:tcW w:w="0" w:type="auto"/>
          </w:tcPr>
          <w:p w14:paraId="02EE159E" w14:textId="77777777" w:rsidR="0084489F" w:rsidRDefault="0084489F">
            <w:pPr>
              <w:pStyle w:val="Compact"/>
            </w:pPr>
          </w:p>
        </w:tc>
        <w:tc>
          <w:tcPr>
            <w:tcW w:w="0" w:type="auto"/>
          </w:tcPr>
          <w:p w14:paraId="02C00699" w14:textId="77777777" w:rsidR="0084489F" w:rsidRDefault="0084489F">
            <w:pPr>
              <w:pStyle w:val="Compact"/>
            </w:pPr>
          </w:p>
        </w:tc>
      </w:tr>
      <w:tr w:rsidR="0084489F" w14:paraId="09FDB2A7" w14:textId="77777777" w:rsidTr="246FBB6F">
        <w:tc>
          <w:tcPr>
            <w:tcW w:w="0" w:type="auto"/>
          </w:tcPr>
          <w:p w14:paraId="296C8BDC" w14:textId="77777777" w:rsidR="0084489F" w:rsidRDefault="00110FE6">
            <w:r>
              <w:t>∃</w:t>
            </w:r>
          </w:p>
        </w:tc>
        <w:tc>
          <w:tcPr>
            <w:tcW w:w="0" w:type="auto"/>
          </w:tcPr>
          <w:p w14:paraId="443E4C0A" w14:textId="77777777" w:rsidR="0084489F" w:rsidRDefault="00110FE6">
            <w:r w:rsidRPr="246FBB6F">
              <w:rPr>
                <w:lang w:val="fr-FR"/>
              </w:rPr>
              <w:t>quantificateur existentiel</w:t>
            </w:r>
          </w:p>
        </w:tc>
        <w:tc>
          <w:tcPr>
            <w:tcW w:w="0" w:type="auto"/>
          </w:tcPr>
          <w:p w14:paraId="24F802A9" w14:textId="77777777" w:rsidR="0084489F" w:rsidRDefault="00110FE6">
            <w:r w:rsidRPr="246FBB6F">
              <w:rPr>
                <w:lang w:val="fr-FR"/>
              </w:rPr>
              <w:t>existe,</w:t>
            </w:r>
          </w:p>
          <w:p w14:paraId="598ADDDE" w14:textId="77777777" w:rsidR="0084489F" w:rsidRDefault="00110FE6">
            <w:r w:rsidRPr="246FBB6F">
              <w:rPr>
                <w:lang w:val="fr-FR"/>
              </w:rPr>
              <w:t>il existe au moins un</w:t>
            </w:r>
          </w:p>
        </w:tc>
        <w:tc>
          <w:tcPr>
            <w:tcW w:w="0" w:type="auto"/>
          </w:tcPr>
          <w:p w14:paraId="3F6E6AA3" w14:textId="77777777" w:rsidR="0084489F" w:rsidRDefault="0084489F">
            <w:pPr>
              <w:pStyle w:val="Compact"/>
            </w:pPr>
          </w:p>
        </w:tc>
      </w:tr>
      <w:tr w:rsidR="0084489F" w14:paraId="230939F1" w14:textId="77777777" w:rsidTr="246FBB6F">
        <w:tc>
          <w:tcPr>
            <w:tcW w:w="0" w:type="auto"/>
          </w:tcPr>
          <w:p w14:paraId="64BB766D" w14:textId="77777777" w:rsidR="0084489F" w:rsidRDefault="00110FE6">
            <w:r>
              <w:t>∀</w:t>
            </w:r>
          </w:p>
        </w:tc>
        <w:tc>
          <w:tcPr>
            <w:tcW w:w="0" w:type="auto"/>
          </w:tcPr>
          <w:p w14:paraId="06BB1190" w14:textId="77777777" w:rsidR="0084489F" w:rsidRDefault="00110FE6">
            <w:r w:rsidRPr="246FBB6F">
              <w:rPr>
                <w:lang w:val="fr-FR"/>
              </w:rPr>
              <w:t>quantificateur universel</w:t>
            </w:r>
          </w:p>
        </w:tc>
        <w:tc>
          <w:tcPr>
            <w:tcW w:w="0" w:type="auto"/>
          </w:tcPr>
          <w:p w14:paraId="519D6C3F" w14:textId="77777777" w:rsidR="0084489F" w:rsidRDefault="00110FE6">
            <w:r w:rsidRPr="246FBB6F">
              <w:rPr>
                <w:lang w:val="fr-FR"/>
              </w:rPr>
              <w:t>pour tous</w:t>
            </w:r>
          </w:p>
        </w:tc>
        <w:tc>
          <w:tcPr>
            <w:tcW w:w="0" w:type="auto"/>
          </w:tcPr>
          <w:p w14:paraId="1F4E89CD" w14:textId="77777777" w:rsidR="0084489F" w:rsidRDefault="0084489F">
            <w:pPr>
              <w:pStyle w:val="Compact"/>
            </w:pPr>
          </w:p>
        </w:tc>
      </w:tr>
    </w:tbl>
    <w:p w14:paraId="34009C6E" w14:textId="77777777" w:rsidR="0084489F" w:rsidRDefault="00110FE6">
      <w:pPr>
        <w:pStyle w:val="BodyText"/>
      </w:pPr>
      <w:r>
        <w:t xml:space="preserve">Le lien de sous-classe susmentionné entre </w:t>
      </w:r>
      <w:r>
        <w:rPr>
          <w:rStyle w:val="VerbatimChar"/>
        </w:rPr>
        <w:t>E21_Personne</w:t>
      </w:r>
      <w:r>
        <w:t xml:space="preserve"> et </w:t>
      </w:r>
      <w:r>
        <w:rPr>
          <w:rStyle w:val="VerbatimChar"/>
        </w:rPr>
        <w:t>E20_Objet_biologique</w:t>
      </w:r>
      <w:r>
        <w:t xml:space="preserve"> peut être formulé, en logique du premier ordre, par l’axiome suivant :</w:t>
      </w:r>
    </w:p>
    <w:p w14:paraId="167E058D" w14:textId="77777777" w:rsidR="0084489F" w:rsidRDefault="00110FE6">
      <w:pPr>
        <w:pStyle w:val="BodyText"/>
      </w:pPr>
      <w:r>
        <w:t>(∀x) [E21(x) ⇒E20(x)]</w:t>
      </w:r>
    </w:p>
    <w:p w14:paraId="7BA7A0AD" w14:textId="77777777" w:rsidR="0084489F" w:rsidRDefault="00110FE6">
      <w:pPr>
        <w:pStyle w:val="BodyText"/>
      </w:pPr>
      <w:r w:rsidRPr="246FBB6F">
        <w:rPr>
          <w:lang w:val="fr-FR"/>
        </w:rPr>
        <w:t>(à savoir : pour tout individu x, si x est un E21 alors x est un E20).</w:t>
      </w:r>
    </w:p>
    <w:p w14:paraId="68CBFE5D" w14:textId="77777777" w:rsidR="0084489F" w:rsidRDefault="00110FE6">
      <w:pPr>
        <w:pStyle w:val="BodyText"/>
      </w:pPr>
      <w:r>
        <w:t xml:space="preserve">Dans la définition des </w:t>
      </w:r>
      <w:hyperlink w:anchor="terminologie-classe">
        <w:r>
          <w:rPr>
            <w:rStyle w:val="Hyperlink"/>
          </w:rPr>
          <w:t>classes</w:t>
        </w:r>
      </w:hyperlink>
      <w:r>
        <w:t xml:space="preserve"> et </w:t>
      </w:r>
      <w:hyperlink w:anchor="terminologie-propriete">
        <w:r>
          <w:rPr>
            <w:rStyle w:val="Hyperlink"/>
          </w:rPr>
          <w:t>propriétés</w:t>
        </w:r>
      </w:hyperlink>
      <w:r>
        <w:t xml:space="preserve"> de ce document le(s) </w:t>
      </w:r>
      <w:hyperlink w:anchor="X3a77811b7576d47c9c051be2c80d6c86422beed">
        <w:r>
          <w:rPr>
            <w:rStyle w:val="Hyperlink"/>
          </w:rPr>
          <w:t>quantificateur</w:t>
        </w:r>
      </w:hyperlink>
      <w:r>
        <w:t>(s) universel(s) sont omis par soucis de simplicité, de sorte que cet axiome prend la forme suivante :</w:t>
      </w:r>
    </w:p>
    <w:p w14:paraId="74EA16D0" w14:textId="77777777" w:rsidR="0084489F" w:rsidRDefault="00110FE6">
      <w:pPr>
        <w:pStyle w:val="BodyText"/>
      </w:pPr>
      <w:r>
        <w:t>E21(x) ⇒E20(x)</w:t>
      </w:r>
    </w:p>
    <w:p w14:paraId="537A3261" w14:textId="77777777" w:rsidR="0084489F" w:rsidRDefault="00110FE6">
      <w:pPr>
        <w:pStyle w:val="BodyText"/>
      </w:pPr>
      <w:r>
        <w:t xml:space="preserve">De la même manière, la contrainte du </w:t>
      </w:r>
      <w:hyperlink w:anchor="terminologie-domaine">
        <w:r>
          <w:rPr>
            <w:rStyle w:val="Hyperlink"/>
          </w:rPr>
          <w:t>domaine</w:t>
        </w:r>
      </w:hyperlink>
      <w:r>
        <w:t xml:space="preserve"> de la propriété </w:t>
      </w:r>
      <w:r>
        <w:rPr>
          <w:rStyle w:val="VerbatimChar"/>
        </w:rPr>
        <w:t>P152_a_pour_parent</w:t>
      </w:r>
      <w:r>
        <w:t xml:space="preserve"> peut être formulée, en logique du premier ordre, par l’axiome suivant :</w:t>
      </w:r>
    </w:p>
    <w:p w14:paraId="11EBA728" w14:textId="77777777" w:rsidR="0084489F" w:rsidRDefault="00110FE6">
      <w:pPr>
        <w:pStyle w:val="BodyText"/>
      </w:pPr>
      <w:r w:rsidRPr="246FBB6F">
        <w:rPr>
          <w:lang w:val="fr-FR"/>
        </w:rPr>
        <w:lastRenderedPageBreak/>
        <w:t>P152(x,y) ⇒E21(x)</w:t>
      </w:r>
    </w:p>
    <w:p w14:paraId="18785CEF" w14:textId="77777777" w:rsidR="0084489F" w:rsidRDefault="00110FE6">
      <w:pPr>
        <w:pStyle w:val="BodyText"/>
      </w:pPr>
      <w:r w:rsidRPr="246FBB6F">
        <w:rPr>
          <w:lang w:val="fr-FR"/>
        </w:rPr>
        <w:t>(à savoir : pour tous les individus x et y, si x est un P152 de y, alors x est un E21).</w:t>
      </w:r>
    </w:p>
    <w:p w14:paraId="5C920787" w14:textId="77777777" w:rsidR="0084489F" w:rsidRDefault="00110FE6">
      <w:pPr>
        <w:pStyle w:val="BodyText"/>
      </w:pPr>
      <w:r w:rsidRPr="246FBB6F">
        <w:rPr>
          <w:lang w:val="fr-FR"/>
        </w:rPr>
        <w:t xml:space="preserve">Les propriétés de propriétés « propriété .1 » sont nommées par des symboles de prédicats ternaires; par convention la propriété </w:t>
      </w:r>
      <w:r w:rsidRPr="246FBB6F">
        <w:rPr>
          <w:rStyle w:val="VerbatimChar"/>
          <w:lang w:val="fr-FR"/>
        </w:rPr>
        <w:t>P14.1_dans_le_rôle_de</w:t>
      </w:r>
      <w:r w:rsidRPr="246FBB6F">
        <w:rPr>
          <w:lang w:val="fr-FR"/>
        </w:rPr>
        <w:t xml:space="preserve"> est décrite comme le symbole de prédicat ternaire correspondant à la propriété</w:t>
      </w:r>
      <w:r w:rsidRPr="246FBB6F">
        <w:rPr>
          <w:rStyle w:val="VerbatimChar"/>
          <w:lang w:val="fr-FR"/>
        </w:rPr>
        <w:t xml:space="preserve"> P14_a_été_effectué_par (a_effectué)</w:t>
      </w:r>
      <w:r w:rsidRPr="246FBB6F">
        <w:rPr>
          <w:lang w:val="fr-FR"/>
        </w:rPr>
        <w:t> :</w:t>
      </w:r>
    </w:p>
    <w:p w14:paraId="6937A38D" w14:textId="77777777" w:rsidR="0084489F" w:rsidRDefault="00110FE6">
      <w:pPr>
        <w:pStyle w:val="BodyText"/>
      </w:pPr>
      <w:r w:rsidRPr="246FBB6F">
        <w:rPr>
          <w:lang w:val="fr-FR"/>
        </w:rPr>
        <w:t>P14(x,y) ⇒ E7(x)</w:t>
      </w:r>
    </w:p>
    <w:p w14:paraId="168A4C70" w14:textId="77777777" w:rsidR="0084489F" w:rsidRDefault="00110FE6">
      <w:pPr>
        <w:pStyle w:val="BodyText"/>
      </w:pPr>
      <w:r w:rsidRPr="246FBB6F">
        <w:rPr>
          <w:lang w:val="fr-FR"/>
        </w:rPr>
        <w:t>P14(x,y)⇒ E39(y)</w:t>
      </w:r>
    </w:p>
    <w:p w14:paraId="52A333F6" w14:textId="77777777" w:rsidR="0084489F" w:rsidRDefault="00110FE6">
      <w:pPr>
        <w:pStyle w:val="BodyText"/>
      </w:pPr>
      <w:r w:rsidRPr="246FBB6F">
        <w:rPr>
          <w:lang w:val="fr-FR"/>
        </w:rPr>
        <w:t>P14(x,y,z) ⇒ [P14(x,y) ∧ E55(z)]</w:t>
      </w:r>
    </w:p>
    <w:p w14:paraId="5A0D44F3" w14:textId="77777777" w:rsidR="0084489F" w:rsidRDefault="00110FE6">
      <w:pPr>
        <w:pStyle w:val="BodyText"/>
      </w:pPr>
      <w:r w:rsidRPr="246FBB6F">
        <w:rPr>
          <w:lang w:val="fr-FR"/>
        </w:rPr>
        <w:t>Cela devrait être utilisé par le lecteur afin de comprendre les axiomes utilisés dans la définition des classes et des propriétés. (Meghini &amp; Doerr, 2018) offrent plus d’informations sur la formulation de logique du premier ordre dans le CIDOC CRM.</w:t>
      </w:r>
    </w:p>
    <w:p w14:paraId="4A1AFD49" w14:textId="77777777" w:rsidR="0084489F" w:rsidRDefault="00110FE6">
      <w:pPr>
        <w:pStyle w:val="BlockText"/>
      </w:pPr>
      <w:r>
        <w:rPr>
          <w:b/>
          <w:bCs/>
          <w:i/>
          <w:iCs/>
        </w:rPr>
        <w:t>Note de traduction</w:t>
      </w:r>
    </w:p>
    <w:p w14:paraId="0873BFA7" w14:textId="77777777" w:rsidR="0084489F" w:rsidRDefault="00110FE6">
      <w:pPr>
        <w:pStyle w:val="BlockText"/>
      </w:pPr>
      <w:r w:rsidRPr="246FBB6F">
        <w:rPr>
          <w:lang w:val="fr-FR"/>
        </w:rPr>
        <w:t>Les termes « quantifiant » ou « quantificateur » peuvent tous deux être utilisés pour désigner des « quantifiers », la seconde option a été privilégiée pour éviter toute confusion avec le gérondif.</w:t>
      </w:r>
    </w:p>
    <w:p w14:paraId="5B8C0CE2" w14:textId="77777777" w:rsidR="0084489F" w:rsidRDefault="00110FE6">
      <w:pPr>
        <w:pStyle w:val="BlockText"/>
      </w:pPr>
      <w:r>
        <w:rPr>
          <w:b/>
          <w:bCs/>
          <w:i/>
          <w:iCs/>
        </w:rPr>
        <w:t>Références</w:t>
      </w:r>
    </w:p>
    <w:p w14:paraId="26D7222E" w14:textId="77777777" w:rsidR="0084489F" w:rsidRDefault="00110FE6">
      <w:pPr>
        <w:pStyle w:val="BlockText"/>
      </w:pPr>
      <w:r w:rsidRPr="246FBB6F">
        <w:rPr>
          <w:lang w:val="fr-FR"/>
        </w:rPr>
        <w:t xml:space="preserve">Termium. « quantifier ». Dans </w:t>
      </w:r>
      <w:r w:rsidRPr="246FBB6F">
        <w:rPr>
          <w:i/>
          <w:iCs/>
          <w:lang w:val="fr-FR"/>
        </w:rPr>
        <w:t>Termium Plus</w:t>
      </w:r>
      <w:r w:rsidRPr="246FBB6F">
        <w:rPr>
          <w:lang w:val="fr-FR"/>
        </w:rPr>
        <w:t>. Ottawa, CA-ON: Gouvernement du Canada, 8 octobre 2009.</w:t>
      </w:r>
      <w:hyperlink r:id="rId80" w:anchor="resultrecs">
        <w:r w:rsidRPr="246FBB6F">
          <w:rPr>
            <w:rStyle w:val="Hyperlink"/>
            <w:lang w:val="fr-FR"/>
          </w:rPr>
          <w:t xml:space="preserve"> </w:t>
        </w:r>
      </w:hyperlink>
      <w:hyperlink r:id="rId81" w:anchor="resultrecs">
        <w:r w:rsidRPr="246FBB6F">
          <w:rPr>
            <w:rStyle w:val="Hyperlink"/>
            <w:lang w:val="fr-FR"/>
          </w:rPr>
          <w:t>https://www.btb.termiumplus.gc.ca/tpv2alpha/alpha-fra.html?lang=fra&amp;i=1&amp;srchtxt=quantifier&amp;index=ent&amp;codom2nd_wet=1#resultrecs</w:t>
        </w:r>
      </w:hyperlink>
      <w:r w:rsidRPr="246FBB6F">
        <w:rPr>
          <w:lang w:val="fr-FR"/>
        </w:rPr>
        <w:t>.</w:t>
      </w:r>
    </w:p>
    <w:p w14:paraId="652FF768" w14:textId="77777777" w:rsidR="00B533DB" w:rsidRPr="00B533DB" w:rsidRDefault="00B533DB" w:rsidP="00B533DB">
      <w:pPr>
        <w:pStyle w:val="BodyText"/>
      </w:pPr>
    </w:p>
    <w:p w14:paraId="2646FDA7" w14:textId="77777777" w:rsidR="0084489F" w:rsidRDefault="00110FE6">
      <w:pPr>
        <w:pStyle w:val="Heading3"/>
      </w:pPr>
      <w:bookmarkStart w:id="60" w:name="_Toc176864414"/>
      <w:bookmarkStart w:id="61" w:name="quantificateurs-de-proprietes"/>
      <w:bookmarkEnd w:id="59"/>
      <w:r>
        <w:t>Quantificateurs de propriétés</w:t>
      </w:r>
      <w:bookmarkEnd w:id="60"/>
    </w:p>
    <w:p w14:paraId="0C7DB953" w14:textId="77777777" w:rsidR="0084489F" w:rsidRDefault="00110FE6">
      <w:pPr>
        <w:pStyle w:val="FirstParagraph"/>
      </w:pPr>
      <w:r w:rsidRPr="246FBB6F">
        <w:rPr>
          <w:lang w:val="fr-FR"/>
        </w:rPr>
        <w:t xml:space="preserve">Les </w:t>
      </w:r>
      <w:hyperlink w:anchor="X3a77811b7576d47c9c051be2c80d6c86422beed">
        <w:r w:rsidRPr="246FBB6F">
          <w:rPr>
            <w:rStyle w:val="Hyperlink"/>
            <w:lang w:val="fr-FR"/>
          </w:rPr>
          <w:t>quantificateurs des propriétés</w:t>
        </w:r>
      </w:hyperlink>
      <w:r w:rsidRPr="246FBB6F">
        <w:rPr>
          <w:lang w:val="fr-FR"/>
        </w:rPr>
        <w:t xml:space="preserve"> sont présentés ici aux fins de clarification sémantique seulement et ne devraient </w:t>
      </w:r>
      <w:r w:rsidRPr="246FBB6F">
        <w:rPr>
          <w:b/>
          <w:bCs/>
          <w:lang w:val="fr-FR"/>
        </w:rPr>
        <w:t>pas</w:t>
      </w:r>
      <w:r w:rsidRPr="246FBB6F">
        <w:rPr>
          <w:lang w:val="fr-FR"/>
        </w:rPr>
        <w:t xml:space="preserve"> être considérés comme des recommandations d’implémentation. Le CIDOC CRM a été conçu afin d'accommoder des options alternatives ou des informations incomplètes [n.d.t. afin d’accommoder plusieurs interprétations ou compréhensions d’un même phénomène], de sorte que toutes les </w:t>
      </w:r>
      <w:hyperlink w:anchor="terminologie-propriete">
        <w:r w:rsidRPr="246FBB6F">
          <w:rPr>
            <w:rStyle w:val="Hyperlink"/>
            <w:lang w:val="fr-FR"/>
          </w:rPr>
          <w:t>propriétés</w:t>
        </w:r>
      </w:hyperlink>
      <w:r w:rsidRPr="246FBB6F">
        <w:rPr>
          <w:lang w:val="fr-FR"/>
        </w:rPr>
        <w:t xml:space="preserve"> devraient être implémentées avec un </w:t>
      </w:r>
      <w:hyperlink w:anchor="terminologie-domaine">
        <w:r w:rsidRPr="246FBB6F">
          <w:rPr>
            <w:rStyle w:val="Hyperlink"/>
            <w:lang w:val="fr-FR"/>
          </w:rPr>
          <w:t>domaine</w:t>
        </w:r>
      </w:hyperlink>
      <w:r w:rsidRPr="246FBB6F">
        <w:rPr>
          <w:lang w:val="fr-FR"/>
        </w:rPr>
        <w:t xml:space="preserve"> et une </w:t>
      </w:r>
      <w:hyperlink w:anchor="terminologie-portee">
        <w:r w:rsidRPr="246FBB6F">
          <w:rPr>
            <w:rStyle w:val="Hyperlink"/>
            <w:lang w:val="fr-FR"/>
          </w:rPr>
          <w:t>portée</w:t>
        </w:r>
      </w:hyperlink>
      <w:r w:rsidRPr="246FBB6F">
        <w:rPr>
          <w:lang w:val="fr-FR"/>
        </w:rPr>
        <w:t xml:space="preserve"> optionnels et répétables [n.d.t. c.-à-d. qu’une même propriété peut être utilisée à plusieurs reprises avec de mêmes instances de son domaine et de sa portée] (« relation plusieurs-à-plusieurs (0,n:0,n) »). [n.d.t. Cette question des contraintes de cardinalité, qui précise les principes de généralisation d’une </w:t>
      </w:r>
      <w:hyperlink w:anchor="terminologie-classe">
        <w:r w:rsidRPr="246FBB6F">
          <w:rPr>
            <w:rStyle w:val="Hyperlink"/>
            <w:lang w:val="fr-FR"/>
          </w:rPr>
          <w:t>classe</w:t>
        </w:r>
      </w:hyperlink>
      <w:r w:rsidRPr="246FBB6F">
        <w:rPr>
          <w:lang w:val="fr-FR"/>
        </w:rPr>
        <w:t>], porte généralement sur les implémentations d’un système [n.d.t. plutôt que sur sa conception], de sorte qu’il n’en est pas exhaustivement question ici et que l’expression « contraintes de cardinalité » n'est pas préconisée.</w:t>
      </w:r>
    </w:p>
    <w:p w14:paraId="4E3B6DD5" w14:textId="77777777" w:rsidR="0084489F" w:rsidRDefault="00110FE6">
      <w:pPr>
        <w:pStyle w:val="BodyText"/>
      </w:pPr>
      <w:r w:rsidRPr="246FBB6F">
        <w:rPr>
          <w:lang w:val="fr-FR"/>
        </w:rPr>
        <w:t xml:space="preserve">Le tableau suivant énumère les quantificateurs de propriété utilisés dans ce document (dans l’ordre de leur notation) ainsi qu’une explication en langage naturel [n.d.t. de chacun d’entre eux]. Les notations verbale et numérique sont juxtaposées dans ce document aux fins de clarté : la notation verbale utilise des syntagmes tels que « un à plusieurs » alors que la notation numérique utilise des expressions telles que « (0,n:0,1) ». Les termes « un », « plusieurs » et « nécessaire » [n.d.t. revêtent leur sens habituel et] intuitif; le terme « dépendant » indique une situation où une </w:t>
      </w:r>
      <w:hyperlink w:anchor="terminologie-instance">
        <w:r w:rsidRPr="246FBB6F">
          <w:rPr>
            <w:rStyle w:val="Hyperlink"/>
            <w:lang w:val="fr-FR"/>
          </w:rPr>
          <w:t>instance</w:t>
        </w:r>
      </w:hyperlink>
      <w:r w:rsidRPr="246FBB6F">
        <w:rPr>
          <w:lang w:val="fr-FR"/>
        </w:rPr>
        <w:t xml:space="preserve"> de la portée d’une propriété ne peut pas exister sans une instance de cette propriété elle-même. En d’autres termes, la propriété est « nécessaire » à sa portée (Meghini &amp; Doerr, 2018).</w:t>
      </w:r>
    </w:p>
    <w:p w14:paraId="58F1658F" w14:textId="77777777" w:rsidR="0084489F" w:rsidRDefault="00110FE6">
      <w:pPr>
        <w:pStyle w:val="BlockText"/>
      </w:pPr>
      <w:r>
        <w:rPr>
          <w:b/>
          <w:bCs/>
          <w:i/>
          <w:iCs/>
        </w:rPr>
        <w:t>Note de traduction</w:t>
      </w:r>
    </w:p>
    <w:p w14:paraId="3FD20F58" w14:textId="77777777" w:rsidR="0084489F" w:rsidRDefault="00110FE6">
      <w:pPr>
        <w:pStyle w:val="BlockText"/>
      </w:pPr>
      <w:r>
        <w:t>Certains paragraphes ont été édités dans la version francophone aux fins de compréhension. Les sections concernées sont indiquées de [n.d.t. texte concerné].</w:t>
      </w:r>
    </w:p>
    <w:p w14:paraId="78A36820" w14:textId="77777777" w:rsidR="0084489F" w:rsidRDefault="00110FE6">
      <w:pPr>
        <w:pStyle w:val="BlockText"/>
      </w:pPr>
      <w:r w:rsidRPr="246FBB6F">
        <w:rPr>
          <w:lang w:val="fr-FR"/>
        </w:rPr>
        <w:lastRenderedPageBreak/>
        <w:t xml:space="preserve">Une contrainte de cardinalité précise si une entité « parent » peut appartenir à plusieurs entités « enfants » (principe du recouvrement ou </w:t>
      </w:r>
      <w:r w:rsidRPr="246FBB6F">
        <w:rPr>
          <w:i/>
          <w:iCs/>
          <w:lang w:val="fr-FR"/>
        </w:rPr>
        <w:t>overlapping</w:t>
      </w:r>
      <w:r w:rsidRPr="246FBB6F">
        <w:rPr>
          <w:lang w:val="fr-FR"/>
        </w:rPr>
        <w:t>) ou à un seul (principe de la disjonction).</w:t>
      </w:r>
    </w:p>
    <w:p w14:paraId="2FDE8691" w14:textId="77777777" w:rsidR="0084489F" w:rsidRDefault="00110FE6">
      <w:pPr>
        <w:pStyle w:val="BlockText"/>
      </w:pPr>
      <w:r>
        <w:rPr>
          <w:b/>
          <w:bCs/>
          <w:i/>
          <w:iCs/>
        </w:rPr>
        <w:t>Références</w:t>
      </w:r>
    </w:p>
    <w:p w14:paraId="06DD34BB" w14:textId="77777777" w:rsidR="0084489F" w:rsidRDefault="00110FE6">
      <w:pPr>
        <w:pStyle w:val="BlockText"/>
      </w:pPr>
      <w:r w:rsidRPr="246FBB6F">
        <w:rPr>
          <w:lang w:val="fr-FR"/>
        </w:rPr>
        <w:t xml:space="preserve">Termium. « cardinalité ». Dans </w:t>
      </w:r>
      <w:r w:rsidRPr="246FBB6F">
        <w:rPr>
          <w:i/>
          <w:iCs/>
          <w:lang w:val="fr-FR"/>
        </w:rPr>
        <w:t>Termium Plus</w:t>
      </w:r>
      <w:r w:rsidRPr="246FBB6F">
        <w:rPr>
          <w:lang w:val="fr-FR"/>
        </w:rPr>
        <w:t>. Ottawa, CA-ON: Gouvernement du Canada, 8 octobre 2009.</w:t>
      </w:r>
      <w:hyperlink r:id="rId82" w:anchor="resultrecs">
        <w:r w:rsidRPr="246FBB6F">
          <w:rPr>
            <w:rStyle w:val="Hyperlink"/>
            <w:lang w:val="fr-FR"/>
          </w:rPr>
          <w:t xml:space="preserve"> </w:t>
        </w:r>
      </w:hyperlink>
      <w:hyperlink r:id="rId83" w:anchor="resultrecs">
        <w:r w:rsidRPr="246FBB6F">
          <w:rPr>
            <w:rStyle w:val="Hyperlink"/>
            <w:lang w:val="fr-FR"/>
          </w:rPr>
          <w:t>https://www.btb.termiumplus.gc.ca/tpv2alpha/alpha-fra.html?lang=fra&amp;i=1&amp;srchtxt=cardinalit%C3%A9&amp;index=frt&amp;codom2nd_wet=1#resultrecs</w:t>
        </w:r>
      </w:hyperlink>
      <w:r w:rsidRPr="246FBB6F">
        <w:rPr>
          <w:lang w:val="fr-FR"/>
        </w:rPr>
        <w:t>.</w:t>
      </w:r>
    </w:p>
    <w:p w14:paraId="09EC9ACA" w14:textId="77777777" w:rsidR="004B7BCB" w:rsidRPr="004B7BCB" w:rsidRDefault="004B7BCB" w:rsidP="004B7BCB">
      <w:pPr>
        <w:pStyle w:val="BodyText"/>
      </w:pPr>
    </w:p>
    <w:p w14:paraId="6F3CAB6B" w14:textId="77777777" w:rsidR="0084489F" w:rsidRDefault="00110FE6">
      <w:pPr>
        <w:pStyle w:val="FirstParagraph"/>
      </w:pPr>
      <w:r w:rsidRPr="246FBB6F">
        <w:rPr>
          <w:b/>
          <w:bCs/>
          <w:lang w:val="fr-FR"/>
        </w:rPr>
        <w:t>plusieurs à plusieurs</w:t>
      </w:r>
    </w:p>
    <w:p w14:paraId="05891EA3" w14:textId="77777777" w:rsidR="0084489F" w:rsidRDefault="00110FE6">
      <w:pPr>
        <w:pStyle w:val="BodyText"/>
      </w:pPr>
      <w:r w:rsidRPr="246FBB6F">
        <w:rPr>
          <w:b/>
          <w:bCs/>
          <w:lang w:val="fr-FR"/>
        </w:rPr>
        <w:t>(0,n:0,n)</w:t>
      </w:r>
    </w:p>
    <w:p w14:paraId="6FA2CC70" w14:textId="77777777" w:rsidR="0084489F" w:rsidRDefault="00110FE6">
      <w:pPr>
        <w:pStyle w:val="BodyText"/>
      </w:pPr>
      <w:r w:rsidRPr="246FBB6F">
        <w:rPr>
          <w:lang w:val="fr-FR"/>
        </w:rPr>
        <w:t xml:space="preserve">Illimité : une </w:t>
      </w:r>
      <w:hyperlink w:anchor="terminologie-instance">
        <w:r w:rsidRPr="246FBB6F">
          <w:rPr>
            <w:rStyle w:val="Hyperlink"/>
            <w:lang w:val="fr-FR"/>
          </w:rPr>
          <w:t>instance</w:t>
        </w:r>
      </w:hyperlink>
      <w:r w:rsidRPr="246FBB6F">
        <w:rPr>
          <w:lang w:val="fr-FR"/>
        </w:rPr>
        <w:t xml:space="preserve"> du </w:t>
      </w:r>
      <w:hyperlink w:anchor="terminologie-domaine">
        <w:r w:rsidRPr="246FBB6F">
          <w:rPr>
            <w:rStyle w:val="Hyperlink"/>
            <w:lang w:val="fr-FR"/>
          </w:rPr>
          <w:t>domaine</w:t>
        </w:r>
      </w:hyperlink>
      <w:r w:rsidRPr="246FBB6F">
        <w:rPr>
          <w:lang w:val="fr-FR"/>
        </w:rPr>
        <w:t xml:space="preserve"> et une instance de la </w:t>
      </w:r>
      <w:hyperlink w:anchor="terminologie-portee">
        <w:r w:rsidRPr="246FBB6F">
          <w:rPr>
            <w:rStyle w:val="Hyperlink"/>
            <w:lang w:val="fr-FR"/>
          </w:rPr>
          <w:t>portée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peuvent n’avoir aucune, une ou plusieurs instances de la propriété. En d’autres termes, la propriété est optionnelle et répétable [n.d.t. c.-à-d. qu’une même propriété peut être utilisée à plusieurs reprises avec de mêmes instances de] son domaine et de sa portée.</w:t>
      </w:r>
    </w:p>
    <w:p w14:paraId="5389CC50" w14:textId="77777777" w:rsidR="0084489F" w:rsidRDefault="00110FE6">
      <w:pPr>
        <w:pStyle w:val="BlockText"/>
      </w:pPr>
      <w:r>
        <w:rPr>
          <w:b/>
          <w:bCs/>
          <w:i/>
          <w:iCs/>
        </w:rPr>
        <w:t>Note de traduction</w:t>
      </w:r>
    </w:p>
    <w:p w14:paraId="686FFAFE" w14:textId="77777777" w:rsidR="0084489F" w:rsidRDefault="00110FE6">
      <w:pPr>
        <w:pStyle w:val="BlockText"/>
      </w:pPr>
      <w:r>
        <w:t>Une propriété répétable est une propriété pouvant apparaître plus d'une fois dans un enregistrement avec le(s) même(s) domaine et/ou portée.</w:t>
      </w:r>
    </w:p>
    <w:p w14:paraId="2AFCCBA0" w14:textId="77777777" w:rsidR="0084489F" w:rsidRDefault="00110FE6">
      <w:pPr>
        <w:pStyle w:val="BlockText"/>
      </w:pPr>
      <w:r>
        <w:rPr>
          <w:b/>
          <w:bCs/>
          <w:i/>
          <w:iCs/>
        </w:rPr>
        <w:t>Références</w:t>
      </w:r>
    </w:p>
    <w:p w14:paraId="3F1C7B70" w14:textId="77777777" w:rsidR="0084489F" w:rsidRDefault="00110FE6">
      <w:pPr>
        <w:pStyle w:val="BlockText"/>
      </w:pPr>
      <w:r w:rsidRPr="246FBB6F">
        <w:rPr>
          <w:lang w:val="fr-FR"/>
        </w:rPr>
        <w:t xml:space="preserve">Termium. « répétable ». Dans </w:t>
      </w:r>
      <w:r w:rsidRPr="246FBB6F">
        <w:rPr>
          <w:i/>
          <w:iCs/>
          <w:lang w:val="fr-FR"/>
        </w:rPr>
        <w:t>Termium Plus</w:t>
      </w:r>
      <w:r w:rsidRPr="246FBB6F">
        <w:rPr>
          <w:lang w:val="fr-FR"/>
        </w:rPr>
        <w:t>. Ottawa, CA-ON: Gouvernement du Canada, 8 octobre 2009.</w:t>
      </w:r>
      <w:hyperlink r:id="rId84">
        <w:r w:rsidRPr="246FBB6F">
          <w:rPr>
            <w:rStyle w:val="Hyperlink"/>
            <w:lang w:val="fr-FR"/>
          </w:rPr>
          <w:t xml:space="preserve"> </w:t>
        </w:r>
      </w:hyperlink>
      <w:hyperlink r:id="rId85">
        <w:r w:rsidRPr="246FBB6F">
          <w:rPr>
            <w:rStyle w:val="Hyperlink"/>
            <w:lang w:val="fr-FR"/>
          </w:rPr>
          <w:t>https://www.btb.termiumplus.gc.ca/tpv2alpha/alpha-fra.html?lang=fra&amp;i=&amp;index=alt&amp;srchtxt=CATEGORIE%20REPETABLE</w:t>
        </w:r>
      </w:hyperlink>
      <w:r w:rsidRPr="246FBB6F">
        <w:rPr>
          <w:lang w:val="fr-FR"/>
        </w:rPr>
        <w:t>.</w:t>
      </w:r>
    </w:p>
    <w:p w14:paraId="3BF38A5C" w14:textId="77777777" w:rsidR="004B7BCB" w:rsidRPr="004B7BCB" w:rsidRDefault="004B7BCB" w:rsidP="004B7BCB">
      <w:pPr>
        <w:pStyle w:val="BodyText"/>
      </w:pPr>
    </w:p>
    <w:p w14:paraId="42B84803" w14:textId="77777777" w:rsidR="0084489F" w:rsidRDefault="00110FE6">
      <w:pPr>
        <w:pStyle w:val="FirstParagraph"/>
      </w:pPr>
      <w:r w:rsidRPr="246FBB6F">
        <w:rPr>
          <w:b/>
          <w:bCs/>
          <w:lang w:val="fr-FR"/>
        </w:rPr>
        <w:t>un à plusieurs</w:t>
      </w:r>
    </w:p>
    <w:p w14:paraId="32AF6A24" w14:textId="77777777" w:rsidR="0084489F" w:rsidRDefault="00110FE6">
      <w:pPr>
        <w:pStyle w:val="BodyText"/>
      </w:pPr>
      <w:r w:rsidRPr="246FBB6F">
        <w:rPr>
          <w:b/>
          <w:bCs/>
          <w:lang w:val="fr-FR"/>
        </w:rPr>
        <w:t>(0,n:0,1)</w:t>
      </w:r>
    </w:p>
    <w:p w14:paraId="0E87B2C2" w14:textId="77777777" w:rsidR="0084489F" w:rsidRDefault="00110FE6">
      <w:pPr>
        <w:pStyle w:val="BodyText"/>
      </w:pPr>
      <w:r w:rsidRPr="246FBB6F">
        <w:rPr>
          <w:lang w:val="fr-FR"/>
        </w:rPr>
        <w:t xml:space="preserve">Une </w:t>
      </w:r>
      <w:hyperlink w:anchor="terminologie-instance">
        <w:r w:rsidRPr="246FBB6F">
          <w:rPr>
            <w:rStyle w:val="Hyperlink"/>
            <w:lang w:val="fr-FR"/>
          </w:rPr>
          <w:t>instance</w:t>
        </w:r>
      </w:hyperlink>
      <w:r w:rsidRPr="246FBB6F">
        <w:rPr>
          <w:lang w:val="fr-FR"/>
        </w:rPr>
        <w:t xml:space="preserve"> individuelle du </w:t>
      </w:r>
      <w:hyperlink w:anchor="terminologie-domaine">
        <w:r w:rsidRPr="246FBB6F">
          <w:rPr>
            <w:rStyle w:val="Hyperlink"/>
            <w:lang w:val="fr-FR"/>
          </w:rPr>
          <w:t>domaine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peut n’avoir aucune, une ou plusieurs instance(s) de la propriété, mais une instance individuelle de sa </w:t>
      </w:r>
      <w:hyperlink w:anchor="terminologie-portee">
        <w:r w:rsidRPr="246FBB6F">
          <w:rPr>
            <w:rStyle w:val="Hyperlink"/>
            <w:lang w:val="fr-FR"/>
          </w:rPr>
          <w:t>portée</w:t>
        </w:r>
      </w:hyperlink>
      <w:r w:rsidRPr="246FBB6F">
        <w:rPr>
          <w:lang w:val="fr-FR"/>
        </w:rPr>
        <w:t xml:space="preserve"> ne peut pas faire l’objet d’une référence par plus d’une instance de cette même propriété. En d’autres termes, le domaine et la portée de la propriété sont optionnels, mais seul son domaine est répétable [n.d.t. c.-à-d. qu’une même propriété peut être utilisée à plusieurs reprises avec une même instance de son domaine]. Cette situation est parfois qualifiée de « sortance ».</w:t>
      </w:r>
    </w:p>
    <w:p w14:paraId="06E1817D" w14:textId="77777777" w:rsidR="0084489F" w:rsidRDefault="00110FE6">
      <w:pPr>
        <w:pStyle w:val="BlockText"/>
      </w:pPr>
      <w:r>
        <w:rPr>
          <w:b/>
          <w:bCs/>
          <w:i/>
          <w:iCs/>
        </w:rPr>
        <w:t>Note de traduction</w:t>
      </w:r>
    </w:p>
    <w:p w14:paraId="1431570E" w14:textId="77777777" w:rsidR="0084489F" w:rsidRDefault="00110FE6">
      <w:pPr>
        <w:pStyle w:val="BlockText"/>
      </w:pPr>
      <w:r>
        <w:t>Une propriété répétable est une propriété pouvant apparaître plus d'une fois dans un enregistrement avec le(s) même(s) domaine et/ou portée.</w:t>
      </w:r>
    </w:p>
    <w:p w14:paraId="43E561DE" w14:textId="77777777" w:rsidR="0084489F" w:rsidRDefault="00110FE6">
      <w:pPr>
        <w:pStyle w:val="BlockText"/>
      </w:pPr>
      <w:r w:rsidRPr="246FBB6F">
        <w:rPr>
          <w:lang w:val="fr-FR"/>
        </w:rPr>
        <w:t>Une recherche sommaire indique que le terme « fan-out » est surtout usité dans le domaine des circuits booléens et de l’intelligence artificielle, où il est parfois question d’arité sortante ou de sortance.</w:t>
      </w:r>
    </w:p>
    <w:p w14:paraId="51E85AD0" w14:textId="77777777" w:rsidR="0084489F" w:rsidRDefault="00110FE6">
      <w:pPr>
        <w:pStyle w:val="BlockText"/>
      </w:pPr>
      <w:r>
        <w:rPr>
          <w:b/>
          <w:bCs/>
          <w:i/>
          <w:iCs/>
        </w:rPr>
        <w:t>Références</w:t>
      </w:r>
    </w:p>
    <w:p w14:paraId="59F0BD3F" w14:textId="77777777" w:rsidR="0084489F" w:rsidRDefault="00110FE6">
      <w:pPr>
        <w:pStyle w:val="BlockText"/>
      </w:pPr>
      <w:r w:rsidRPr="246FBB6F">
        <w:rPr>
          <w:lang w:val="fr-FR"/>
        </w:rPr>
        <w:t xml:space="preserve">Termium. « fan-out ». Dans </w:t>
      </w:r>
      <w:r w:rsidRPr="246FBB6F">
        <w:rPr>
          <w:i/>
          <w:iCs/>
          <w:lang w:val="fr-FR"/>
        </w:rPr>
        <w:t>Termium Plus</w:t>
      </w:r>
      <w:r w:rsidRPr="246FBB6F">
        <w:rPr>
          <w:lang w:val="fr-FR"/>
        </w:rPr>
        <w:t>. Ottawa, CA-ON: Gouvernement du Canada, 8 octobre 2009.</w:t>
      </w:r>
      <w:hyperlink r:id="rId86" w:anchor="resultrecs">
        <w:r w:rsidRPr="246FBB6F">
          <w:rPr>
            <w:rStyle w:val="Hyperlink"/>
            <w:lang w:val="fr-FR"/>
          </w:rPr>
          <w:t xml:space="preserve"> </w:t>
        </w:r>
      </w:hyperlink>
      <w:hyperlink r:id="rId87" w:anchor="resultrecs">
        <w:r w:rsidRPr="246FBB6F">
          <w:rPr>
            <w:rStyle w:val="Hyperlink"/>
            <w:lang w:val="fr-FR"/>
          </w:rPr>
          <w:t>https://www.btb.termiumplus.gc.ca/tpv2alpha/alpha-fra.html?lang=fra&amp;i=1&amp;srchtxt=fan-out&amp;index=ent&amp;codom2nd_wet=1#resultrecs</w:t>
        </w:r>
      </w:hyperlink>
      <w:r w:rsidRPr="246FBB6F">
        <w:rPr>
          <w:lang w:val="fr-FR"/>
        </w:rPr>
        <w:t>.</w:t>
      </w:r>
    </w:p>
    <w:p w14:paraId="0398F202" w14:textId="77777777" w:rsidR="0084489F" w:rsidRDefault="00110FE6">
      <w:pPr>
        <w:pStyle w:val="BlockText"/>
      </w:pPr>
      <w:r w:rsidRPr="246FBB6F">
        <w:rPr>
          <w:lang w:val="fr-FR"/>
        </w:rPr>
        <w:t xml:space="preserve">———. « répétable ». Dans </w:t>
      </w:r>
      <w:r w:rsidRPr="246FBB6F">
        <w:rPr>
          <w:i/>
          <w:iCs/>
          <w:lang w:val="fr-FR"/>
        </w:rPr>
        <w:t>Termium Plus</w:t>
      </w:r>
      <w:r w:rsidRPr="246FBB6F">
        <w:rPr>
          <w:lang w:val="fr-FR"/>
        </w:rPr>
        <w:t>. Ottawa, CA-ON: Gouvernement du Canada, 8 octobre 2009.</w:t>
      </w:r>
      <w:hyperlink r:id="rId88">
        <w:r w:rsidRPr="246FBB6F">
          <w:rPr>
            <w:rStyle w:val="Hyperlink"/>
            <w:lang w:val="fr-FR"/>
          </w:rPr>
          <w:t xml:space="preserve"> </w:t>
        </w:r>
      </w:hyperlink>
      <w:hyperlink r:id="rId89">
        <w:r w:rsidRPr="246FBB6F">
          <w:rPr>
            <w:rStyle w:val="Hyperlink"/>
            <w:lang w:val="fr-FR"/>
          </w:rPr>
          <w:t>https://www.btb.termiumplus.gc.ca/tpv2alpha/alpha-fra.html?lang=fra&amp;i=&amp;index=alt&amp;srchtxt=CATEGORIE%20REPETABLE</w:t>
        </w:r>
      </w:hyperlink>
      <w:r w:rsidRPr="246FBB6F">
        <w:rPr>
          <w:lang w:val="fr-FR"/>
        </w:rPr>
        <w:t>.</w:t>
      </w:r>
    </w:p>
    <w:p w14:paraId="1D88DB38" w14:textId="77777777" w:rsidR="0084489F" w:rsidRDefault="00110FE6">
      <w:pPr>
        <w:pStyle w:val="BlockText"/>
      </w:pPr>
      <w:r w:rsidRPr="008C0D99">
        <w:rPr>
          <w:lang w:val="en-CA"/>
        </w:rPr>
        <w:t xml:space="preserve">Wikipédia. « Fan-out ». Dans </w:t>
      </w:r>
      <w:r w:rsidRPr="008C0D99">
        <w:rPr>
          <w:i/>
          <w:iCs/>
          <w:lang w:val="en-CA"/>
        </w:rPr>
        <w:t>Wikipédia</w:t>
      </w:r>
      <w:r w:rsidRPr="008C0D99">
        <w:rPr>
          <w:lang w:val="en-CA"/>
        </w:rPr>
        <w:t>. San Francisco, US-CA: Wikipédia, 11 novembre 2020.</w:t>
      </w:r>
      <w:hyperlink r:id="rId90">
        <w:r w:rsidRPr="008C0D99">
          <w:rPr>
            <w:rStyle w:val="Hyperlink"/>
            <w:lang w:val="en-CA"/>
          </w:rPr>
          <w:t xml:space="preserve"> </w:t>
        </w:r>
      </w:hyperlink>
      <w:hyperlink r:id="rId91">
        <w:r>
          <w:rPr>
            <w:rStyle w:val="Hyperlink"/>
          </w:rPr>
          <w:t>https://fr.wikipedia.org/w/index.php?title=Fan-out&amp;oldid=176479075</w:t>
        </w:r>
      </w:hyperlink>
      <w:r>
        <w:t>.</w:t>
      </w:r>
    </w:p>
    <w:p w14:paraId="39803602" w14:textId="77777777" w:rsidR="004B7BCB" w:rsidRPr="004B7BCB" w:rsidRDefault="004B7BCB" w:rsidP="004B7BCB">
      <w:pPr>
        <w:pStyle w:val="BodyText"/>
      </w:pPr>
    </w:p>
    <w:p w14:paraId="264EB86E" w14:textId="77777777" w:rsidR="0084489F" w:rsidRDefault="00110FE6">
      <w:pPr>
        <w:pStyle w:val="FirstParagraph"/>
      </w:pPr>
      <w:r w:rsidRPr="246FBB6F">
        <w:rPr>
          <w:b/>
          <w:bCs/>
          <w:lang w:val="fr-FR"/>
        </w:rPr>
        <w:t>plusieurs à un</w:t>
      </w:r>
    </w:p>
    <w:p w14:paraId="35061992" w14:textId="77777777" w:rsidR="0084489F" w:rsidRDefault="00110FE6">
      <w:pPr>
        <w:pStyle w:val="BodyText"/>
      </w:pPr>
      <w:r w:rsidRPr="246FBB6F">
        <w:rPr>
          <w:b/>
          <w:bCs/>
          <w:lang w:val="fr-FR"/>
        </w:rPr>
        <w:t>(0,1:0,n)</w:t>
      </w:r>
    </w:p>
    <w:p w14:paraId="460FC610" w14:textId="77777777" w:rsidR="0084489F" w:rsidRDefault="00110FE6">
      <w:pPr>
        <w:pStyle w:val="BodyText"/>
      </w:pPr>
      <w:r w:rsidRPr="246FBB6F">
        <w:rPr>
          <w:lang w:val="fr-FR"/>
        </w:rPr>
        <w:t xml:space="preserve">Une </w:t>
      </w:r>
      <w:hyperlink w:anchor="terminologie-instance">
        <w:r w:rsidRPr="246FBB6F">
          <w:rPr>
            <w:rStyle w:val="Hyperlink"/>
            <w:lang w:val="fr-FR"/>
          </w:rPr>
          <w:t>instance</w:t>
        </w:r>
      </w:hyperlink>
      <w:r w:rsidRPr="246FBB6F">
        <w:rPr>
          <w:lang w:val="fr-FR"/>
        </w:rPr>
        <w:t xml:space="preserve"> du </w:t>
      </w:r>
      <w:hyperlink w:anchor="terminologie-domaine">
        <w:r w:rsidRPr="246FBB6F">
          <w:rPr>
            <w:rStyle w:val="Hyperlink"/>
            <w:lang w:val="fr-FR"/>
          </w:rPr>
          <w:t>domaine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peut n’avoir aucune ou une seule instance de la propriété, mais une instance de sa </w:t>
      </w:r>
      <w:hyperlink w:anchor="terminologie-portee">
        <w:r w:rsidRPr="246FBB6F">
          <w:rPr>
            <w:rStyle w:val="Hyperlink"/>
            <w:lang w:val="fr-FR"/>
          </w:rPr>
          <w:t>portée</w:t>
        </w:r>
      </w:hyperlink>
      <w:r w:rsidRPr="246FBB6F">
        <w:rPr>
          <w:lang w:val="fr-FR"/>
        </w:rPr>
        <w:t xml:space="preserve"> peut être référencée par aucune, une ou plusieurs instances de la même propriété. En d’autres termes, le domaine et la portée de la propriété sont optionnels, mais seule sa portée est répétable [n.d.t. c.-à-d. qu’une même propriété peut être utilisée à plusieurs reprises avec une même instance de sa portée]. Cette situation est parfois qualifiée d’« entrance ».</w:t>
      </w:r>
    </w:p>
    <w:p w14:paraId="662E2D5A" w14:textId="77777777" w:rsidR="0084489F" w:rsidRDefault="00110FE6">
      <w:pPr>
        <w:pStyle w:val="BlockText"/>
      </w:pPr>
      <w:r>
        <w:rPr>
          <w:b/>
          <w:bCs/>
          <w:i/>
          <w:iCs/>
        </w:rPr>
        <w:t>Note de traduction</w:t>
      </w:r>
    </w:p>
    <w:p w14:paraId="148EB1DC" w14:textId="77777777" w:rsidR="0084489F" w:rsidRDefault="00110FE6">
      <w:pPr>
        <w:pStyle w:val="BlockText"/>
      </w:pPr>
      <w:r>
        <w:t>Une propriété répétable est une propriété pouvant apparaître plus d'une fois dans un enregistrement avec le(s) même(s) domaine et/ou portée.</w:t>
      </w:r>
    </w:p>
    <w:p w14:paraId="414A086F" w14:textId="77777777" w:rsidR="0084489F" w:rsidRDefault="00110FE6">
      <w:pPr>
        <w:pStyle w:val="BlockText"/>
      </w:pPr>
      <w:r w:rsidRPr="246FBB6F">
        <w:rPr>
          <w:lang w:val="fr-FR"/>
        </w:rPr>
        <w:t>Une recherche sommaire indique que le terme « fan-in » est surtout usité dans le domaine des circuits booléens et de l’intelligence artificielle où il est parfois question d’arité entrante ou d’entrance.</w:t>
      </w:r>
    </w:p>
    <w:p w14:paraId="5032570D" w14:textId="77777777" w:rsidR="0084489F" w:rsidRDefault="00110FE6">
      <w:pPr>
        <w:pStyle w:val="BlockText"/>
      </w:pPr>
      <w:r>
        <w:rPr>
          <w:b/>
          <w:bCs/>
          <w:i/>
          <w:iCs/>
        </w:rPr>
        <w:t>Références</w:t>
      </w:r>
    </w:p>
    <w:p w14:paraId="36426790" w14:textId="77777777" w:rsidR="0084489F" w:rsidRDefault="00110FE6">
      <w:pPr>
        <w:pStyle w:val="BlockText"/>
      </w:pPr>
      <w:r w:rsidRPr="246FBB6F">
        <w:rPr>
          <w:lang w:val="fr-FR"/>
        </w:rPr>
        <w:t xml:space="preserve">Termium. « fan-in ». Dans </w:t>
      </w:r>
      <w:r w:rsidRPr="246FBB6F">
        <w:rPr>
          <w:i/>
          <w:iCs/>
          <w:lang w:val="fr-FR"/>
        </w:rPr>
        <w:t>Termium Plus</w:t>
      </w:r>
      <w:r w:rsidRPr="246FBB6F">
        <w:rPr>
          <w:lang w:val="fr-FR"/>
        </w:rPr>
        <w:t>. Ottawa, CA-ON: Gouvernement du Canada, 8 octobre 2009.</w:t>
      </w:r>
      <w:hyperlink r:id="rId92" w:anchor="resultrecs">
        <w:r w:rsidRPr="246FBB6F">
          <w:rPr>
            <w:rStyle w:val="Hyperlink"/>
            <w:lang w:val="fr-FR"/>
          </w:rPr>
          <w:t xml:space="preserve"> </w:t>
        </w:r>
      </w:hyperlink>
      <w:hyperlink r:id="rId93" w:anchor="resultrecs">
        <w:r w:rsidRPr="246FBB6F">
          <w:rPr>
            <w:rStyle w:val="Hyperlink"/>
            <w:lang w:val="fr-FR"/>
          </w:rPr>
          <w:t>https://www.btb.termiumplus.gc.ca/tpv2alpha/alpha-fra.html?lang=fra&amp;i=1&amp;srchtxt=fan-in&amp;index=ent&amp;codom2nd_wet=1#resultrecs</w:t>
        </w:r>
      </w:hyperlink>
      <w:r w:rsidRPr="246FBB6F">
        <w:rPr>
          <w:lang w:val="fr-FR"/>
        </w:rPr>
        <w:t>.</w:t>
      </w:r>
    </w:p>
    <w:p w14:paraId="2C8BD0FC" w14:textId="77777777" w:rsidR="0084489F" w:rsidRDefault="00110FE6">
      <w:pPr>
        <w:pStyle w:val="BlockText"/>
      </w:pPr>
      <w:r w:rsidRPr="246FBB6F">
        <w:rPr>
          <w:lang w:val="fr-FR"/>
        </w:rPr>
        <w:t xml:space="preserve">———. « répétable ». Dans </w:t>
      </w:r>
      <w:r w:rsidRPr="246FBB6F">
        <w:rPr>
          <w:i/>
          <w:iCs/>
          <w:lang w:val="fr-FR"/>
        </w:rPr>
        <w:t>Termium Plus</w:t>
      </w:r>
      <w:r w:rsidRPr="246FBB6F">
        <w:rPr>
          <w:lang w:val="fr-FR"/>
        </w:rPr>
        <w:t>. Ottawa, CA-ON: Gouvernement du Canada, 8 octobre 2009.</w:t>
      </w:r>
      <w:hyperlink r:id="rId94">
        <w:r w:rsidRPr="246FBB6F">
          <w:rPr>
            <w:rStyle w:val="Hyperlink"/>
            <w:lang w:val="fr-FR"/>
          </w:rPr>
          <w:t xml:space="preserve"> </w:t>
        </w:r>
      </w:hyperlink>
      <w:hyperlink r:id="rId95">
        <w:r w:rsidRPr="246FBB6F">
          <w:rPr>
            <w:rStyle w:val="Hyperlink"/>
            <w:lang w:val="fr-FR"/>
          </w:rPr>
          <w:t>https://www.btb.termiumplus.gc.ca/tpv2alpha/alpha-fra.html?lang=fra&amp;i=&amp;index=alt&amp;srchtxt=CATEGORIE%20REPETABLE</w:t>
        </w:r>
      </w:hyperlink>
      <w:r w:rsidRPr="246FBB6F">
        <w:rPr>
          <w:lang w:val="fr-FR"/>
        </w:rPr>
        <w:t>.</w:t>
      </w:r>
    </w:p>
    <w:p w14:paraId="0ADD2CF1" w14:textId="77777777" w:rsidR="0084489F" w:rsidRDefault="00110FE6">
      <w:pPr>
        <w:pStyle w:val="BlockText"/>
      </w:pPr>
      <w:r w:rsidRPr="008C0D99">
        <w:rPr>
          <w:lang w:val="en-CA"/>
        </w:rPr>
        <w:t xml:space="preserve">Wikipédia. « Fan-in ». Dans </w:t>
      </w:r>
      <w:r w:rsidRPr="008C0D99">
        <w:rPr>
          <w:i/>
          <w:iCs/>
          <w:lang w:val="en-CA"/>
        </w:rPr>
        <w:t>Wikipédia</w:t>
      </w:r>
      <w:r w:rsidRPr="008C0D99">
        <w:rPr>
          <w:lang w:val="en-CA"/>
        </w:rPr>
        <w:t>. San Francisco, US-CA: Wikipédia, 11 novembre 2020.</w:t>
      </w:r>
      <w:hyperlink r:id="rId96">
        <w:r w:rsidRPr="008C0D99">
          <w:rPr>
            <w:rStyle w:val="Hyperlink"/>
            <w:lang w:val="en-CA"/>
          </w:rPr>
          <w:t xml:space="preserve"> </w:t>
        </w:r>
      </w:hyperlink>
      <w:hyperlink r:id="rId97">
        <w:r>
          <w:rPr>
            <w:rStyle w:val="Hyperlink"/>
          </w:rPr>
          <w:t>https://fr.wikipedia.org/w/index.php?title=Fan-in&amp;oldid=176479056</w:t>
        </w:r>
      </w:hyperlink>
      <w:r>
        <w:t>.</w:t>
      </w:r>
    </w:p>
    <w:p w14:paraId="7A521DA1" w14:textId="77777777" w:rsidR="004B7BCB" w:rsidRPr="004B7BCB" w:rsidRDefault="004B7BCB" w:rsidP="004B7BCB">
      <w:pPr>
        <w:pStyle w:val="BodyText"/>
      </w:pPr>
    </w:p>
    <w:p w14:paraId="6211C169" w14:textId="77777777" w:rsidR="0084489F" w:rsidRDefault="00110FE6">
      <w:pPr>
        <w:pStyle w:val="FirstParagraph"/>
      </w:pPr>
      <w:r w:rsidRPr="246FBB6F">
        <w:rPr>
          <w:b/>
          <w:bCs/>
          <w:lang w:val="fr-FR"/>
        </w:rPr>
        <w:t>plusieurs à plusieurs, nécessaire</w:t>
      </w:r>
    </w:p>
    <w:p w14:paraId="5E35CB42" w14:textId="77777777" w:rsidR="0084489F" w:rsidRDefault="00110FE6">
      <w:pPr>
        <w:pStyle w:val="BodyText"/>
      </w:pPr>
      <w:r w:rsidRPr="246FBB6F">
        <w:rPr>
          <w:b/>
          <w:bCs/>
          <w:lang w:val="fr-FR"/>
        </w:rPr>
        <w:t>(1,n:0,n)</w:t>
      </w:r>
    </w:p>
    <w:p w14:paraId="50C39551" w14:textId="77777777" w:rsidR="0084489F" w:rsidRDefault="00110FE6">
      <w:pPr>
        <w:pStyle w:val="BodyText"/>
      </w:pPr>
      <w:r>
        <w:t xml:space="preserve">Une </w:t>
      </w:r>
      <w:hyperlink w:anchor="terminologie-instance">
        <w:r>
          <w:rPr>
            <w:rStyle w:val="Hyperlink"/>
          </w:rPr>
          <w:t>instance</w:t>
        </w:r>
      </w:hyperlink>
      <w:r>
        <w:t xml:space="preserve"> individuelle du </w:t>
      </w:r>
      <w:hyperlink w:anchor="terminologie-domaine">
        <w:r>
          <w:rPr>
            <w:rStyle w:val="Hyperlink"/>
          </w:rPr>
          <w:t>domaine</w:t>
        </w:r>
      </w:hyperlink>
      <w:r>
        <w:t xml:space="preserve"> de cette </w:t>
      </w:r>
      <w:hyperlink w:anchor="terminologie-propriete">
        <w:r>
          <w:rPr>
            <w:rStyle w:val="Hyperlink"/>
          </w:rPr>
          <w:t>propriété</w:t>
        </w:r>
      </w:hyperlink>
      <w:r>
        <w:t xml:space="preserve"> peut avoir une ou plusieurs instance(s) de cette propriété, mais une instance individuelle de sa </w:t>
      </w:r>
      <w:hyperlink w:anchor="terminologie-portee">
        <w:r>
          <w:rPr>
            <w:rStyle w:val="Hyperlink"/>
          </w:rPr>
          <w:t>portée</w:t>
        </w:r>
      </w:hyperlink>
      <w:r>
        <w:t xml:space="preserve"> peut n’avoir aucune, une ou plusieurs instances de la même propriété. En d’autres termes, le domaine de la propriété est nécessaire et répétable [n.d.t. c.-à-d. qu’une même propriété peut être utilisée à plusieurs reprises avec une même instance de son domaine] alors que sa portée est optionnelle et répétable [n.d.t. c.-à-d. qu’une même propriété peut être utilisée à plusieurs reprises avec une même instance de sa portée].</w:t>
      </w:r>
    </w:p>
    <w:p w14:paraId="7A44254E" w14:textId="77777777" w:rsidR="0084489F" w:rsidRDefault="00110FE6">
      <w:pPr>
        <w:pStyle w:val="BlockText"/>
      </w:pPr>
      <w:r>
        <w:rPr>
          <w:b/>
          <w:bCs/>
          <w:i/>
          <w:iCs/>
        </w:rPr>
        <w:t>Note de traduction</w:t>
      </w:r>
    </w:p>
    <w:p w14:paraId="23581C38" w14:textId="77777777" w:rsidR="0084489F" w:rsidRDefault="00110FE6">
      <w:pPr>
        <w:pStyle w:val="BlockText"/>
      </w:pPr>
      <w:r>
        <w:rPr>
          <w:b/>
          <w:bCs/>
          <w:i/>
          <w:iCs/>
        </w:rPr>
        <w:t>Références</w:t>
      </w:r>
    </w:p>
    <w:p w14:paraId="063F65FE" w14:textId="77777777" w:rsidR="0084489F" w:rsidRDefault="0084489F">
      <w:pPr>
        <w:pStyle w:val="BlockText"/>
      </w:pPr>
    </w:p>
    <w:p w14:paraId="493865FD" w14:textId="77777777" w:rsidR="0084489F" w:rsidRDefault="00110FE6">
      <w:pPr>
        <w:pStyle w:val="FirstParagraph"/>
      </w:pPr>
      <w:r w:rsidRPr="246FBB6F">
        <w:rPr>
          <w:b/>
          <w:bCs/>
          <w:lang w:val="fr-FR"/>
        </w:rPr>
        <w:t>un à plusieurs, nécessaire</w:t>
      </w:r>
    </w:p>
    <w:p w14:paraId="13AD74E7" w14:textId="77777777" w:rsidR="0084489F" w:rsidRDefault="00110FE6">
      <w:pPr>
        <w:pStyle w:val="BodyText"/>
      </w:pPr>
      <w:r w:rsidRPr="246FBB6F">
        <w:rPr>
          <w:b/>
          <w:bCs/>
          <w:lang w:val="fr-FR"/>
        </w:rPr>
        <w:t>(1,n:0,1)</w:t>
      </w:r>
    </w:p>
    <w:p w14:paraId="006A7B2B" w14:textId="77777777" w:rsidR="0084489F" w:rsidRDefault="00110FE6">
      <w:pPr>
        <w:pStyle w:val="BodyText"/>
      </w:pPr>
      <w:r w:rsidRPr="246FBB6F">
        <w:rPr>
          <w:lang w:val="fr-FR"/>
        </w:rPr>
        <w:t xml:space="preserve">Une </w:t>
      </w:r>
      <w:hyperlink w:anchor="terminologie-instance">
        <w:r w:rsidRPr="246FBB6F">
          <w:rPr>
            <w:rStyle w:val="Hyperlink"/>
            <w:lang w:val="fr-FR"/>
          </w:rPr>
          <w:t>instance</w:t>
        </w:r>
      </w:hyperlink>
      <w:r w:rsidRPr="246FBB6F">
        <w:rPr>
          <w:lang w:val="fr-FR"/>
        </w:rPr>
        <w:t xml:space="preserve"> individuelle du </w:t>
      </w:r>
      <w:hyperlink w:anchor="terminologie-domaine">
        <w:r w:rsidRPr="246FBB6F">
          <w:rPr>
            <w:rStyle w:val="Hyperlink"/>
            <w:lang w:val="fr-FR"/>
          </w:rPr>
          <w:t>domaine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peut n’avoir qu’une seule ou plusieurs instance(s) de la propriété, mais une instance individuelle de sa </w:t>
      </w:r>
      <w:hyperlink w:anchor="terminologie-portee">
        <w:r w:rsidRPr="246FBB6F">
          <w:rPr>
            <w:rStyle w:val="Hyperlink"/>
            <w:lang w:val="fr-FR"/>
          </w:rPr>
          <w:t>portée</w:t>
        </w:r>
      </w:hyperlink>
      <w:r w:rsidRPr="246FBB6F">
        <w:rPr>
          <w:lang w:val="fr-FR"/>
        </w:rPr>
        <w:t xml:space="preserve"> ne peut pas être référencée par plus d’une instance de la même propriété. En d’autres termes, le domaine de la propriété est nécessaire et répétable [n.d.t. c.-à-d. qu’une même propriété peut être utilisée à plusieurs reprises avec une même instance de son domaine], mais sa portée est optionnelle. Dans certains contextes, cette situation est qualifiée de « sortance ».</w:t>
      </w:r>
    </w:p>
    <w:p w14:paraId="1003CB69" w14:textId="77777777" w:rsidR="0084489F" w:rsidRDefault="00110FE6" w:rsidP="004B7BCB">
      <w:pPr>
        <w:pStyle w:val="BlockText"/>
        <w:keepNext/>
        <w:ind w:left="475" w:right="475"/>
      </w:pPr>
      <w:r>
        <w:rPr>
          <w:b/>
          <w:bCs/>
          <w:i/>
          <w:iCs/>
        </w:rPr>
        <w:lastRenderedPageBreak/>
        <w:t>Note de traduction</w:t>
      </w:r>
    </w:p>
    <w:p w14:paraId="7C9F23C1" w14:textId="77777777" w:rsidR="0084489F" w:rsidRDefault="00110FE6" w:rsidP="004B7BCB">
      <w:pPr>
        <w:pStyle w:val="BlockText"/>
        <w:keepNext/>
        <w:ind w:left="475" w:right="475"/>
      </w:pPr>
      <w:r>
        <w:t>Une propriété répétable est une propriété pouvant apparaître plus d'une fois dans un enregistrement avec le(s) même(s) domaine et/ou portée.</w:t>
      </w:r>
    </w:p>
    <w:p w14:paraId="002B99B1" w14:textId="77777777" w:rsidR="0084489F" w:rsidRDefault="00110FE6">
      <w:pPr>
        <w:pStyle w:val="BlockText"/>
      </w:pPr>
      <w:r w:rsidRPr="246FBB6F">
        <w:rPr>
          <w:lang w:val="fr-FR"/>
        </w:rPr>
        <w:t>Une recherche sommaire indique que le terme « fan-out » est surtout usité dans le domaine des circuits booléens et de l’intelligence artificielle, où il est parfois question d’arité sortante ou de sortance.</w:t>
      </w:r>
    </w:p>
    <w:p w14:paraId="23B3CCD5" w14:textId="77777777" w:rsidR="0084489F" w:rsidRDefault="00110FE6">
      <w:pPr>
        <w:pStyle w:val="BlockText"/>
      </w:pPr>
      <w:r>
        <w:rPr>
          <w:b/>
          <w:bCs/>
          <w:i/>
          <w:iCs/>
        </w:rPr>
        <w:t>Références</w:t>
      </w:r>
    </w:p>
    <w:p w14:paraId="43C5BD54" w14:textId="77777777" w:rsidR="0084489F" w:rsidRDefault="00110FE6">
      <w:pPr>
        <w:pStyle w:val="BlockText"/>
      </w:pPr>
      <w:r w:rsidRPr="246FBB6F">
        <w:rPr>
          <w:lang w:val="fr-FR"/>
        </w:rPr>
        <w:t xml:space="preserve">Termium. « fan-out ». Dans </w:t>
      </w:r>
      <w:r w:rsidRPr="246FBB6F">
        <w:rPr>
          <w:i/>
          <w:iCs/>
          <w:lang w:val="fr-FR"/>
        </w:rPr>
        <w:t>Termium Plus</w:t>
      </w:r>
      <w:r w:rsidRPr="246FBB6F">
        <w:rPr>
          <w:lang w:val="fr-FR"/>
        </w:rPr>
        <w:t>. Ottawa, CA-ON: Gouvernement du Canada, 8 octobre 2009.</w:t>
      </w:r>
      <w:hyperlink r:id="rId98" w:anchor="resultrecs">
        <w:r w:rsidRPr="246FBB6F">
          <w:rPr>
            <w:rStyle w:val="Hyperlink"/>
            <w:lang w:val="fr-FR"/>
          </w:rPr>
          <w:t xml:space="preserve"> </w:t>
        </w:r>
      </w:hyperlink>
      <w:hyperlink r:id="rId99" w:anchor="resultrecs">
        <w:r w:rsidRPr="246FBB6F">
          <w:rPr>
            <w:rStyle w:val="Hyperlink"/>
            <w:lang w:val="fr-FR"/>
          </w:rPr>
          <w:t>https://www.btb.termiumplus.gc.ca/tpv2alpha/alpha-fra.html?lang=fra&amp;i=1&amp;srchtxt=fan-out&amp;index=ent&amp;codom2nd_wet=1#resultrecs</w:t>
        </w:r>
      </w:hyperlink>
      <w:r w:rsidRPr="246FBB6F">
        <w:rPr>
          <w:lang w:val="fr-FR"/>
        </w:rPr>
        <w:t>.</w:t>
      </w:r>
    </w:p>
    <w:p w14:paraId="13FD1F5A" w14:textId="77777777" w:rsidR="0084489F" w:rsidRDefault="00110FE6">
      <w:pPr>
        <w:pStyle w:val="BlockText"/>
      </w:pPr>
      <w:r w:rsidRPr="246FBB6F">
        <w:rPr>
          <w:lang w:val="fr-FR"/>
        </w:rPr>
        <w:t xml:space="preserve">———. « répétable ». Dans </w:t>
      </w:r>
      <w:r w:rsidRPr="246FBB6F">
        <w:rPr>
          <w:i/>
          <w:iCs/>
          <w:lang w:val="fr-FR"/>
        </w:rPr>
        <w:t>Termium Plus</w:t>
      </w:r>
      <w:r w:rsidRPr="246FBB6F">
        <w:rPr>
          <w:lang w:val="fr-FR"/>
        </w:rPr>
        <w:t>. Ottawa, CA-ON: Gouvernement du Canada, 8 octobre 2009.</w:t>
      </w:r>
      <w:hyperlink r:id="rId100">
        <w:r w:rsidRPr="246FBB6F">
          <w:rPr>
            <w:rStyle w:val="Hyperlink"/>
            <w:lang w:val="fr-FR"/>
          </w:rPr>
          <w:t xml:space="preserve"> </w:t>
        </w:r>
      </w:hyperlink>
      <w:hyperlink r:id="rId101">
        <w:r w:rsidRPr="246FBB6F">
          <w:rPr>
            <w:rStyle w:val="Hyperlink"/>
            <w:lang w:val="fr-FR"/>
          </w:rPr>
          <w:t>https://www.btb.termiumplus.gc.ca/tpv2alpha/alpha-fra.html?lang=fra&amp;i=&amp;index=alt&amp;srchtxt=CATEGORIE%20REPETABLE</w:t>
        </w:r>
      </w:hyperlink>
      <w:r w:rsidRPr="246FBB6F">
        <w:rPr>
          <w:lang w:val="fr-FR"/>
        </w:rPr>
        <w:t>.</w:t>
      </w:r>
    </w:p>
    <w:p w14:paraId="70A87F62" w14:textId="77777777" w:rsidR="0084489F" w:rsidRDefault="00110FE6">
      <w:pPr>
        <w:pStyle w:val="BlockText"/>
      </w:pPr>
      <w:r w:rsidRPr="008C0D99">
        <w:rPr>
          <w:lang w:val="en-CA"/>
        </w:rPr>
        <w:t xml:space="preserve">Wikipédia. « Fan-out ». Dans </w:t>
      </w:r>
      <w:r w:rsidRPr="008C0D99">
        <w:rPr>
          <w:i/>
          <w:iCs/>
          <w:lang w:val="en-CA"/>
        </w:rPr>
        <w:t>Wikipédia</w:t>
      </w:r>
      <w:r w:rsidRPr="008C0D99">
        <w:rPr>
          <w:lang w:val="en-CA"/>
        </w:rPr>
        <w:t>. San Francisco, US-CA: Wikipédia, 11 novembre 2020.</w:t>
      </w:r>
      <w:hyperlink r:id="rId102">
        <w:r w:rsidRPr="008C0D99">
          <w:rPr>
            <w:rStyle w:val="Hyperlink"/>
            <w:lang w:val="en-CA"/>
          </w:rPr>
          <w:t xml:space="preserve"> </w:t>
        </w:r>
      </w:hyperlink>
      <w:hyperlink r:id="rId103">
        <w:r>
          <w:rPr>
            <w:rStyle w:val="Hyperlink"/>
          </w:rPr>
          <w:t>https://fr.wikipedia.org/w/index.php?title=Fan-out&amp;oldid=176479075</w:t>
        </w:r>
      </w:hyperlink>
      <w:r>
        <w:t>.</w:t>
      </w:r>
    </w:p>
    <w:p w14:paraId="6BF10906" w14:textId="77777777" w:rsidR="004B7BCB" w:rsidRPr="004B7BCB" w:rsidRDefault="004B7BCB" w:rsidP="004B7BCB">
      <w:pPr>
        <w:pStyle w:val="BodyText"/>
      </w:pPr>
    </w:p>
    <w:p w14:paraId="0B2BBB94" w14:textId="77777777" w:rsidR="0084489F" w:rsidRDefault="00110FE6">
      <w:pPr>
        <w:pStyle w:val="FirstParagraph"/>
      </w:pPr>
      <w:r w:rsidRPr="246FBB6F">
        <w:rPr>
          <w:b/>
          <w:bCs/>
          <w:lang w:val="fr-FR"/>
        </w:rPr>
        <w:t>plusieurs à un, nécessaire</w:t>
      </w:r>
    </w:p>
    <w:p w14:paraId="27C7E2AD" w14:textId="77777777" w:rsidR="0084489F" w:rsidRDefault="00110FE6">
      <w:pPr>
        <w:pStyle w:val="BodyText"/>
      </w:pPr>
      <w:r w:rsidRPr="246FBB6F">
        <w:rPr>
          <w:b/>
          <w:bCs/>
          <w:lang w:val="fr-FR"/>
        </w:rPr>
        <w:t>(1,1:0,n)</w:t>
      </w:r>
    </w:p>
    <w:p w14:paraId="3A4FCC62" w14:textId="77777777" w:rsidR="0084489F" w:rsidRDefault="00110FE6">
      <w:pPr>
        <w:pStyle w:val="BodyText"/>
      </w:pPr>
      <w:r w:rsidRPr="246FBB6F">
        <w:rPr>
          <w:lang w:val="fr-FR"/>
        </w:rPr>
        <w:t xml:space="preserve">Une </w:t>
      </w:r>
      <w:hyperlink w:anchor="terminologie-instance">
        <w:r w:rsidRPr="246FBB6F">
          <w:rPr>
            <w:rStyle w:val="Hyperlink"/>
            <w:lang w:val="fr-FR"/>
          </w:rPr>
          <w:t>instance</w:t>
        </w:r>
      </w:hyperlink>
      <w:r w:rsidRPr="246FBB6F">
        <w:rPr>
          <w:lang w:val="fr-FR"/>
        </w:rPr>
        <w:t xml:space="preserve"> du </w:t>
      </w:r>
      <w:hyperlink w:anchor="terminologie-domaine">
        <w:r w:rsidRPr="246FBB6F">
          <w:rPr>
            <w:rStyle w:val="Hyperlink"/>
            <w:lang w:val="fr-FR"/>
          </w:rPr>
          <w:t>domaine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peut n’avoir qu’une seule instance de la propriété, mais une instance de sa </w:t>
      </w:r>
      <w:hyperlink w:anchor="terminologie-portee">
        <w:r w:rsidRPr="246FBB6F">
          <w:rPr>
            <w:rStyle w:val="Hyperlink"/>
            <w:lang w:val="fr-FR"/>
          </w:rPr>
          <w:t>portée</w:t>
        </w:r>
      </w:hyperlink>
      <w:r w:rsidRPr="246FBB6F">
        <w:rPr>
          <w:lang w:val="fr-FR"/>
        </w:rPr>
        <w:t xml:space="preserve"> peut être référencée par aucune, une ou plusieurs instances de la même propriété. En d’autres termes, le domaine de la propriété est nécessaire et non répétable [n.d.t. c.-à-d. qu’une même propriété ne peut être utilisée qu'une seule fois avec une instance spécifique de son domaine], mais sa portée est optionnelle et répétable [n.d.t. c.-à-d. qu’une même propriété peut être utilisée à plusieurs reprises avec une même instance de sa portée]. Cette situation est parfois qualifiée d’« entrance ».</w:t>
      </w:r>
    </w:p>
    <w:p w14:paraId="226094A9" w14:textId="77777777" w:rsidR="0084489F" w:rsidRDefault="00110FE6">
      <w:pPr>
        <w:pStyle w:val="BlockText"/>
      </w:pPr>
      <w:r>
        <w:rPr>
          <w:b/>
          <w:bCs/>
          <w:i/>
          <w:iCs/>
        </w:rPr>
        <w:t>Note de traduction</w:t>
      </w:r>
    </w:p>
    <w:p w14:paraId="6E33CEB0" w14:textId="77777777" w:rsidR="0084489F" w:rsidRDefault="00110FE6">
      <w:pPr>
        <w:pStyle w:val="BlockText"/>
      </w:pPr>
      <w:r>
        <w:t>Une propriété répétable est une propriété pouvant apparaître plus d'une fois dans un enregistrement avec le(s) même(s) domaine et/ou portée.</w:t>
      </w:r>
    </w:p>
    <w:p w14:paraId="548D3816" w14:textId="77777777" w:rsidR="0084489F" w:rsidRDefault="00110FE6">
      <w:pPr>
        <w:pStyle w:val="BlockText"/>
      </w:pPr>
      <w:r w:rsidRPr="246FBB6F">
        <w:rPr>
          <w:lang w:val="fr-FR"/>
        </w:rPr>
        <w:t>Une recherche sommaire indique que le terme « fan-in » est surtout usité dans le domaine des circuits booléens et de l’intelligence artificielle, où il est parfois question d’arité entrante ou d’entrance.</w:t>
      </w:r>
    </w:p>
    <w:p w14:paraId="48AD9176" w14:textId="77777777" w:rsidR="0084489F" w:rsidRDefault="00110FE6">
      <w:pPr>
        <w:pStyle w:val="BlockText"/>
      </w:pPr>
      <w:r>
        <w:rPr>
          <w:b/>
          <w:bCs/>
          <w:i/>
          <w:iCs/>
        </w:rPr>
        <w:t>Références</w:t>
      </w:r>
    </w:p>
    <w:p w14:paraId="45B2442B" w14:textId="77777777" w:rsidR="0084489F" w:rsidRDefault="00110FE6">
      <w:pPr>
        <w:pStyle w:val="BlockText"/>
      </w:pPr>
      <w:r w:rsidRPr="246FBB6F">
        <w:rPr>
          <w:lang w:val="fr-FR"/>
        </w:rPr>
        <w:t xml:space="preserve">Termium. « fan-in ». Dans </w:t>
      </w:r>
      <w:r w:rsidRPr="246FBB6F">
        <w:rPr>
          <w:i/>
          <w:iCs/>
          <w:lang w:val="fr-FR"/>
        </w:rPr>
        <w:t>Termium Plus</w:t>
      </w:r>
      <w:r w:rsidRPr="246FBB6F">
        <w:rPr>
          <w:lang w:val="fr-FR"/>
        </w:rPr>
        <w:t>. Ottawa, CA-ON: Gouvernement du Canada, 8 octobre 2009.</w:t>
      </w:r>
      <w:hyperlink r:id="rId104" w:anchor="resultrecs">
        <w:r w:rsidRPr="246FBB6F">
          <w:rPr>
            <w:rStyle w:val="Hyperlink"/>
            <w:lang w:val="fr-FR"/>
          </w:rPr>
          <w:t xml:space="preserve"> </w:t>
        </w:r>
      </w:hyperlink>
      <w:hyperlink r:id="rId105" w:anchor="resultrecs">
        <w:r w:rsidRPr="246FBB6F">
          <w:rPr>
            <w:rStyle w:val="Hyperlink"/>
            <w:lang w:val="fr-FR"/>
          </w:rPr>
          <w:t>https://www.btb.termiumplus.gc.ca/tpv2alpha/alpha-fra.html?lang=fra&amp;i=1&amp;srchtxt=fan-in&amp;index=ent&amp;codom2nd_wet=1#resultrecs</w:t>
        </w:r>
      </w:hyperlink>
      <w:r w:rsidRPr="246FBB6F">
        <w:rPr>
          <w:lang w:val="fr-FR"/>
        </w:rPr>
        <w:t>.</w:t>
      </w:r>
    </w:p>
    <w:p w14:paraId="62EDF977" w14:textId="77777777" w:rsidR="0084489F" w:rsidRDefault="00110FE6">
      <w:pPr>
        <w:pStyle w:val="BlockText"/>
      </w:pPr>
      <w:r w:rsidRPr="246FBB6F">
        <w:rPr>
          <w:lang w:val="fr-FR"/>
        </w:rPr>
        <w:t xml:space="preserve">———. « répétable ». Dans </w:t>
      </w:r>
      <w:r w:rsidRPr="246FBB6F">
        <w:rPr>
          <w:i/>
          <w:iCs/>
          <w:lang w:val="fr-FR"/>
        </w:rPr>
        <w:t>Termium Plus</w:t>
      </w:r>
      <w:r w:rsidRPr="246FBB6F">
        <w:rPr>
          <w:lang w:val="fr-FR"/>
        </w:rPr>
        <w:t>. Ottawa, CA-ON: Gouvernement du Canada, 8 octobre 2009.</w:t>
      </w:r>
      <w:hyperlink r:id="rId106">
        <w:r w:rsidRPr="246FBB6F">
          <w:rPr>
            <w:rStyle w:val="Hyperlink"/>
            <w:lang w:val="fr-FR"/>
          </w:rPr>
          <w:t xml:space="preserve"> </w:t>
        </w:r>
      </w:hyperlink>
      <w:hyperlink r:id="rId107">
        <w:r w:rsidRPr="246FBB6F">
          <w:rPr>
            <w:rStyle w:val="Hyperlink"/>
            <w:lang w:val="fr-FR"/>
          </w:rPr>
          <w:t>https://www.btb.termiumplus.gc.ca/tpv2alpha/alpha-fra.html?lang=fra&amp;i=&amp;index=alt&amp;srchtxt=CATEGORIE%20REPETABLE</w:t>
        </w:r>
      </w:hyperlink>
      <w:r w:rsidRPr="246FBB6F">
        <w:rPr>
          <w:lang w:val="fr-FR"/>
        </w:rPr>
        <w:t>.</w:t>
      </w:r>
    </w:p>
    <w:p w14:paraId="5E882DE2" w14:textId="77777777" w:rsidR="0084489F" w:rsidRDefault="00110FE6">
      <w:pPr>
        <w:pStyle w:val="BlockText"/>
      </w:pPr>
      <w:r w:rsidRPr="008C0D99">
        <w:rPr>
          <w:lang w:val="en-CA"/>
        </w:rPr>
        <w:t xml:space="preserve">Wikipédia. « Fan-in ». Dans </w:t>
      </w:r>
      <w:r w:rsidRPr="008C0D99">
        <w:rPr>
          <w:i/>
          <w:iCs/>
          <w:lang w:val="en-CA"/>
        </w:rPr>
        <w:t>Wikipédia</w:t>
      </w:r>
      <w:r w:rsidRPr="008C0D99">
        <w:rPr>
          <w:lang w:val="en-CA"/>
        </w:rPr>
        <w:t>. San Francisco, US-CA: Wikipédia, 11 novembre 2020.</w:t>
      </w:r>
      <w:hyperlink r:id="rId108">
        <w:r w:rsidRPr="008C0D99">
          <w:rPr>
            <w:rStyle w:val="Hyperlink"/>
            <w:lang w:val="en-CA"/>
          </w:rPr>
          <w:t xml:space="preserve"> </w:t>
        </w:r>
      </w:hyperlink>
      <w:hyperlink r:id="rId109">
        <w:r>
          <w:rPr>
            <w:rStyle w:val="Hyperlink"/>
          </w:rPr>
          <w:t>https://fr.wikipedia.org/w/index.php?title=Fan-in&amp;oldid=176479056</w:t>
        </w:r>
      </w:hyperlink>
      <w:r>
        <w:t>.</w:t>
      </w:r>
    </w:p>
    <w:p w14:paraId="6A8A3C69" w14:textId="77777777" w:rsidR="004B7BCB" w:rsidRPr="004B7BCB" w:rsidRDefault="004B7BCB" w:rsidP="004B7BCB">
      <w:pPr>
        <w:pStyle w:val="BodyText"/>
      </w:pPr>
    </w:p>
    <w:p w14:paraId="29552745" w14:textId="77777777" w:rsidR="0084489F" w:rsidRDefault="00110FE6">
      <w:pPr>
        <w:pStyle w:val="FirstParagraph"/>
      </w:pPr>
      <w:r w:rsidRPr="246FBB6F">
        <w:rPr>
          <w:b/>
          <w:bCs/>
          <w:lang w:val="fr-FR"/>
        </w:rPr>
        <w:t>un à plusieurs, dépendant</w:t>
      </w:r>
    </w:p>
    <w:p w14:paraId="42D058AF" w14:textId="77777777" w:rsidR="0084489F" w:rsidRDefault="00110FE6">
      <w:pPr>
        <w:pStyle w:val="BodyText"/>
      </w:pPr>
      <w:r w:rsidRPr="246FBB6F">
        <w:rPr>
          <w:b/>
          <w:bCs/>
          <w:lang w:val="fr-FR"/>
        </w:rPr>
        <w:t>(0,n:1,1)</w:t>
      </w:r>
    </w:p>
    <w:p w14:paraId="4DE70A83" w14:textId="77777777" w:rsidR="0084489F" w:rsidRDefault="00110FE6">
      <w:pPr>
        <w:pStyle w:val="BodyText"/>
      </w:pPr>
      <w:r w:rsidRPr="246FBB6F">
        <w:rPr>
          <w:lang w:val="fr-FR"/>
        </w:rPr>
        <w:t xml:space="preserve">Une </w:t>
      </w:r>
      <w:hyperlink w:anchor="terminologie-instance">
        <w:r w:rsidRPr="246FBB6F">
          <w:rPr>
            <w:rStyle w:val="Hyperlink"/>
            <w:lang w:val="fr-FR"/>
          </w:rPr>
          <w:t>instance</w:t>
        </w:r>
      </w:hyperlink>
      <w:r w:rsidRPr="246FBB6F">
        <w:rPr>
          <w:lang w:val="fr-FR"/>
        </w:rPr>
        <w:t xml:space="preserve"> individuelle du </w:t>
      </w:r>
      <w:hyperlink w:anchor="terminologie-domaine">
        <w:r w:rsidRPr="246FBB6F">
          <w:rPr>
            <w:rStyle w:val="Hyperlink"/>
            <w:lang w:val="fr-FR"/>
          </w:rPr>
          <w:t>domaine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peut n’avoir aucune, une ou plusieurs instance(s) de la propriété, mais une instance individuelle de sa </w:t>
      </w:r>
      <w:hyperlink w:anchor="terminologie-portee">
        <w:r w:rsidRPr="246FBB6F">
          <w:rPr>
            <w:rStyle w:val="Hyperlink"/>
            <w:lang w:val="fr-FR"/>
          </w:rPr>
          <w:t>portée</w:t>
        </w:r>
      </w:hyperlink>
      <w:r w:rsidRPr="246FBB6F">
        <w:rPr>
          <w:lang w:val="fr-FR"/>
        </w:rPr>
        <w:t xml:space="preserve"> ne doit être référencée que par une seule instance de la même propriété. En d’autres termes, le domaine de cette propriété est optionnel </w:t>
      </w:r>
      <w:r w:rsidRPr="246FBB6F">
        <w:rPr>
          <w:lang w:val="fr-FR"/>
        </w:rPr>
        <w:lastRenderedPageBreak/>
        <w:t xml:space="preserve">et répétable [n.d.t. c.-à-d. qu’une même propriété peut être utilisée à plusieurs reprises avec une même instance de son domaine], mais sa portée est nécessaire et non répétable [n.d.t. c.-à-d. qu’une même propriété ne peut être utilisée qu'une seule fois avec une instance spécifique de sa portée]. Cette situation est parfois qualifiée de « sortance ». </w:t>
      </w:r>
    </w:p>
    <w:p w14:paraId="338B34BC" w14:textId="77777777" w:rsidR="0084489F" w:rsidRDefault="00110FE6">
      <w:pPr>
        <w:pStyle w:val="BlockText"/>
      </w:pPr>
      <w:r>
        <w:rPr>
          <w:b/>
          <w:bCs/>
          <w:i/>
          <w:iCs/>
        </w:rPr>
        <w:t>Note de traduction</w:t>
      </w:r>
    </w:p>
    <w:p w14:paraId="7E72CE69" w14:textId="77777777" w:rsidR="0084489F" w:rsidRDefault="00110FE6">
      <w:pPr>
        <w:pStyle w:val="BlockText"/>
      </w:pPr>
      <w:r>
        <w:t>Une propriété répétable est une propriété pouvant apparaître plus d'une fois dans un enregistrement avec le(s) même(s) domaine et/ou portée.</w:t>
      </w:r>
    </w:p>
    <w:p w14:paraId="1565823D" w14:textId="77777777" w:rsidR="0084489F" w:rsidRDefault="00110FE6">
      <w:pPr>
        <w:pStyle w:val="BlockText"/>
      </w:pPr>
      <w:r w:rsidRPr="246FBB6F">
        <w:rPr>
          <w:lang w:val="fr-FR"/>
        </w:rPr>
        <w:t>Une recherche sommaire indique que le terme « fan-out » est surtout usité dans le domaine des circuits booléens et de l’intelligence artificielle où il est parfois question d’arité sortante ou de sortance.</w:t>
      </w:r>
    </w:p>
    <w:p w14:paraId="72422DCE" w14:textId="77777777" w:rsidR="0084489F" w:rsidRDefault="00110FE6">
      <w:pPr>
        <w:pStyle w:val="BlockText"/>
      </w:pPr>
      <w:r>
        <w:rPr>
          <w:b/>
          <w:bCs/>
          <w:i/>
          <w:iCs/>
        </w:rPr>
        <w:t>Références</w:t>
      </w:r>
    </w:p>
    <w:p w14:paraId="6FE43B42" w14:textId="77777777" w:rsidR="0084489F" w:rsidRDefault="00110FE6">
      <w:pPr>
        <w:pStyle w:val="BlockText"/>
      </w:pPr>
      <w:r w:rsidRPr="246FBB6F">
        <w:rPr>
          <w:lang w:val="fr-FR"/>
        </w:rPr>
        <w:t xml:space="preserve">Termium. « fan-out ». Dans </w:t>
      </w:r>
      <w:r w:rsidRPr="246FBB6F">
        <w:rPr>
          <w:i/>
          <w:iCs/>
          <w:lang w:val="fr-FR"/>
        </w:rPr>
        <w:t>Termium Plus</w:t>
      </w:r>
      <w:r w:rsidRPr="246FBB6F">
        <w:rPr>
          <w:lang w:val="fr-FR"/>
        </w:rPr>
        <w:t>. Ottawa, CA-ON: Gouvernement du Canada, 8 octobre 2009.</w:t>
      </w:r>
      <w:hyperlink r:id="rId110" w:anchor="resultrecs">
        <w:r w:rsidRPr="246FBB6F">
          <w:rPr>
            <w:rStyle w:val="Hyperlink"/>
            <w:lang w:val="fr-FR"/>
          </w:rPr>
          <w:t xml:space="preserve"> </w:t>
        </w:r>
      </w:hyperlink>
      <w:hyperlink r:id="rId111" w:anchor="resultrecs">
        <w:r w:rsidRPr="246FBB6F">
          <w:rPr>
            <w:rStyle w:val="Hyperlink"/>
            <w:lang w:val="fr-FR"/>
          </w:rPr>
          <w:t>https://www.btb.termiumplus.gc.ca/tpv2alpha/alpha-fra.html?lang=fra&amp;i=1&amp;srchtxt=fan-out&amp;index=ent&amp;codom2nd_wet=1#resultrecs</w:t>
        </w:r>
      </w:hyperlink>
      <w:r w:rsidRPr="246FBB6F">
        <w:rPr>
          <w:lang w:val="fr-FR"/>
        </w:rPr>
        <w:t>.</w:t>
      </w:r>
    </w:p>
    <w:p w14:paraId="21C243E5" w14:textId="77777777" w:rsidR="0084489F" w:rsidRDefault="00110FE6">
      <w:pPr>
        <w:pStyle w:val="BlockText"/>
      </w:pPr>
      <w:r w:rsidRPr="246FBB6F">
        <w:rPr>
          <w:lang w:val="fr-FR"/>
        </w:rPr>
        <w:t xml:space="preserve">———. « répétable ». Dans </w:t>
      </w:r>
      <w:r w:rsidRPr="246FBB6F">
        <w:rPr>
          <w:i/>
          <w:iCs/>
          <w:lang w:val="fr-FR"/>
        </w:rPr>
        <w:t>Termium Plus</w:t>
      </w:r>
      <w:r w:rsidRPr="246FBB6F">
        <w:rPr>
          <w:lang w:val="fr-FR"/>
        </w:rPr>
        <w:t>. Ottawa, CA-ON: Gouvernement du Canada, 8 octobre 2009.</w:t>
      </w:r>
      <w:hyperlink r:id="rId112">
        <w:r w:rsidRPr="246FBB6F">
          <w:rPr>
            <w:rStyle w:val="Hyperlink"/>
            <w:lang w:val="fr-FR"/>
          </w:rPr>
          <w:t xml:space="preserve"> </w:t>
        </w:r>
      </w:hyperlink>
      <w:hyperlink r:id="rId113">
        <w:r w:rsidRPr="246FBB6F">
          <w:rPr>
            <w:rStyle w:val="Hyperlink"/>
            <w:lang w:val="fr-FR"/>
          </w:rPr>
          <w:t>https://www.btb.termiumplus.gc.ca/tpv2alpha/alpha-fra.html?lang=fra&amp;i=&amp;index=alt&amp;srchtxt=CATEGORIE%20REPETABLE</w:t>
        </w:r>
      </w:hyperlink>
      <w:r w:rsidRPr="246FBB6F">
        <w:rPr>
          <w:lang w:val="fr-FR"/>
        </w:rPr>
        <w:t>.</w:t>
      </w:r>
    </w:p>
    <w:p w14:paraId="34B377D7" w14:textId="77777777" w:rsidR="0084489F" w:rsidRDefault="00110FE6">
      <w:pPr>
        <w:pStyle w:val="BlockText"/>
      </w:pPr>
      <w:r w:rsidRPr="008C0D99">
        <w:rPr>
          <w:lang w:val="en-CA"/>
        </w:rPr>
        <w:t xml:space="preserve">Wikipédia. « Fan-out ». Dans </w:t>
      </w:r>
      <w:r w:rsidRPr="008C0D99">
        <w:rPr>
          <w:i/>
          <w:iCs/>
          <w:lang w:val="en-CA"/>
        </w:rPr>
        <w:t>Wikipédia</w:t>
      </w:r>
      <w:r w:rsidRPr="008C0D99">
        <w:rPr>
          <w:lang w:val="en-CA"/>
        </w:rPr>
        <w:t>. San Francisco, US-CA: Wikipédia, 11 novembre 2020.</w:t>
      </w:r>
      <w:hyperlink r:id="rId114">
        <w:r w:rsidRPr="008C0D99">
          <w:rPr>
            <w:rStyle w:val="Hyperlink"/>
            <w:lang w:val="en-CA"/>
          </w:rPr>
          <w:t xml:space="preserve"> </w:t>
        </w:r>
      </w:hyperlink>
      <w:hyperlink r:id="rId115">
        <w:r>
          <w:rPr>
            <w:rStyle w:val="Hyperlink"/>
          </w:rPr>
          <w:t>https://fr.wikipedia.org/w/index.php?title=Fan-out&amp;oldid=176479075</w:t>
        </w:r>
      </w:hyperlink>
      <w:r>
        <w:t>.</w:t>
      </w:r>
    </w:p>
    <w:p w14:paraId="31672E95" w14:textId="77777777" w:rsidR="004B7BCB" w:rsidRPr="004B7BCB" w:rsidRDefault="004B7BCB" w:rsidP="004B7BCB">
      <w:pPr>
        <w:pStyle w:val="BodyText"/>
      </w:pPr>
    </w:p>
    <w:p w14:paraId="6409502A" w14:textId="77777777" w:rsidR="0084489F" w:rsidRDefault="00110FE6">
      <w:pPr>
        <w:pStyle w:val="FirstParagraph"/>
      </w:pPr>
      <w:r w:rsidRPr="246FBB6F">
        <w:rPr>
          <w:b/>
          <w:bCs/>
          <w:lang w:val="fr-FR"/>
        </w:rPr>
        <w:t>plusieurs à plusieurs, nécessaire, dépendant</w:t>
      </w:r>
    </w:p>
    <w:p w14:paraId="54554C06" w14:textId="77777777" w:rsidR="0084489F" w:rsidRDefault="00110FE6">
      <w:pPr>
        <w:pStyle w:val="BodyText"/>
      </w:pPr>
      <w:r w:rsidRPr="246FBB6F">
        <w:rPr>
          <w:b/>
          <w:bCs/>
          <w:lang w:val="fr-FR"/>
        </w:rPr>
        <w:t>(1,n:1,n)</w:t>
      </w:r>
    </w:p>
    <w:p w14:paraId="67526A2E" w14:textId="77777777" w:rsidR="0084489F" w:rsidRDefault="00110FE6">
      <w:pPr>
        <w:pStyle w:val="BodyText"/>
      </w:pPr>
      <w:r>
        <w:t xml:space="preserve">Une </w:t>
      </w:r>
      <w:hyperlink w:anchor="terminologie-instance">
        <w:r>
          <w:rPr>
            <w:rStyle w:val="Hyperlink"/>
          </w:rPr>
          <w:t>instance</w:t>
        </w:r>
      </w:hyperlink>
      <w:r>
        <w:t xml:space="preserve"> individuelle du </w:t>
      </w:r>
      <w:hyperlink w:anchor="terminologie-domaine">
        <w:r>
          <w:rPr>
            <w:rStyle w:val="Hyperlink"/>
          </w:rPr>
          <w:t>domaine</w:t>
        </w:r>
      </w:hyperlink>
      <w:r>
        <w:t xml:space="preserve"> et de la portée de cette </w:t>
      </w:r>
      <w:hyperlink w:anchor="terminologie-propriete">
        <w:r>
          <w:rPr>
            <w:rStyle w:val="Hyperlink"/>
          </w:rPr>
          <w:t>propriété</w:t>
        </w:r>
      </w:hyperlink>
      <w:r>
        <w:t xml:space="preserve"> doit avoir au moins une instance de cette propriété. En d’autres termes, le domaine et la portée de cette propriété sont nécessaires et répétables [n.d.t. c.-à-d. qu’une même propriété peut être utilisée à plusieurs reprises avec une même instance de son domaine et de sa portée].</w:t>
      </w:r>
    </w:p>
    <w:p w14:paraId="5FC0450B" w14:textId="77777777" w:rsidR="0084489F" w:rsidRDefault="00110FE6">
      <w:pPr>
        <w:pStyle w:val="BlockText"/>
      </w:pPr>
      <w:r>
        <w:rPr>
          <w:i/>
          <w:iCs/>
        </w:rPr>
        <w:t>Note de traduction</w:t>
      </w:r>
    </w:p>
    <w:p w14:paraId="6E25AB22" w14:textId="77777777" w:rsidR="0084489F" w:rsidRDefault="00110FE6">
      <w:pPr>
        <w:pStyle w:val="BlockText"/>
      </w:pPr>
      <w:r>
        <w:rPr>
          <w:i/>
          <w:iCs/>
        </w:rPr>
        <w:t>Références</w:t>
      </w:r>
    </w:p>
    <w:p w14:paraId="36232606" w14:textId="77777777" w:rsidR="0084489F" w:rsidRDefault="00110FE6">
      <w:pPr>
        <w:pStyle w:val="BlockText"/>
      </w:pPr>
      <w:r w:rsidRPr="246FBB6F">
        <w:rPr>
          <w:lang w:val="fr-FR"/>
        </w:rPr>
        <w:t xml:space="preserve">Termium. « répétable ». Dans </w:t>
      </w:r>
      <w:r w:rsidRPr="246FBB6F">
        <w:rPr>
          <w:i/>
          <w:iCs/>
          <w:lang w:val="fr-FR"/>
        </w:rPr>
        <w:t>Termium Plus</w:t>
      </w:r>
      <w:r w:rsidRPr="246FBB6F">
        <w:rPr>
          <w:lang w:val="fr-FR"/>
        </w:rPr>
        <w:t>. Ottawa, CA-ON: Gouvernement du Canada, 8 octobre 2009.</w:t>
      </w:r>
      <w:hyperlink r:id="rId116">
        <w:r w:rsidRPr="246FBB6F">
          <w:rPr>
            <w:rStyle w:val="Hyperlink"/>
            <w:lang w:val="fr-FR"/>
          </w:rPr>
          <w:t xml:space="preserve"> </w:t>
        </w:r>
      </w:hyperlink>
      <w:hyperlink r:id="rId117">
        <w:r w:rsidRPr="246FBB6F">
          <w:rPr>
            <w:rStyle w:val="Hyperlink"/>
            <w:lang w:val="fr-FR"/>
          </w:rPr>
          <w:t>https://www.btb.termiumplus.gc.ca/tpv2alpha/alpha-fra.html?lang=fra&amp;i=&amp;index=alt&amp;srchtxt=CATEGORIE%20REPETABLE</w:t>
        </w:r>
      </w:hyperlink>
      <w:r w:rsidRPr="246FBB6F">
        <w:rPr>
          <w:lang w:val="fr-FR"/>
        </w:rPr>
        <w:t>.</w:t>
      </w:r>
    </w:p>
    <w:p w14:paraId="7783DF91" w14:textId="77777777" w:rsidR="004B7BCB" w:rsidRPr="004B7BCB" w:rsidRDefault="004B7BCB" w:rsidP="004B7BCB">
      <w:pPr>
        <w:pStyle w:val="BodyText"/>
      </w:pPr>
    </w:p>
    <w:p w14:paraId="441716D2" w14:textId="44F81FAC" w:rsidR="0084489F" w:rsidRDefault="00110FE6" w:rsidP="00B533DB">
      <w:pPr>
        <w:pStyle w:val="FirstParagraph"/>
      </w:pPr>
      <w:r w:rsidRPr="246FBB6F">
        <w:rPr>
          <w:b/>
          <w:bCs/>
          <w:lang w:val="fr-FR"/>
        </w:rPr>
        <w:t>un à plusieurs,</w:t>
      </w:r>
      <w:r w:rsidR="00B533DB" w:rsidRPr="246FBB6F">
        <w:rPr>
          <w:b/>
          <w:bCs/>
          <w:lang w:val="fr-FR"/>
        </w:rPr>
        <w:t xml:space="preserve"> </w:t>
      </w:r>
      <w:r w:rsidRPr="246FBB6F">
        <w:rPr>
          <w:b/>
          <w:bCs/>
          <w:lang w:val="fr-FR"/>
        </w:rPr>
        <w:t>nécessaire, dépendant</w:t>
      </w:r>
    </w:p>
    <w:p w14:paraId="44D35BD1" w14:textId="77777777" w:rsidR="0084489F" w:rsidRDefault="00110FE6">
      <w:pPr>
        <w:pStyle w:val="BodyText"/>
      </w:pPr>
      <w:r w:rsidRPr="246FBB6F">
        <w:rPr>
          <w:b/>
          <w:bCs/>
          <w:lang w:val="fr-FR"/>
        </w:rPr>
        <w:t>(1,n:1,1)</w:t>
      </w:r>
    </w:p>
    <w:p w14:paraId="7B763F7B" w14:textId="77777777" w:rsidR="0084489F" w:rsidRDefault="00110FE6">
      <w:pPr>
        <w:pStyle w:val="BodyText"/>
      </w:pPr>
      <w:r w:rsidRPr="246FBB6F">
        <w:rPr>
          <w:lang w:val="fr-FR"/>
        </w:rPr>
        <w:t xml:space="preserve">Une </w:t>
      </w:r>
      <w:hyperlink w:anchor="terminologie-instance">
        <w:r w:rsidRPr="246FBB6F">
          <w:rPr>
            <w:rStyle w:val="Hyperlink"/>
            <w:lang w:val="fr-FR"/>
          </w:rPr>
          <w:t>instance</w:t>
        </w:r>
      </w:hyperlink>
      <w:r w:rsidRPr="246FBB6F">
        <w:rPr>
          <w:lang w:val="fr-FR"/>
        </w:rPr>
        <w:t xml:space="preserve"> individuelle du </w:t>
      </w:r>
      <w:hyperlink w:anchor="terminologie-domaine">
        <w:r w:rsidRPr="246FBB6F">
          <w:rPr>
            <w:rStyle w:val="Hyperlink"/>
            <w:lang w:val="fr-FR"/>
          </w:rPr>
          <w:t>domaine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peut n’avoir qu’une seule ou plusieurs instance(s) de la propriété, mais une instance individuelle de sa </w:t>
      </w:r>
      <w:hyperlink w:anchor="terminologie-portee">
        <w:r w:rsidRPr="246FBB6F">
          <w:rPr>
            <w:rStyle w:val="Hyperlink"/>
            <w:lang w:val="fr-FR"/>
          </w:rPr>
          <w:t>portée</w:t>
        </w:r>
      </w:hyperlink>
      <w:r w:rsidRPr="246FBB6F">
        <w:rPr>
          <w:lang w:val="fr-FR"/>
        </w:rPr>
        <w:t xml:space="preserve"> ne doit être référencée que par une seule instance de la même propriété. En d’autres termes, le domaine de la propriété est nécessaire et répétable [n.d.t. c.-à-d. qu’une même propriété peut être utilisée à plusieurs reprises avec une même instance de son domaine] et sa portée est nécessaire mais non répétable [n.d.t. c.-à-d. qu’une même propriété ne peut être utilisée qu'une seule fois avec une instance spécifique de sa portée]. Cette situation est parfois qualifiée de « sortance ».</w:t>
      </w:r>
    </w:p>
    <w:p w14:paraId="026E5ABB" w14:textId="77777777" w:rsidR="0084489F" w:rsidRDefault="00110FE6" w:rsidP="004B7BCB">
      <w:pPr>
        <w:pStyle w:val="BlockText"/>
        <w:keepNext/>
        <w:ind w:left="475" w:right="475"/>
      </w:pPr>
      <w:r>
        <w:rPr>
          <w:b/>
          <w:bCs/>
          <w:i/>
          <w:iCs/>
        </w:rPr>
        <w:lastRenderedPageBreak/>
        <w:t>Note de traduction</w:t>
      </w:r>
    </w:p>
    <w:p w14:paraId="5E9B73F3" w14:textId="77777777" w:rsidR="0084489F" w:rsidRDefault="00110FE6" w:rsidP="004B7BCB">
      <w:pPr>
        <w:pStyle w:val="BlockText"/>
        <w:keepNext/>
        <w:ind w:left="475" w:right="475"/>
      </w:pPr>
      <w:r>
        <w:t>Une propriété répétable est une propriété pouvant apparaître plus d'une fois dans un enregistrement avec le(s) même(s) domaine et/ou portée.</w:t>
      </w:r>
    </w:p>
    <w:p w14:paraId="0CBC1E14" w14:textId="77777777" w:rsidR="0084489F" w:rsidRDefault="00110FE6">
      <w:pPr>
        <w:pStyle w:val="BlockText"/>
      </w:pPr>
      <w:r w:rsidRPr="246FBB6F">
        <w:rPr>
          <w:lang w:val="fr-FR"/>
        </w:rPr>
        <w:t>Une recherche sommaire indique que le terme « fan-in » est surtout usité dans le domaine des circuits booléens et de l’intelligence artificielle, où il est parfois question d’arité entrante ou d’entrance.</w:t>
      </w:r>
    </w:p>
    <w:p w14:paraId="27DAA5DB" w14:textId="77777777" w:rsidR="0084489F" w:rsidRDefault="00110FE6">
      <w:pPr>
        <w:pStyle w:val="BlockText"/>
      </w:pPr>
      <w:r>
        <w:rPr>
          <w:b/>
          <w:bCs/>
          <w:i/>
          <w:iCs/>
        </w:rPr>
        <w:t>Références</w:t>
      </w:r>
    </w:p>
    <w:p w14:paraId="0A198C11" w14:textId="77777777" w:rsidR="0084489F" w:rsidRDefault="00110FE6">
      <w:pPr>
        <w:pStyle w:val="BlockText"/>
      </w:pPr>
      <w:r w:rsidRPr="246FBB6F">
        <w:rPr>
          <w:lang w:val="fr-FR"/>
        </w:rPr>
        <w:t xml:space="preserve">Termium. « fan-in ». Dans </w:t>
      </w:r>
      <w:r w:rsidRPr="246FBB6F">
        <w:rPr>
          <w:i/>
          <w:iCs/>
          <w:lang w:val="fr-FR"/>
        </w:rPr>
        <w:t>Termium Plus</w:t>
      </w:r>
      <w:r w:rsidRPr="246FBB6F">
        <w:rPr>
          <w:lang w:val="fr-FR"/>
        </w:rPr>
        <w:t>. Ottawa, CA-ON: Gouvernement du Canada, 8 octobre 2009.</w:t>
      </w:r>
      <w:hyperlink r:id="rId118" w:anchor="resultrecs">
        <w:r w:rsidRPr="246FBB6F">
          <w:rPr>
            <w:rStyle w:val="Hyperlink"/>
            <w:lang w:val="fr-FR"/>
          </w:rPr>
          <w:t xml:space="preserve"> </w:t>
        </w:r>
      </w:hyperlink>
      <w:hyperlink r:id="rId119" w:anchor="resultrecs">
        <w:r w:rsidRPr="246FBB6F">
          <w:rPr>
            <w:rStyle w:val="Hyperlink"/>
            <w:lang w:val="fr-FR"/>
          </w:rPr>
          <w:t>https://www.btb.termiumplus.gc.ca/tpv2alpha/alpha-fra.html?lang=fra&amp;i=1&amp;srchtxt=fan-in&amp;index=ent&amp;codom2nd_wet=1#resultrecs</w:t>
        </w:r>
      </w:hyperlink>
      <w:r w:rsidRPr="246FBB6F">
        <w:rPr>
          <w:lang w:val="fr-FR"/>
        </w:rPr>
        <w:t>.</w:t>
      </w:r>
    </w:p>
    <w:p w14:paraId="111F22EC" w14:textId="77777777" w:rsidR="0084489F" w:rsidRDefault="00110FE6">
      <w:pPr>
        <w:pStyle w:val="BlockText"/>
      </w:pPr>
      <w:r w:rsidRPr="246FBB6F">
        <w:rPr>
          <w:lang w:val="fr-FR"/>
        </w:rPr>
        <w:t xml:space="preserve">———. « répétable ». Dans </w:t>
      </w:r>
      <w:r w:rsidRPr="246FBB6F">
        <w:rPr>
          <w:i/>
          <w:iCs/>
          <w:lang w:val="fr-FR"/>
        </w:rPr>
        <w:t>Termium Plus</w:t>
      </w:r>
      <w:r w:rsidRPr="246FBB6F">
        <w:rPr>
          <w:lang w:val="fr-FR"/>
        </w:rPr>
        <w:t>. Ottawa, CA-ON: Gouvernement du Canada, 8 octobre 2009.</w:t>
      </w:r>
      <w:hyperlink r:id="rId120">
        <w:r w:rsidRPr="246FBB6F">
          <w:rPr>
            <w:rStyle w:val="Hyperlink"/>
            <w:lang w:val="fr-FR"/>
          </w:rPr>
          <w:t xml:space="preserve"> </w:t>
        </w:r>
      </w:hyperlink>
      <w:hyperlink r:id="rId121">
        <w:r w:rsidRPr="246FBB6F">
          <w:rPr>
            <w:rStyle w:val="Hyperlink"/>
            <w:lang w:val="fr-FR"/>
          </w:rPr>
          <w:t>https://www.btb.termiumplus.gc.ca/tpv2alpha/alpha-fra.html?lang=fra&amp;i=&amp;index=alt&amp;srchtxt=CATEGORIE%20REPETABLE</w:t>
        </w:r>
      </w:hyperlink>
      <w:r w:rsidRPr="246FBB6F">
        <w:rPr>
          <w:lang w:val="fr-FR"/>
        </w:rPr>
        <w:t>.</w:t>
      </w:r>
    </w:p>
    <w:p w14:paraId="728B7ACB" w14:textId="77777777" w:rsidR="0084489F" w:rsidRDefault="00110FE6">
      <w:pPr>
        <w:pStyle w:val="BlockText"/>
      </w:pPr>
      <w:r w:rsidRPr="008C0D99">
        <w:rPr>
          <w:lang w:val="en-CA"/>
        </w:rPr>
        <w:t xml:space="preserve">Wikipédia. « Fan-in ». Dans </w:t>
      </w:r>
      <w:r w:rsidRPr="008C0D99">
        <w:rPr>
          <w:i/>
          <w:iCs/>
          <w:lang w:val="en-CA"/>
        </w:rPr>
        <w:t>Wikipédia</w:t>
      </w:r>
      <w:r w:rsidRPr="008C0D99">
        <w:rPr>
          <w:lang w:val="en-CA"/>
        </w:rPr>
        <w:t>. San Francisco, US-CA: Wikipédia, 11 novembre 2020.</w:t>
      </w:r>
      <w:hyperlink r:id="rId122">
        <w:r w:rsidRPr="008C0D99">
          <w:rPr>
            <w:rStyle w:val="Hyperlink"/>
            <w:lang w:val="en-CA"/>
          </w:rPr>
          <w:t xml:space="preserve"> </w:t>
        </w:r>
      </w:hyperlink>
      <w:hyperlink r:id="rId123">
        <w:r>
          <w:rPr>
            <w:rStyle w:val="Hyperlink"/>
          </w:rPr>
          <w:t>https://fr.wikipedia.org/w/index.php?title=Fan-in&amp;oldid=176479056</w:t>
        </w:r>
      </w:hyperlink>
      <w:r>
        <w:t>.</w:t>
      </w:r>
    </w:p>
    <w:p w14:paraId="50D44CDB" w14:textId="77777777" w:rsidR="004B7BCB" w:rsidRPr="004B7BCB" w:rsidRDefault="004B7BCB" w:rsidP="004B7BCB">
      <w:pPr>
        <w:pStyle w:val="BodyText"/>
      </w:pPr>
    </w:p>
    <w:p w14:paraId="57F2A1AE" w14:textId="265A6468" w:rsidR="0084489F" w:rsidRDefault="00110FE6" w:rsidP="00B533DB">
      <w:pPr>
        <w:pStyle w:val="FirstParagraph"/>
      </w:pPr>
      <w:r w:rsidRPr="246FBB6F">
        <w:rPr>
          <w:b/>
          <w:bCs/>
          <w:lang w:val="fr-FR"/>
        </w:rPr>
        <w:t>plusieurs à un, nécessaire,</w:t>
      </w:r>
      <w:r w:rsidR="00B533DB" w:rsidRPr="246FBB6F">
        <w:rPr>
          <w:b/>
          <w:bCs/>
          <w:lang w:val="fr-FR"/>
        </w:rPr>
        <w:t xml:space="preserve"> </w:t>
      </w:r>
      <w:r w:rsidRPr="246FBB6F">
        <w:rPr>
          <w:b/>
          <w:bCs/>
          <w:lang w:val="fr-FR"/>
        </w:rPr>
        <w:t>dépendant</w:t>
      </w:r>
    </w:p>
    <w:p w14:paraId="12316DA6" w14:textId="77777777" w:rsidR="0084489F" w:rsidRDefault="00110FE6">
      <w:pPr>
        <w:pStyle w:val="BodyText"/>
      </w:pPr>
      <w:r w:rsidRPr="246FBB6F">
        <w:rPr>
          <w:b/>
          <w:bCs/>
          <w:lang w:val="fr-FR"/>
        </w:rPr>
        <w:t>(1,1:1,n)</w:t>
      </w:r>
    </w:p>
    <w:p w14:paraId="0D484031" w14:textId="77777777" w:rsidR="0084489F" w:rsidRDefault="00110FE6">
      <w:pPr>
        <w:pStyle w:val="BodyText"/>
      </w:pPr>
      <w:r w:rsidRPr="246FBB6F">
        <w:rPr>
          <w:lang w:val="fr-FR"/>
        </w:rPr>
        <w:t xml:space="preserve">Une </w:t>
      </w:r>
      <w:hyperlink w:anchor="terminologie-instance">
        <w:r w:rsidRPr="246FBB6F">
          <w:rPr>
            <w:rStyle w:val="Hyperlink"/>
            <w:lang w:val="fr-FR"/>
          </w:rPr>
          <w:t>instance</w:t>
        </w:r>
      </w:hyperlink>
      <w:r w:rsidRPr="246FBB6F">
        <w:rPr>
          <w:lang w:val="fr-FR"/>
        </w:rPr>
        <w:t xml:space="preserve"> individuelle du </w:t>
      </w:r>
      <w:hyperlink w:anchor="terminologie-domaine">
        <w:r w:rsidRPr="246FBB6F">
          <w:rPr>
            <w:rStyle w:val="Hyperlink"/>
            <w:lang w:val="fr-FR"/>
          </w:rPr>
          <w:t>domaine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doit n’avoir qu’une seule instance de la propriété, mais une instance individuelle de sa </w:t>
      </w:r>
      <w:hyperlink w:anchor="terminologie-portee">
        <w:r w:rsidRPr="246FBB6F">
          <w:rPr>
            <w:rStyle w:val="Hyperlink"/>
            <w:lang w:val="fr-FR"/>
          </w:rPr>
          <w:t>portée</w:t>
        </w:r>
      </w:hyperlink>
      <w:r w:rsidRPr="246FBB6F">
        <w:rPr>
          <w:lang w:val="fr-FR"/>
        </w:rPr>
        <w:t xml:space="preserve"> peut être référencée par une ou plusieurs instances de la même propriété. En d'autres termes, le domaine de la propriété est nécessaire et non répétable [n.d.t. c.-à-d. qu’une même propriété ne peut être utilisée qu'une seule fois avec une instance spécifique de son domaine], tandis que la portée est nécessaire et répétable [n.d.t. c.-à-d. qu’une même propriété peut être utilisée à plusieurs reprises avec une même instance de sa portée]. Cette situation est parfois qualifiée d’« entrance ».</w:t>
      </w:r>
    </w:p>
    <w:p w14:paraId="27D344D6" w14:textId="77777777" w:rsidR="0084489F" w:rsidRDefault="00110FE6">
      <w:pPr>
        <w:pStyle w:val="BlockText"/>
      </w:pPr>
      <w:r>
        <w:rPr>
          <w:b/>
          <w:bCs/>
          <w:i/>
          <w:iCs/>
        </w:rPr>
        <w:t>Note de traduction</w:t>
      </w:r>
    </w:p>
    <w:p w14:paraId="6F047F96" w14:textId="77777777" w:rsidR="0084489F" w:rsidRDefault="00110FE6">
      <w:pPr>
        <w:pStyle w:val="BlockText"/>
      </w:pPr>
      <w:r>
        <w:t>Une propriété répétable est une propriété pouvant apparaître plus d'une fois dans un enregistrement avec le(s) même(s) domaine et/ou portée.</w:t>
      </w:r>
    </w:p>
    <w:p w14:paraId="1A9F8007" w14:textId="77777777" w:rsidR="0084489F" w:rsidRDefault="00110FE6">
      <w:pPr>
        <w:pStyle w:val="BlockText"/>
      </w:pPr>
      <w:r w:rsidRPr="246FBB6F">
        <w:rPr>
          <w:lang w:val="fr-FR"/>
        </w:rPr>
        <w:t>Une recherche sommaire indique que le terme « fan-in » est surtout usité dans le domaine des circuits booléens et de l’intelligence artificielle, où il est parfois question d’arité entrante ou d’entrance.</w:t>
      </w:r>
    </w:p>
    <w:p w14:paraId="73FF3A9F" w14:textId="77777777" w:rsidR="0084489F" w:rsidRDefault="00110FE6">
      <w:pPr>
        <w:pStyle w:val="BlockText"/>
      </w:pPr>
      <w:r>
        <w:rPr>
          <w:b/>
          <w:bCs/>
          <w:i/>
          <w:iCs/>
        </w:rPr>
        <w:t>Références</w:t>
      </w:r>
    </w:p>
    <w:p w14:paraId="2178DACD" w14:textId="77777777" w:rsidR="0084489F" w:rsidRDefault="00110FE6">
      <w:pPr>
        <w:pStyle w:val="BlockText"/>
      </w:pPr>
      <w:r w:rsidRPr="246FBB6F">
        <w:rPr>
          <w:lang w:val="fr-FR"/>
        </w:rPr>
        <w:t xml:space="preserve">Termium. « fan-in ». Dans </w:t>
      </w:r>
      <w:r w:rsidRPr="246FBB6F">
        <w:rPr>
          <w:i/>
          <w:iCs/>
          <w:lang w:val="fr-FR"/>
        </w:rPr>
        <w:t>Termium Plus</w:t>
      </w:r>
      <w:r w:rsidRPr="246FBB6F">
        <w:rPr>
          <w:lang w:val="fr-FR"/>
        </w:rPr>
        <w:t>. Ottawa, CA-ON: Gouvernement du Canada, 8 octobre 2009.</w:t>
      </w:r>
      <w:hyperlink r:id="rId124" w:anchor="resultrecs">
        <w:r w:rsidRPr="246FBB6F">
          <w:rPr>
            <w:rStyle w:val="Hyperlink"/>
            <w:lang w:val="fr-FR"/>
          </w:rPr>
          <w:t xml:space="preserve"> </w:t>
        </w:r>
      </w:hyperlink>
      <w:hyperlink r:id="rId125" w:anchor="resultrecs">
        <w:r w:rsidRPr="246FBB6F">
          <w:rPr>
            <w:rStyle w:val="Hyperlink"/>
            <w:lang w:val="fr-FR"/>
          </w:rPr>
          <w:t>https://www.btb.termiumplus.gc.ca/tpv2alpha/alpha-fra.html?lang=fra&amp;i=1&amp;srchtxt=fan-in&amp;index=ent&amp;codom2nd_wet=1#resultrecs</w:t>
        </w:r>
      </w:hyperlink>
      <w:r w:rsidRPr="246FBB6F">
        <w:rPr>
          <w:lang w:val="fr-FR"/>
        </w:rPr>
        <w:t>.</w:t>
      </w:r>
    </w:p>
    <w:p w14:paraId="346EB9D3" w14:textId="77777777" w:rsidR="0084489F" w:rsidRDefault="00110FE6">
      <w:pPr>
        <w:pStyle w:val="BlockText"/>
      </w:pPr>
      <w:r w:rsidRPr="246FBB6F">
        <w:rPr>
          <w:lang w:val="fr-FR"/>
        </w:rPr>
        <w:t xml:space="preserve">———. « répétable ». Dans </w:t>
      </w:r>
      <w:r w:rsidRPr="246FBB6F">
        <w:rPr>
          <w:i/>
          <w:iCs/>
          <w:lang w:val="fr-FR"/>
        </w:rPr>
        <w:t>Termium Plus</w:t>
      </w:r>
      <w:r w:rsidRPr="246FBB6F">
        <w:rPr>
          <w:lang w:val="fr-FR"/>
        </w:rPr>
        <w:t>. Ottawa, CA-ON: Gouvernement du Canada, 8 octobre 2009.</w:t>
      </w:r>
      <w:hyperlink r:id="rId126">
        <w:r w:rsidRPr="246FBB6F">
          <w:rPr>
            <w:rStyle w:val="Hyperlink"/>
            <w:lang w:val="fr-FR"/>
          </w:rPr>
          <w:t xml:space="preserve"> </w:t>
        </w:r>
      </w:hyperlink>
      <w:hyperlink r:id="rId127">
        <w:r w:rsidRPr="246FBB6F">
          <w:rPr>
            <w:rStyle w:val="Hyperlink"/>
            <w:lang w:val="fr-FR"/>
          </w:rPr>
          <w:t>https://www.btb.termiumplus.gc.ca/tpv2alpha/alpha-fra.html?lang=fra&amp;i=&amp;index=alt&amp;srchtxt=CATEGORIE%20REPETABLE</w:t>
        </w:r>
      </w:hyperlink>
      <w:r w:rsidRPr="246FBB6F">
        <w:rPr>
          <w:lang w:val="fr-FR"/>
        </w:rPr>
        <w:t>.</w:t>
      </w:r>
    </w:p>
    <w:p w14:paraId="16DB94D8" w14:textId="77777777" w:rsidR="0084489F" w:rsidRDefault="00110FE6">
      <w:pPr>
        <w:pStyle w:val="BlockText"/>
      </w:pPr>
      <w:r w:rsidRPr="008C0D99">
        <w:rPr>
          <w:lang w:val="en-CA"/>
        </w:rPr>
        <w:t xml:space="preserve">Wikipédia. « Fan-in ». Dans </w:t>
      </w:r>
      <w:r w:rsidRPr="008C0D99">
        <w:rPr>
          <w:i/>
          <w:iCs/>
          <w:lang w:val="en-CA"/>
        </w:rPr>
        <w:t>Wikipédia</w:t>
      </w:r>
      <w:r w:rsidRPr="008C0D99">
        <w:rPr>
          <w:lang w:val="en-CA"/>
        </w:rPr>
        <w:t>. San Francisco, US-CA: Wikipédia, 11 novembre 2020.</w:t>
      </w:r>
      <w:hyperlink r:id="rId128">
        <w:r w:rsidRPr="008C0D99">
          <w:rPr>
            <w:rStyle w:val="Hyperlink"/>
            <w:lang w:val="en-CA"/>
          </w:rPr>
          <w:t xml:space="preserve"> </w:t>
        </w:r>
      </w:hyperlink>
      <w:hyperlink r:id="rId129">
        <w:r>
          <w:rPr>
            <w:rStyle w:val="Hyperlink"/>
          </w:rPr>
          <w:t>https://fr.wikipedia.org/w/index.php?title=Fan-in&amp;oldid=176479056</w:t>
        </w:r>
      </w:hyperlink>
      <w:r>
        <w:t>.</w:t>
      </w:r>
    </w:p>
    <w:p w14:paraId="1529C95D" w14:textId="77777777" w:rsidR="004B7BCB" w:rsidRPr="004B7BCB" w:rsidRDefault="004B7BCB" w:rsidP="004B7BCB">
      <w:pPr>
        <w:pStyle w:val="BodyText"/>
      </w:pPr>
    </w:p>
    <w:p w14:paraId="00E9D6FF" w14:textId="77777777" w:rsidR="0084489F" w:rsidRDefault="00110FE6" w:rsidP="004B7BCB">
      <w:pPr>
        <w:pStyle w:val="FirstParagraph"/>
        <w:keepNext/>
        <w:keepLines/>
      </w:pPr>
      <w:r w:rsidRPr="246FBB6F">
        <w:rPr>
          <w:b/>
          <w:bCs/>
          <w:lang w:val="fr-FR"/>
        </w:rPr>
        <w:lastRenderedPageBreak/>
        <w:t>un à un</w:t>
      </w:r>
    </w:p>
    <w:p w14:paraId="25E9B4C7" w14:textId="77777777" w:rsidR="0084489F" w:rsidRDefault="00110FE6" w:rsidP="004B7BCB">
      <w:pPr>
        <w:pStyle w:val="BodyText"/>
        <w:keepNext/>
        <w:keepLines/>
      </w:pPr>
      <w:r w:rsidRPr="246FBB6F">
        <w:rPr>
          <w:b/>
          <w:bCs/>
          <w:lang w:val="fr-FR"/>
        </w:rPr>
        <w:t>(1,1:1,1)</w:t>
      </w:r>
    </w:p>
    <w:p w14:paraId="11C8FC5B" w14:textId="77777777" w:rsidR="0084489F" w:rsidRDefault="00110FE6" w:rsidP="004B7BCB">
      <w:pPr>
        <w:pStyle w:val="BodyText"/>
        <w:keepNext/>
        <w:keepLines/>
      </w:pPr>
      <w:r w:rsidRPr="246FBB6F">
        <w:rPr>
          <w:lang w:val="fr-FR"/>
        </w:rPr>
        <w:t xml:space="preserve">Une </w:t>
      </w:r>
      <w:hyperlink w:anchor="terminologie-instance">
        <w:r w:rsidRPr="246FBB6F">
          <w:rPr>
            <w:rStyle w:val="Hyperlink"/>
            <w:lang w:val="fr-FR"/>
          </w:rPr>
          <w:t>instance</w:t>
        </w:r>
      </w:hyperlink>
      <w:r w:rsidRPr="246FBB6F">
        <w:rPr>
          <w:lang w:val="fr-FR"/>
        </w:rPr>
        <w:t xml:space="preserve"> individuelle du </w:t>
      </w:r>
      <w:hyperlink w:anchor="terminologie-domaine">
        <w:r w:rsidRPr="246FBB6F">
          <w:rPr>
            <w:rStyle w:val="Hyperlink"/>
            <w:lang w:val="fr-FR"/>
          </w:rPr>
          <w:t>domaine</w:t>
        </w:r>
      </w:hyperlink>
      <w:r w:rsidRPr="246FBB6F">
        <w:rPr>
          <w:lang w:val="fr-FR"/>
        </w:rPr>
        <w:t xml:space="preserve"> et une instance de la </w:t>
      </w:r>
      <w:hyperlink w:anchor="terminologie-portee">
        <w:r w:rsidRPr="246FBB6F">
          <w:rPr>
            <w:rStyle w:val="Hyperlink"/>
            <w:lang w:val="fr-FR"/>
          </w:rPr>
          <w:t>portée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doivent avoir exactement une instance de la propriété. En d’autres termes, le domaine et la portée de la propriété sont nécessaires et non répétables [n.d.t. c.-à-d. qu’une même propriété ne peut être utilisée qu’une seule fois avec une instance spécifique de son domaine et une instance spécifique de sa portée].</w:t>
      </w:r>
    </w:p>
    <w:p w14:paraId="6685E7AA" w14:textId="77777777" w:rsidR="0084489F" w:rsidRDefault="00110FE6">
      <w:pPr>
        <w:pStyle w:val="BlockText"/>
      </w:pPr>
      <w:r>
        <w:rPr>
          <w:b/>
          <w:bCs/>
          <w:i/>
          <w:iCs/>
        </w:rPr>
        <w:t>Note de traduction</w:t>
      </w:r>
    </w:p>
    <w:p w14:paraId="3A155A95" w14:textId="77777777" w:rsidR="0084489F" w:rsidRDefault="00110FE6">
      <w:pPr>
        <w:pStyle w:val="BlockText"/>
      </w:pPr>
      <w:r>
        <w:t>Une propriété répétable est une propriété pouvant apparaître plus d'une fois dans un enregistrement avec le(s) même(s) domaine et/ou portée.</w:t>
      </w:r>
    </w:p>
    <w:p w14:paraId="6040E4FD" w14:textId="77777777" w:rsidR="0084489F" w:rsidRDefault="00110FE6">
      <w:pPr>
        <w:pStyle w:val="BlockText"/>
      </w:pPr>
      <w:r>
        <w:rPr>
          <w:b/>
          <w:bCs/>
          <w:i/>
          <w:iCs/>
        </w:rPr>
        <w:t>Références</w:t>
      </w:r>
    </w:p>
    <w:p w14:paraId="349D961A" w14:textId="77777777" w:rsidR="0084489F" w:rsidRDefault="00110FE6">
      <w:pPr>
        <w:pStyle w:val="BlockText"/>
      </w:pPr>
      <w:r w:rsidRPr="246FBB6F">
        <w:rPr>
          <w:lang w:val="fr-FR"/>
        </w:rPr>
        <w:t xml:space="preserve">Termium. « répétable ». Dans </w:t>
      </w:r>
      <w:r w:rsidRPr="246FBB6F">
        <w:rPr>
          <w:i/>
          <w:iCs/>
          <w:lang w:val="fr-FR"/>
        </w:rPr>
        <w:t>Termium Plus</w:t>
      </w:r>
      <w:r w:rsidRPr="246FBB6F">
        <w:rPr>
          <w:lang w:val="fr-FR"/>
        </w:rPr>
        <w:t>. Ottawa, CA-ON: Gouvernement du Canada, 8 octobre 2009.</w:t>
      </w:r>
      <w:hyperlink r:id="rId130">
        <w:r w:rsidRPr="246FBB6F">
          <w:rPr>
            <w:rStyle w:val="Hyperlink"/>
            <w:lang w:val="fr-FR"/>
          </w:rPr>
          <w:t xml:space="preserve"> </w:t>
        </w:r>
      </w:hyperlink>
      <w:hyperlink r:id="rId131">
        <w:r w:rsidRPr="246FBB6F">
          <w:rPr>
            <w:rStyle w:val="Hyperlink"/>
            <w:lang w:val="fr-FR"/>
          </w:rPr>
          <w:t>https://www.btb.termiumplus.gc.ca/tpv2alpha/alpha-fra.html?lang=fra&amp;i=&amp;index=alt&amp;srchtxt=CATEGORIE%20REPETABLE</w:t>
        </w:r>
      </w:hyperlink>
      <w:r w:rsidRPr="246FBB6F">
        <w:rPr>
          <w:lang w:val="fr-FR"/>
        </w:rPr>
        <w:t>.</w:t>
      </w:r>
    </w:p>
    <w:p w14:paraId="1C943545" w14:textId="77777777" w:rsidR="0084489F" w:rsidRDefault="00110FE6">
      <w:pPr>
        <w:pStyle w:val="FirstParagraph"/>
      </w:pPr>
      <w:r w:rsidRPr="246FBB6F">
        <w:rPr>
          <w:lang w:val="fr-FR"/>
        </w:rPr>
        <w:t xml:space="preserve">Une </w:t>
      </w:r>
      <w:hyperlink w:anchor="terminologie-instance">
        <w:r w:rsidRPr="246FBB6F">
          <w:rPr>
            <w:rStyle w:val="Hyperlink"/>
            <w:lang w:val="fr-FR"/>
          </w:rPr>
          <w:t>instance</w:t>
        </w:r>
      </w:hyperlink>
      <w:r w:rsidRPr="246FBB6F">
        <w:rPr>
          <w:lang w:val="fr-FR"/>
        </w:rPr>
        <w:t xml:space="preserve"> individuelle du </w:t>
      </w:r>
      <w:hyperlink w:anchor="terminologie-domaine">
        <w:r w:rsidRPr="246FBB6F">
          <w:rPr>
            <w:rStyle w:val="Hyperlink"/>
            <w:lang w:val="fr-FR"/>
          </w:rPr>
          <w:t>domaine</w:t>
        </w:r>
      </w:hyperlink>
      <w:r w:rsidRPr="246FBB6F">
        <w:rPr>
          <w:lang w:val="fr-FR"/>
        </w:rPr>
        <w:t xml:space="preserve"> de cette </w:t>
      </w:r>
      <w:hyperlink w:anchor="terminologie-propriete">
        <w:r w:rsidRPr="246FBB6F">
          <w:rPr>
            <w:rStyle w:val="Hyperlink"/>
            <w:lang w:val="fr-FR"/>
          </w:rPr>
          <w:t>propriété</w:t>
        </w:r>
      </w:hyperlink>
      <w:r w:rsidRPr="246FBB6F">
        <w:rPr>
          <w:lang w:val="fr-FR"/>
        </w:rPr>
        <w:t xml:space="preserve"> doit avoir exactement une instance de cette propriété, mais une instance individuelle de sa </w:t>
      </w:r>
      <w:hyperlink w:anchor="terminologie-portee">
        <w:r w:rsidRPr="246FBB6F">
          <w:rPr>
            <w:rStyle w:val="Hyperlink"/>
            <w:lang w:val="fr-FR"/>
          </w:rPr>
          <w:t>portée</w:t>
        </w:r>
      </w:hyperlink>
      <w:r w:rsidRPr="246FBB6F">
        <w:rPr>
          <w:lang w:val="fr-FR"/>
        </w:rPr>
        <w:t xml:space="preserve"> ne peut pas faire l’objet d’une référence par plus d’une instance de cette même propriété. En d’autres termes, le domaine de cette propriété est nécessaire et non-répétable [n.d.t. c.-à-d. qu’une même propriété ne peut être utilisée qu’une seule fois avec une instance spécifique de son domaine], tandis que sa portée est optionnelle et non-répétable [n.d.t. c.-à-d. qu’une même propriété ne peut être utilisée à plusieurs reprises avec une même instance de sa portée].</w:t>
      </w:r>
    </w:p>
    <w:p w14:paraId="7CCC5907" w14:textId="77777777" w:rsidR="0084489F" w:rsidRDefault="00110FE6">
      <w:pPr>
        <w:pStyle w:val="BlockText"/>
      </w:pPr>
      <w:r>
        <w:rPr>
          <w:b/>
          <w:bCs/>
          <w:i/>
          <w:iCs/>
        </w:rPr>
        <w:t>Note de traduction</w:t>
      </w:r>
    </w:p>
    <w:p w14:paraId="46804DE4" w14:textId="77777777" w:rsidR="0084489F" w:rsidRDefault="00110FE6">
      <w:pPr>
        <w:pStyle w:val="BlockText"/>
      </w:pPr>
      <w:r>
        <w:rPr>
          <w:b/>
          <w:bCs/>
          <w:i/>
          <w:iCs/>
        </w:rPr>
        <w:t>Références</w:t>
      </w:r>
    </w:p>
    <w:p w14:paraId="4338F07B" w14:textId="77777777" w:rsidR="0084489F" w:rsidRDefault="00110FE6">
      <w:pPr>
        <w:pStyle w:val="BlockText"/>
      </w:pPr>
      <w:r w:rsidRPr="246FBB6F">
        <w:rPr>
          <w:lang w:val="fr-FR"/>
        </w:rPr>
        <w:t xml:space="preserve">Termium. « répétable ». Dans </w:t>
      </w:r>
      <w:r w:rsidRPr="246FBB6F">
        <w:rPr>
          <w:i/>
          <w:iCs/>
          <w:lang w:val="fr-FR"/>
        </w:rPr>
        <w:t>Termium Plus</w:t>
      </w:r>
      <w:r w:rsidRPr="246FBB6F">
        <w:rPr>
          <w:lang w:val="fr-FR"/>
        </w:rPr>
        <w:t>. Ottawa, CA-ON: Gouvernement du Canada, 8 octobre 2009.</w:t>
      </w:r>
      <w:hyperlink r:id="rId132">
        <w:r w:rsidRPr="246FBB6F">
          <w:rPr>
            <w:rStyle w:val="Hyperlink"/>
            <w:lang w:val="fr-FR"/>
          </w:rPr>
          <w:t xml:space="preserve"> </w:t>
        </w:r>
      </w:hyperlink>
      <w:hyperlink r:id="rId133">
        <w:r w:rsidRPr="246FBB6F">
          <w:rPr>
            <w:rStyle w:val="Hyperlink"/>
            <w:lang w:val="fr-FR"/>
          </w:rPr>
          <w:t>https://www.btb.termiumplus.gc.ca/tpv2alpha/alpha-fra.html?lang=fra&amp;i=&amp;index=alt&amp;srchtxt=CATEGORIE%20REPETABLE</w:t>
        </w:r>
      </w:hyperlink>
      <w:r w:rsidRPr="246FBB6F">
        <w:rPr>
          <w:lang w:val="fr-FR"/>
        </w:rPr>
        <w:t>.</w:t>
      </w:r>
    </w:p>
    <w:p w14:paraId="7A6E718D" w14:textId="77777777" w:rsidR="0084489F" w:rsidRDefault="00110FE6">
      <w:pPr>
        <w:pStyle w:val="FirstParagraph"/>
      </w:pPr>
      <w:r>
        <w:t xml:space="preserve">Le CIDOC CRM définit certains dépendants entre les </w:t>
      </w:r>
      <w:hyperlink w:anchor="terminologie-propriete">
        <w:r>
          <w:rPr>
            <w:rStyle w:val="Hyperlink"/>
          </w:rPr>
          <w:t>propriétés</w:t>
        </w:r>
      </w:hyperlink>
      <w:r>
        <w:t xml:space="preserve"> et les </w:t>
      </w:r>
      <w:hyperlink w:anchor="terminologie-classe">
        <w:r>
          <w:rPr>
            <w:rStyle w:val="Hyperlink"/>
          </w:rPr>
          <w:t>classes</w:t>
        </w:r>
      </w:hyperlink>
      <w:r>
        <w:t xml:space="preserve"> sous la forme de leur </w:t>
      </w:r>
      <w:hyperlink w:anchor="terminologie-domaine">
        <w:r>
          <w:rPr>
            <w:rStyle w:val="Hyperlink"/>
          </w:rPr>
          <w:t>domaine</w:t>
        </w:r>
      </w:hyperlink>
      <w:r>
        <w:t xml:space="preserve"> et de leur </w:t>
      </w:r>
      <w:hyperlink w:anchor="terminologie-portee">
        <w:r>
          <w:rPr>
            <w:rStyle w:val="Hyperlink"/>
          </w:rPr>
          <w:t>portée</w:t>
        </w:r>
      </w:hyperlink>
      <w:r>
        <w:t>. Ceux-ci peuvent être l’une ou une combinaison des options suivantes :</w:t>
      </w:r>
    </w:p>
    <w:p w14:paraId="7A072A60" w14:textId="77777777" w:rsidR="0084489F" w:rsidRDefault="00110FE6" w:rsidP="00806324">
      <w:pPr>
        <w:numPr>
          <w:ilvl w:val="0"/>
          <w:numId w:val="16"/>
        </w:numPr>
      </w:pPr>
      <w:r w:rsidRPr="246FBB6F">
        <w:rPr>
          <w:lang w:val="fr-FR"/>
        </w:rPr>
        <w:t>la propriété est nécessaire pour le domaine;</w:t>
      </w:r>
    </w:p>
    <w:p w14:paraId="7FF1A453" w14:textId="77777777" w:rsidR="0084489F" w:rsidRDefault="00110FE6" w:rsidP="00806324">
      <w:pPr>
        <w:numPr>
          <w:ilvl w:val="0"/>
          <w:numId w:val="16"/>
        </w:numPr>
      </w:pPr>
      <w:r w:rsidRPr="246FBB6F">
        <w:rPr>
          <w:lang w:val="fr-FR"/>
        </w:rPr>
        <w:t>la propriété est nécessaire pour la portée ou, en d’autres termes, la portée dépend de la propriété.</w:t>
      </w:r>
    </w:p>
    <w:p w14:paraId="743A034E" w14:textId="77777777" w:rsidR="0084489F" w:rsidRDefault="00110FE6">
      <w:pPr>
        <w:pStyle w:val="FirstParagraph"/>
      </w:pPr>
      <w:r w:rsidRPr="246FBB6F">
        <w:rPr>
          <w:lang w:val="fr-FR"/>
        </w:rPr>
        <w:t xml:space="preserve">Les dépendants possibles sont définis dans le tableau ci-haut. Si une propriété n’est pas spécifiée pour une </w:t>
      </w:r>
      <w:hyperlink w:anchor="terminologie-instance">
        <w:r w:rsidRPr="246FBB6F">
          <w:rPr>
            <w:rStyle w:val="Hyperlink"/>
            <w:lang w:val="fr-FR"/>
          </w:rPr>
          <w:t>instance</w:t>
        </w:r>
      </w:hyperlink>
      <w:r w:rsidRPr="246FBB6F">
        <w:rPr>
          <w:lang w:val="fr-FR"/>
        </w:rPr>
        <w:t xml:space="preserve"> de son domaine ou de sa portée, il est entendu que la propriété existe, mais qu’une valeur associée à une part ou à l’autre de la propriété est inconnue. Dans le cas des propriétés optionnelles, la méthodologie proposée par le CIDOC CRM n’établit pas de distinction entre une valeur inconnue et une propriété qui ne serait pas du tout applicable. Par exemple, un objet peut avoir un·e propriétaire sans que l’identité de ce·tte propriétaire ne soit connue. Dans le cadre du CIDOC CRM, une telle situation ne peut être distinguée d’un cas où l’objet n’aurait aucun·e propriétaire. Bien entendu, de tels détails peuvent être indiqués à l’aide de notes textuelles.</w:t>
      </w:r>
    </w:p>
    <w:p w14:paraId="709DAA9D" w14:textId="77777777" w:rsidR="0084489F" w:rsidRDefault="00110FE6">
      <w:pPr>
        <w:pStyle w:val="BodyText"/>
      </w:pPr>
      <w:r w:rsidRPr="246FBB6F">
        <w:rPr>
          <w:lang w:val="fr-FR"/>
        </w:rPr>
        <w:t>Parce que la quantification de toutes les propriétés de propriétés – les propriétés « .1 » – est « plusieurs à plusieurs  » elle n'apparaît pas explicitement dans leurs définitions.</w:t>
      </w:r>
    </w:p>
    <w:p w14:paraId="6BA73CCC" w14:textId="77777777" w:rsidR="0084489F" w:rsidRDefault="00110FE6">
      <w:pPr>
        <w:pStyle w:val="BlockText"/>
      </w:pPr>
      <w:r>
        <w:rPr>
          <w:b/>
          <w:bCs/>
          <w:i/>
          <w:iCs/>
        </w:rPr>
        <w:t>Note de traduction</w:t>
      </w:r>
    </w:p>
    <w:p w14:paraId="09D45061" w14:textId="77777777" w:rsidR="0084489F" w:rsidRDefault="00110FE6">
      <w:pPr>
        <w:pStyle w:val="BlockText"/>
      </w:pPr>
      <w:r w:rsidRPr="246FBB6F">
        <w:rPr>
          <w:lang w:val="fr-FR"/>
        </w:rPr>
        <w:t>Le terme « dépendant » a été préféré au terme « dépendance » en guise de traduction de « dependencies » puisqu’il transmet davantage le fait qu’il s’agit d’un élément qui s’inscrit dans la suite d’un autre (qui en dépend) plutôt qu’un élément qui a lui-même « besoin » d’un autre élément (qui est en situation de dépendance).</w:t>
      </w:r>
    </w:p>
    <w:p w14:paraId="311C4CDD" w14:textId="77777777" w:rsidR="0084489F" w:rsidRDefault="00110FE6">
      <w:pPr>
        <w:pStyle w:val="BlockText"/>
      </w:pPr>
      <w:r>
        <w:rPr>
          <w:b/>
          <w:bCs/>
          <w:i/>
          <w:iCs/>
        </w:rPr>
        <w:lastRenderedPageBreak/>
        <w:t>Références</w:t>
      </w:r>
    </w:p>
    <w:p w14:paraId="25BD99E5" w14:textId="77777777" w:rsidR="0084489F" w:rsidRDefault="0084489F">
      <w:pPr>
        <w:pStyle w:val="BlockText"/>
      </w:pPr>
    </w:p>
    <w:p w14:paraId="75C5B756" w14:textId="77777777" w:rsidR="0084489F" w:rsidRDefault="00110FE6">
      <w:pPr>
        <w:pStyle w:val="Heading1"/>
      </w:pPr>
      <w:bookmarkStart w:id="62" w:name="_Toc176864415"/>
      <w:bookmarkStart w:id="63" w:name="principes-de-modelisation"/>
      <w:bookmarkEnd w:id="8"/>
      <w:bookmarkEnd w:id="51"/>
      <w:bookmarkEnd w:id="61"/>
      <w:r>
        <w:t>Principes de modélisation</w:t>
      </w:r>
      <w:bookmarkEnd w:id="62"/>
    </w:p>
    <w:p w14:paraId="3D175395" w14:textId="77777777" w:rsidR="0084489F" w:rsidRDefault="00110FE6">
      <w:pPr>
        <w:pStyle w:val="FirstParagraph"/>
      </w:pPr>
      <w:r>
        <w:t>Les principes de modélisation suivants ont guidé le développement du CIDOC CRM.</w:t>
      </w:r>
    </w:p>
    <w:p w14:paraId="42EE3FFD" w14:textId="77777777" w:rsidR="0084489F" w:rsidRDefault="00110FE6">
      <w:pPr>
        <w:pStyle w:val="BlockText"/>
      </w:pPr>
      <w:r>
        <w:rPr>
          <w:b/>
          <w:bCs/>
          <w:i/>
          <w:iCs/>
        </w:rPr>
        <w:t>Note de traduction</w:t>
      </w:r>
    </w:p>
    <w:p w14:paraId="4919A3FA" w14:textId="77777777" w:rsidR="0084489F" w:rsidRDefault="00110FE6">
      <w:pPr>
        <w:pStyle w:val="BlockText"/>
      </w:pPr>
      <w:r>
        <w:rPr>
          <w:b/>
          <w:bCs/>
          <w:i/>
          <w:iCs/>
        </w:rPr>
        <w:t>Références</w:t>
      </w:r>
    </w:p>
    <w:p w14:paraId="77B48A34" w14:textId="77777777" w:rsidR="0084489F" w:rsidRDefault="0084489F">
      <w:pPr>
        <w:pStyle w:val="BlockText"/>
      </w:pPr>
    </w:p>
    <w:p w14:paraId="6426EBAB" w14:textId="77777777" w:rsidR="0084489F" w:rsidRDefault="00110FE6">
      <w:pPr>
        <w:pStyle w:val="Heading2"/>
      </w:pPr>
      <w:bookmarkStart w:id="64" w:name="_Toc176864416"/>
      <w:bookmarkStart w:id="65" w:name="X1e2ab05d40a1b1a3f380e60b5aa42d32db74c6a"/>
      <w:r>
        <w:t>De la réalité, des bases de connaissance et du CIDOC CRM</w:t>
      </w:r>
      <w:bookmarkEnd w:id="64"/>
    </w:p>
    <w:p w14:paraId="442BE5D9" w14:textId="1C4C3676" w:rsidR="0084489F" w:rsidRDefault="00110FE6">
      <w:pPr>
        <w:pStyle w:val="FirstParagraph"/>
      </w:pPr>
      <w:r w:rsidRPr="246FBB6F">
        <w:rPr>
          <w:lang w:val="fr-FR"/>
        </w:rPr>
        <w:t>Le CIDOC CRM est une ontologie formelle dans le sens que l’a introduit (Guarino, 1998)</w:t>
      </w:r>
      <w:r w:rsidR="00DA3078" w:rsidRPr="246FBB6F">
        <w:rPr>
          <w:rStyle w:val="FootnoteReference"/>
          <w:lang w:val="fr-FR"/>
        </w:rPr>
        <w:footnoteReference w:id="5"/>
      </w:r>
      <w:r w:rsidRPr="246FBB6F">
        <w:rPr>
          <w:lang w:val="fr-FR"/>
        </w:rPr>
        <w:t>. Ce document est destiné à une audience qui n’est spécialiste ni de la logique ni des sciences informatiques, de sorte qu’il se concentre sur la sémantique informelle et sur les aspects pragmatiques des concepts du CIDOC CRM. Il s’agit d’une discussion détaillée, à travers des patrons conceptuels fondamentaux</w:t>
      </w:r>
      <w:r w:rsidR="00DA3078" w:rsidRPr="246FBB6F">
        <w:rPr>
          <w:rStyle w:val="FootnoteReference"/>
          <w:lang w:val="fr-FR"/>
        </w:rPr>
        <w:footnoteReference w:id="6"/>
      </w:r>
      <w:r w:rsidRPr="246FBB6F">
        <w:rPr>
          <w:lang w:val="fr-FR"/>
        </w:rPr>
        <w:t>, des principes qui sous-tendent le CIDOC CRM, une ontologie qui a pour objectif de partager, de connecter et d’intégrer de l’information issue de recherches sur le passé. Afin de comprendre la fonction d’une telle ontologie formelle, les distinctions suivantes sont nécessaires :</w:t>
      </w:r>
    </w:p>
    <w:p w14:paraId="631D90CB" w14:textId="77777777" w:rsidR="0084489F" w:rsidRDefault="00110FE6" w:rsidP="00806324">
      <w:pPr>
        <w:numPr>
          <w:ilvl w:val="0"/>
          <w:numId w:val="17"/>
        </w:numPr>
      </w:pPr>
      <w:r w:rsidRPr="246FBB6F">
        <w:rPr>
          <w:lang w:val="fr-FR"/>
        </w:rPr>
        <w:t xml:space="preserve">La </w:t>
      </w:r>
      <w:r w:rsidRPr="246FBB6F">
        <w:rPr>
          <w:i/>
          <w:iCs/>
          <w:lang w:val="fr-FR"/>
        </w:rPr>
        <w:t>réalité matérielle</w:t>
      </w:r>
      <w:r w:rsidRPr="246FBB6F">
        <w:rPr>
          <w:lang w:val="fr-FR"/>
        </w:rPr>
        <w:t xml:space="preserve"> est entendue comme étant tout ce qui a une substance qui peut être perçue par le biais des sens ou d’instruments; cela est limité par l’espace et le temps. Cela inclut, par exemple, des peuples, une forêt, un environnement où s’établissent des personnes, la mer, l'atmosphère, des microstructures célestes ou cellulaires, notamment ce qui pourrait être potentiellement ou théoriquement perçu en présence, par exemple le centre de la terre ou du soleil et tout ce qui est passé. Ce qui se produit </w:t>
      </w:r>
      <w:r w:rsidRPr="246FBB6F">
        <w:rPr>
          <w:i/>
          <w:iCs/>
          <w:lang w:val="fr-FR"/>
        </w:rPr>
        <w:t>dans</w:t>
      </w:r>
      <w:r w:rsidRPr="246FBB6F">
        <w:rPr>
          <w:lang w:val="fr-FR"/>
        </w:rPr>
        <w:t xml:space="preserve"> l’esprit ou est le produit </w:t>
      </w:r>
      <w:r w:rsidRPr="246FBB6F">
        <w:rPr>
          <w:i/>
          <w:iCs/>
          <w:lang w:val="fr-FR"/>
        </w:rPr>
        <w:t>de</w:t>
      </w:r>
      <w:r w:rsidRPr="246FBB6F">
        <w:rPr>
          <w:lang w:val="fr-FR"/>
        </w:rPr>
        <w:t xml:space="preserve"> l’esprit est aussi reconnu comme faisant partie de la réalité matérielle dans la mesure où ce produit devient matériellement évident pour les autres par le biais d’énonciations, de comportements et de produits.</w:t>
      </w:r>
    </w:p>
    <w:p w14:paraId="0048A938" w14:textId="77777777" w:rsidR="0084489F" w:rsidRDefault="00110FE6" w:rsidP="00806324">
      <w:pPr>
        <w:numPr>
          <w:ilvl w:val="0"/>
          <w:numId w:val="17"/>
        </w:numPr>
      </w:pPr>
      <w:r w:rsidRPr="246FBB6F">
        <w:rPr>
          <w:lang w:val="fr-FR"/>
        </w:rPr>
        <w:t xml:space="preserve">Les unités de description, ou </w:t>
      </w:r>
      <w:r w:rsidRPr="246FBB6F">
        <w:rPr>
          <w:i/>
          <w:iCs/>
          <w:lang w:val="fr-FR"/>
        </w:rPr>
        <w:t>éléments particuliers</w:t>
      </w:r>
      <w:r w:rsidRPr="246FBB6F">
        <w:rPr>
          <w:lang w:val="fr-FR"/>
        </w:rPr>
        <w:t xml:space="preserve"> sont les choses et relations auxquelles il est fait référence afin de distinguer des éléments de la réalité. Cela inclut le Mont Ida, le Taj Mahal, la formation de la Chine par l’empereur Qin Shi Huang (秦始皇) en 221 AEC, Toutânkhamon et son embaumement, le prince Shōtoku du Japon envoyant une délégation en Chine en 607 EC, la participation de Socrate à la bataille de Potidæa ou encore la datation radiocarbone d’Ötzi (Kutschera, 2002).</w:t>
      </w:r>
    </w:p>
    <w:p w14:paraId="7E908B47" w14:textId="77777777" w:rsidR="0084489F" w:rsidRDefault="00110FE6">
      <w:pPr>
        <w:pStyle w:val="FirstParagraph"/>
      </w:pPr>
      <w:r w:rsidRPr="246FBB6F">
        <w:rPr>
          <w:lang w:val="fr-FR"/>
        </w:rPr>
        <w:t xml:space="preserve">Une ontologie formelle telle que le CIDOC CRM constitue en fait un langage contrôlé pour parler d’éléments particuliers, c.-à-d. qu’elle offre des </w:t>
      </w:r>
      <w:hyperlink w:anchor="terminologie-classe">
        <w:r w:rsidRPr="246FBB6F">
          <w:rPr>
            <w:rStyle w:val="Hyperlink"/>
            <w:lang w:val="fr-FR"/>
          </w:rPr>
          <w:t>classes</w:t>
        </w:r>
      </w:hyperlink>
      <w:r w:rsidRPr="246FBB6F">
        <w:rPr>
          <w:lang w:val="fr-FR"/>
        </w:rPr>
        <w:t xml:space="preserve"> et </w:t>
      </w:r>
      <w:hyperlink w:anchor="terminologie-propriete">
        <w:r w:rsidRPr="246FBB6F">
          <w:rPr>
            <w:rStyle w:val="Hyperlink"/>
            <w:lang w:val="fr-FR"/>
          </w:rPr>
          <w:t>propriétés</w:t>
        </w:r>
      </w:hyperlink>
      <w:r w:rsidRPr="246FBB6F">
        <w:rPr>
          <w:lang w:val="fr-FR"/>
        </w:rPr>
        <w:t xml:space="preserve"> permettant de catégoriser ces éléments particuliers comme des « </w:t>
      </w:r>
      <w:hyperlink w:anchor="terminologie-instance">
        <w:r w:rsidRPr="246FBB6F">
          <w:rPr>
            <w:rStyle w:val="Hyperlink"/>
            <w:lang w:val="fr-FR"/>
          </w:rPr>
          <w:t>instances</w:t>
        </w:r>
      </w:hyperlink>
      <w:r w:rsidRPr="246FBB6F">
        <w:rPr>
          <w:lang w:val="fr-FR"/>
        </w:rPr>
        <w:t xml:space="preserve"> », de sorte que leur individuation, leur unité et les propriétés pouvant leur être associées de manière pertinente soient aussi claires que possible. Par exemple, Toutânkhamon comme instance de </w:t>
      </w:r>
      <w:r w:rsidRPr="246FBB6F">
        <w:rPr>
          <w:rStyle w:val="VerbatimChar"/>
          <w:lang w:val="fr-FR"/>
        </w:rPr>
        <w:t>E21_Personne</w:t>
      </w:r>
      <w:r w:rsidRPr="246FBB6F">
        <w:rPr>
          <w:lang w:val="fr-FR"/>
        </w:rPr>
        <w:t xml:space="preserve"> </w:t>
      </w:r>
      <w:r w:rsidRPr="246FBB6F">
        <w:rPr>
          <w:i/>
          <w:iCs/>
          <w:lang w:val="fr-FR"/>
        </w:rPr>
        <w:t>est</w:t>
      </w:r>
      <w:r w:rsidRPr="246FBB6F">
        <w:rPr>
          <w:lang w:val="fr-FR"/>
        </w:rPr>
        <w:t xml:space="preserve"> ce pharaon depuis sa naissance jusqu’à sa </w:t>
      </w:r>
      <w:r w:rsidRPr="246FBB6F">
        <w:rPr>
          <w:lang w:val="fr-FR"/>
        </w:rPr>
        <w:lastRenderedPageBreak/>
        <w:t xml:space="preserve">mort, mais n’est pas sa momie conformément à la définition de la classe </w:t>
      </w:r>
      <w:r w:rsidRPr="246FBB6F">
        <w:rPr>
          <w:rStyle w:val="VerbatimChar"/>
          <w:lang w:val="fr-FR"/>
        </w:rPr>
        <w:t>E21_Personne</w:t>
      </w:r>
      <w:r w:rsidRPr="246FBB6F">
        <w:rPr>
          <w:lang w:val="fr-FR"/>
        </w:rPr>
        <w:t xml:space="preserve"> et de ses propriétés.</w:t>
      </w:r>
    </w:p>
    <w:p w14:paraId="0A3C1D02" w14:textId="77777777" w:rsidR="0084489F" w:rsidRDefault="00110FE6">
      <w:pPr>
        <w:pStyle w:val="BodyText"/>
      </w:pPr>
      <w:r>
        <w:t>Le CIDOC CRM ne statue pas sur l’existence ou l’inexistence d’une substance spirituelle, ni sur l’existence ou l’inexistence d’une substance qui ne soit pas accessible par les sens ou par des instruments, et ne statue pas non plus en faveur d’une philosophie matérialiste. Cependant, pour des raisons pratiques, le CIDOC CRM repose sur la nécessité d’intégrer de l’information issue d’éléments matériels qui peuvent être appréhendés du fait de l’expérience humaine. Le CIDOC CRM renvoie en ce sens à une réalité matérielle indépendante de l’observateur.</w:t>
      </w:r>
    </w:p>
    <w:p w14:paraId="3F317B1E" w14:textId="77777777" w:rsidR="0084489F" w:rsidRDefault="00110FE6">
      <w:pPr>
        <w:pStyle w:val="BodyText"/>
      </w:pPr>
      <w:r w:rsidRPr="246FBB6F">
        <w:rPr>
          <w:lang w:val="fr-FR"/>
        </w:rPr>
        <w:t xml:space="preserve">Lorsque des </w:t>
      </w:r>
      <w:r w:rsidRPr="246FBB6F">
        <w:rPr>
          <w:i/>
          <w:iCs/>
          <w:lang w:val="fr-FR"/>
        </w:rPr>
        <w:t>descriptions</w:t>
      </w:r>
      <w:r w:rsidRPr="246FBB6F">
        <w:rPr>
          <w:lang w:val="fr-FR"/>
        </w:rPr>
        <w:t xml:space="preserve"> d’éléments particuliers sont disponibles, leurs identifiants, noms ou titres uniques (toutes des instances de </w:t>
      </w:r>
      <w:r w:rsidRPr="246FBB6F">
        <w:rPr>
          <w:rStyle w:val="VerbatimChar"/>
          <w:lang w:val="fr-FR"/>
        </w:rPr>
        <w:t>E41_Appellation</w:t>
      </w:r>
      <w:r w:rsidRPr="246FBB6F">
        <w:rPr>
          <w:lang w:val="fr-FR"/>
        </w:rPr>
        <w:t xml:space="preserve"> dans CIDOC CRM) sont utilisés [n.d.t afin qu’ils soient conceptualisés de manière générique (le concept) plutôt que spécifique (le concept tel qu’il se déploie dans un contexte particulier)]. Au contraire, les éléments particuliers évoqués à l’aide de pronoms ou d’énumération de leurs propriétés caractéristiques (comme le nom et la date de naissance) sont spécifiques (ils s’appuient sur le contexte particulier de leur mention). L’appellation ainsi que la relation [n.d.t (ou le lien)] entre l’appellation et l’entité à laquelle elle réfère diffèrent en effet de l’entité elle-même et de son identité. Par exemple, le nom Toutânkhamon (instance de </w:t>
      </w:r>
      <w:r w:rsidRPr="246FBB6F">
        <w:rPr>
          <w:rStyle w:val="VerbatimChar"/>
          <w:lang w:val="fr-FR"/>
        </w:rPr>
        <w:t>E41_Appellation</w:t>
      </w:r>
      <w:r w:rsidRPr="246FBB6F">
        <w:rPr>
          <w:lang w:val="fr-FR"/>
        </w:rPr>
        <w:t xml:space="preserve">) diffère de la personne Toutânkhamon (instance de </w:t>
      </w:r>
      <w:r w:rsidRPr="246FBB6F">
        <w:rPr>
          <w:rStyle w:val="VerbatimChar"/>
          <w:lang w:val="fr-FR"/>
        </w:rPr>
        <w:t>E21_Personne</w:t>
      </w:r>
      <w:r w:rsidRPr="246FBB6F">
        <w:rPr>
          <w:lang w:val="fr-FR"/>
        </w:rPr>
        <w:t>) qui diffère aussi du lien qui unit la personne à son nom (</w:t>
      </w:r>
      <w:r w:rsidRPr="246FBB6F">
        <w:rPr>
          <w:rStyle w:val="VerbatimChar"/>
          <w:lang w:val="fr-FR"/>
        </w:rPr>
        <w:t>P1_est_identifié_par</w:t>
      </w:r>
      <w:r w:rsidRPr="246FBB6F">
        <w:rPr>
          <w:lang w:val="fr-FR"/>
        </w:rPr>
        <w:t xml:space="preserve">). Les instances de CIDOC CRM sont donc les </w:t>
      </w:r>
      <w:r w:rsidRPr="246FBB6F">
        <w:rPr>
          <w:i/>
          <w:iCs/>
          <w:lang w:val="fr-FR"/>
        </w:rPr>
        <w:t>réels</w:t>
      </w:r>
      <w:r w:rsidRPr="246FBB6F">
        <w:rPr>
          <w:lang w:val="fr-FR"/>
        </w:rPr>
        <w:t xml:space="preserve"> éléments particuliers (plutôt que leurs noms), bien que dans les descriptions les noms doivent être utilisés à titre d’auxiliaires. Les éléments particuliers sont ainsi des différenciations approximatives de parts de la réalité (comme des sections de celle-ci). En d’autres termes, la réalité a un caractère unique qui est indépendant de toute conceptualisation (p. ex. le fait qu’il y ait une montagne adjacente à une vallée ne dépend pas de la frontière arbitraire qui les distingue).</w:t>
      </w:r>
    </w:p>
    <w:p w14:paraId="684CF9E0" w14:textId="795577CE" w:rsidR="0084489F" w:rsidRDefault="00110FE6">
      <w:pPr>
        <w:pStyle w:val="BodyText"/>
      </w:pPr>
      <w:r w:rsidRPr="246FBB6F">
        <w:rPr>
          <w:lang w:val="fr-FR"/>
        </w:rPr>
        <w:t xml:space="preserve">Une base de connaissances (BC) compatible avec CIDOC CRM (Meghini &amp; Doerr, 2018) est une instance de </w:t>
      </w:r>
      <w:r w:rsidRPr="246FBB6F">
        <w:rPr>
          <w:rStyle w:val="VerbatimChar"/>
          <w:lang w:val="fr-FR"/>
        </w:rPr>
        <w:t>E73_Objet_informationnel</w:t>
      </w:r>
      <w:r w:rsidRPr="246FBB6F">
        <w:rPr>
          <w:lang w:val="fr-FR"/>
        </w:rPr>
        <w:t xml:space="preserve"> qui contient des énoncés formels (structures d’encodage de données) représentant des affirmations considérées vraies dans le contexte d’une réalité par un observateur. Ces énoncés utilisent les appellations (p. ex. https://id.loc.gov/authorities/names/n79066005</w:t>
      </w:r>
      <w:r w:rsidR="00DA3078" w:rsidRPr="246FBB6F">
        <w:rPr>
          <w:rStyle w:val="FootnoteReference"/>
          <w:lang w:val="fr-FR"/>
        </w:rPr>
        <w:footnoteReference w:id="7"/>
      </w:r>
      <w:r w:rsidRPr="246FBB6F">
        <w:rPr>
          <w:lang w:val="fr-FR"/>
        </w:rPr>
        <w:t xml:space="preserve">) de concepts ontologiques spécifiques ou de concepts de CIDOC CRM (p. ex. </w:t>
      </w:r>
      <w:r w:rsidRPr="246FBB6F">
        <w:rPr>
          <w:rStyle w:val="VerbatimChar"/>
          <w:lang w:val="fr-FR"/>
        </w:rPr>
        <w:t>P100i_est_mort_par</w:t>
      </w:r>
      <w:r w:rsidRPr="246FBB6F">
        <w:rPr>
          <w:lang w:val="fr-FR"/>
        </w:rPr>
        <w:t>). Les utilisateurs, de par leur connaissance du monde réel et leur cognition, peuvent établir des liens entre ces énoncés formels et les affirmations auxquelles ils réfèrent pour les examiner de plus près et évaluer leur validité.</w:t>
      </w:r>
    </w:p>
    <w:p w14:paraId="6C1AE741" w14:textId="77777777" w:rsidR="0084489F" w:rsidRDefault="00110FE6">
      <w:pPr>
        <w:pStyle w:val="BodyText"/>
      </w:pPr>
      <w:r>
        <w:t xml:space="preserve">Le contenu numérique fait cependant classe à part, car une BC peut contenir des énoncés au sujet d’instances de </w:t>
      </w:r>
      <w:r>
        <w:rPr>
          <w:rStyle w:val="VerbatimChar"/>
        </w:rPr>
        <w:t>E90_Objet_symbolique</w:t>
      </w:r>
      <w:r>
        <w:t xml:space="preserve"> dont la réelle incarnation existe dans la BC elle-même. L’instance de </w:t>
      </w:r>
      <w:r>
        <w:rPr>
          <w:rStyle w:val="VerbatimChar"/>
        </w:rPr>
        <w:t>E90_Objet_symbolique</w:t>
      </w:r>
      <w:r>
        <w:t xml:space="preserve"> et sa représentation textuelle sont cependant des entités distinctes qui peuvent néanmoins être liées par la propriété </w:t>
      </w:r>
      <w:r>
        <w:rPr>
          <w:rStyle w:val="VerbatimChar"/>
        </w:rPr>
        <w:t>P190_a_pour_contenu_symbolique</w:t>
      </w:r>
      <w:r>
        <w:t>.</w:t>
      </w:r>
    </w:p>
    <w:p w14:paraId="20D47D21" w14:textId="1601E43D" w:rsidR="0084489F" w:rsidRDefault="00110FE6" w:rsidP="00DA3078">
      <w:pPr>
        <w:pStyle w:val="BodyText"/>
      </w:pPr>
      <w:r>
        <w:t xml:space="preserve">Une base de connaissances ne contient donc pas les connaissances elles-mêmes, mais bien les énoncés qui représentent ces connaissances tant et aussi longtemps que des personnes en mesure de résoudre les identifiants à leurs référents sont présentes. Les appellations décrites dans une base de connaissances et qui ne sont pas utilisées comme auxiliaires principaux d’autres entités sont néanmoins toujours déclarées comme des instances de </w:t>
      </w:r>
      <w:r>
        <w:rPr>
          <w:rStyle w:val="VerbatimChar"/>
        </w:rPr>
        <w:t>E41_Appellation</w:t>
      </w:r>
      <w:r>
        <w:t xml:space="preserve"> dans la base de connaissances.</w:t>
      </w:r>
    </w:p>
    <w:p w14:paraId="12D12C24" w14:textId="77777777" w:rsidR="0084489F" w:rsidRDefault="00110FE6">
      <w:pPr>
        <w:pStyle w:val="BlockText"/>
      </w:pPr>
      <w:r>
        <w:rPr>
          <w:b/>
          <w:bCs/>
          <w:i/>
          <w:iCs/>
        </w:rPr>
        <w:t>Note de traduction</w:t>
      </w:r>
    </w:p>
    <w:p w14:paraId="7D9709B0" w14:textId="77777777" w:rsidR="0084489F" w:rsidRDefault="00110FE6">
      <w:pPr>
        <w:pStyle w:val="BlockText"/>
      </w:pPr>
      <w:r>
        <w:rPr>
          <w:b/>
          <w:bCs/>
          <w:i/>
          <w:iCs/>
        </w:rPr>
        <w:t>Références</w:t>
      </w:r>
    </w:p>
    <w:p w14:paraId="265B9003" w14:textId="77777777" w:rsidR="0084489F" w:rsidRDefault="00110FE6">
      <w:pPr>
        <w:pStyle w:val="BlockText"/>
      </w:pPr>
      <w:r w:rsidRPr="246FBB6F">
        <w:rPr>
          <w:lang w:val="fr-FR"/>
        </w:rPr>
        <w:lastRenderedPageBreak/>
        <w:t xml:space="preserve">Office québécois de la langue française. « base de connaissances ». Dans </w:t>
      </w:r>
      <w:r w:rsidRPr="246FBB6F">
        <w:rPr>
          <w:i/>
          <w:iCs/>
          <w:lang w:val="fr-FR"/>
        </w:rPr>
        <w:t>Grand dictionnaire terminologique</w:t>
      </w:r>
      <w:r w:rsidRPr="246FBB6F">
        <w:rPr>
          <w:lang w:val="fr-FR"/>
        </w:rPr>
        <w:t>. Québec, CA-QC: Office québécois de la langue française, 2017.</w:t>
      </w:r>
      <w:hyperlink r:id="rId134">
        <w:r w:rsidRPr="246FBB6F">
          <w:rPr>
            <w:rStyle w:val="Hyperlink"/>
            <w:lang w:val="fr-FR"/>
          </w:rPr>
          <w:t xml:space="preserve"> </w:t>
        </w:r>
      </w:hyperlink>
      <w:hyperlink r:id="rId135">
        <w:r w:rsidRPr="246FBB6F">
          <w:rPr>
            <w:rStyle w:val="Hyperlink"/>
            <w:lang w:val="fr-FR"/>
          </w:rPr>
          <w:t>http://gdt.oqlf.gouv.qc.ca/ficheOqlf.aspx?Id_Fiche=8366746</w:t>
        </w:r>
      </w:hyperlink>
      <w:r w:rsidRPr="246FBB6F">
        <w:rPr>
          <w:lang w:val="fr-FR"/>
        </w:rPr>
        <w:t>.</w:t>
      </w:r>
    </w:p>
    <w:p w14:paraId="001CC04B" w14:textId="77777777" w:rsidR="004B7BCB" w:rsidRPr="004B7BCB" w:rsidRDefault="004B7BCB" w:rsidP="004B7BCB">
      <w:pPr>
        <w:pStyle w:val="BodyText"/>
      </w:pPr>
    </w:p>
    <w:p w14:paraId="21B08C4C" w14:textId="77777777" w:rsidR="0084489F" w:rsidRDefault="00110FE6">
      <w:pPr>
        <w:pStyle w:val="Heading2"/>
      </w:pPr>
      <w:bookmarkStart w:id="66" w:name="_Toc176864417"/>
      <w:bookmarkStart w:id="67" w:name="X8ed7dddd9eaf3521a8b039300d7d03602b42027"/>
      <w:bookmarkEnd w:id="65"/>
      <w:r w:rsidRPr="246FBB6F">
        <w:rPr>
          <w:lang w:val="fr-FR"/>
        </w:rPr>
        <w:t>De l’auctorialité des contenus d’une base de connaissances</w:t>
      </w:r>
      <w:bookmarkEnd w:id="66"/>
    </w:p>
    <w:p w14:paraId="0D0304D9" w14:textId="77777777" w:rsidR="0084489F" w:rsidRDefault="00110FE6">
      <w:pPr>
        <w:pStyle w:val="FirstParagraph"/>
      </w:pPr>
      <w:r>
        <w:t>Cette section présente les pratiques exemplaires qui s'appliquent lors de la liaison de contenu d’autorité aux contenus d’une base de connaissances (BC).</w:t>
      </w:r>
    </w:p>
    <w:p w14:paraId="47DDA603" w14:textId="2E1EC8A6" w:rsidR="0084489F" w:rsidRDefault="00110FE6">
      <w:pPr>
        <w:pStyle w:val="BodyText"/>
      </w:pPr>
      <w:r>
        <w:t xml:space="preserve">Les énoncés d’une BC doivent avoir été introduits par un agent humain de manière directe ou indirecte, mais ils ne font souvent pas explicitement référence à cet agent, de sorte que l’autorité sous laquelle une information a été émise n’est pas établie (c’est le cas, par exemple, lors de l’utilisation de raccourcis tels que </w:t>
      </w:r>
      <w:r>
        <w:rPr>
          <w:rStyle w:val="VerbatimChar"/>
        </w:rPr>
        <w:t>P2_a_pour_type</w:t>
      </w:r>
      <w:r>
        <w:t>). Dans le domaine patrimonial, la responsabilité du maintien des informations dans la base de connaissances repose la plupart du temps sur des politiques institutionnelles ou des protocoles documentaires. Il est donc raisonnable de conclure que des affirmations dénuées d’une référence explicite à leur auteur constituent néanmoins le point de vue officiel de l’institution administrant le système (c.-à-d. le responsable de la BC). Cela n’implique pas pour autant que les savoirs représentés dans la BC sont complets ou exhaustifs, de sorte que, tant que l’information fait l’objet d’un maintien actif, elle est sujette à des révisions et à des améliorations au gré de l’avancement de la recherche et de la compréhension qui en est faite</w:t>
      </w:r>
      <w:r w:rsidR="00DA3078">
        <w:rPr>
          <w:rStyle w:val="FootnoteReference"/>
        </w:rPr>
        <w:footnoteReference w:id="8"/>
      </w:r>
      <w:r>
        <w:t>. Une BC ne représente en effet pas une part de la réalité, mais bien la conception que s’en font raisonnablement ces responsables même si, aux fins de simplicité, il est souvent indiqué qu’une BC représente une réalité.</w:t>
      </w:r>
    </w:p>
    <w:p w14:paraId="1D36AF3D" w14:textId="617675DB" w:rsidR="0084489F" w:rsidRDefault="00110FE6">
      <w:pPr>
        <w:pStyle w:val="BodyText"/>
      </w:pPr>
      <w:r>
        <w:t xml:space="preserve">Les énoncés d’une BC peuvent toutefois avoir des références explicites aux agents qui les ont produits (c.-à-d. des énoncés de responsabilité supplémentaires [n.d.t. qui s’ajoutent à l’énoncé institutionnel implicite]). Dans CIDOC CRM, de tels énoncés de responsabilité prennent la forme d’évènements de création de connaissances par le biais de </w:t>
      </w:r>
      <w:r>
        <w:rPr>
          <w:rStyle w:val="VerbatimChar"/>
        </w:rPr>
        <w:t>E13_Assignation_d'attribut</w:t>
      </w:r>
      <w:r>
        <w:t xml:space="preserve"> ou de l’une de ses sous-classes pertinentes. Lorsqu’un évènement de création de connaissances comporte un énoncé indiquant explicitement qui est son auteur, l’autorité de cet évènement est attribuée à l’institution responsable du maintien de la BC alors que le contenu résultant de cet évènement est attribué à l’agent l’ayant initié.</w:t>
      </w:r>
    </w:p>
    <w:p w14:paraId="55ED6B16" w14:textId="77777777" w:rsidR="0084489F" w:rsidRDefault="00110FE6">
      <w:pPr>
        <w:pStyle w:val="BodyText"/>
      </w:pPr>
      <w:r w:rsidRPr="246FBB6F">
        <w:rPr>
          <w:lang w:val="fr-FR"/>
        </w:rPr>
        <w:t>Lorsqu’une institution prend à sa charge une base de données dans le cadre d’un transfert de sa garde d’une autorité administrative à une autre, deux relations de responsabilité sur les connaissances de cette BC sont possibles. Si l’institution hôte accepte la responsabilité du maintien des informations, elle devient l’autorité associée par défaut aux énoncés qui s’y trouvent. Si, par contre, l’institution hôte traite l’ensemble des données comme une ressource « fermée » [n.d.t. donc traité à la manière d’un artéfact], l’autorité associée par défaut aux énoncés qui s’y trouvent sera celle de l’institution initiale (comme c’est le cas de tout autre document de recherche se trouvant dans la collection de l’institution hôte).</w:t>
      </w:r>
    </w:p>
    <w:p w14:paraId="1B428A01" w14:textId="44BE92BD" w:rsidR="0084489F" w:rsidRDefault="00110FE6" w:rsidP="00DA3078">
      <w:pPr>
        <w:pStyle w:val="BodyText"/>
      </w:pPr>
      <w:r w:rsidRPr="246FBB6F">
        <w:rPr>
          <w:lang w:val="fr-FR"/>
        </w:rPr>
        <w:t>[n.d.t. voir « </w:t>
      </w:r>
      <w:hyperlink w:anchor="Xc708d71018eddd02093b12763d4a6210ee1a949">
        <w:r w:rsidRPr="246FBB6F">
          <w:rPr>
            <w:rStyle w:val="Hyperlink"/>
            <w:lang w:val="fr-FR"/>
          </w:rPr>
          <w:t>Processus de création de connaissances</w:t>
        </w:r>
      </w:hyperlink>
      <w:r w:rsidRPr="246FBB6F">
        <w:rPr>
          <w:lang w:val="fr-FR"/>
        </w:rPr>
        <w:t xml:space="preserve"> » dans la section </w:t>
      </w:r>
      <w:hyperlink w:anchor="terminologie">
        <w:r w:rsidRPr="246FBB6F">
          <w:rPr>
            <w:rStyle w:val="Hyperlink"/>
            <w:lang w:val="fr-FR"/>
          </w:rPr>
          <w:t>Terminologie</w:t>
        </w:r>
      </w:hyperlink>
      <w:r w:rsidRPr="246FBB6F">
        <w:rPr>
          <w:lang w:val="fr-FR"/>
        </w:rPr>
        <w:t>.]</w:t>
      </w:r>
    </w:p>
    <w:p w14:paraId="62B4FEFC" w14:textId="77777777" w:rsidR="0084489F" w:rsidRDefault="00110FE6">
      <w:pPr>
        <w:pStyle w:val="BlockText"/>
      </w:pPr>
      <w:r>
        <w:rPr>
          <w:b/>
          <w:bCs/>
          <w:i/>
          <w:iCs/>
        </w:rPr>
        <w:t>Note de traduction</w:t>
      </w:r>
    </w:p>
    <w:p w14:paraId="54A6F358" w14:textId="77777777" w:rsidR="0084489F" w:rsidRDefault="00110FE6">
      <w:pPr>
        <w:pStyle w:val="BlockText"/>
      </w:pPr>
      <w:r>
        <w:rPr>
          <w:b/>
          <w:bCs/>
          <w:i/>
          <w:iCs/>
        </w:rPr>
        <w:t>Références</w:t>
      </w:r>
    </w:p>
    <w:p w14:paraId="23D26318" w14:textId="77777777" w:rsidR="0084489F" w:rsidRDefault="0084489F">
      <w:pPr>
        <w:pStyle w:val="BlockText"/>
      </w:pPr>
    </w:p>
    <w:p w14:paraId="59304750" w14:textId="77777777" w:rsidR="0084489F" w:rsidRDefault="00110FE6">
      <w:pPr>
        <w:pStyle w:val="Heading2"/>
      </w:pPr>
      <w:bookmarkStart w:id="68" w:name="_Toc176864418"/>
      <w:bookmarkStart w:id="69" w:name="des-extensions-de-cidoccrm"/>
      <w:bookmarkEnd w:id="67"/>
      <w:r>
        <w:lastRenderedPageBreak/>
        <w:t>Des extensions de CIDOC CRM</w:t>
      </w:r>
      <w:bookmarkEnd w:id="68"/>
    </w:p>
    <w:p w14:paraId="2C2CBFB9" w14:textId="77777777" w:rsidR="0084489F" w:rsidRDefault="00110FE6">
      <w:pPr>
        <w:pStyle w:val="FirstParagraph"/>
      </w:pPr>
      <w:r>
        <w:t>Puisque le domaine d’application du CIDOC CRM est en fait un sous-ensemble du monde « réel » qui lui est infini, le modèle a été conçu pour être extensible [n.d.t. afin de répondre aux différents besoins de documentation qui pourraient en émerger]. Cette extensibilité repose en grande partie sur la possibilité d’établir des liens avec des systèmes externes compatibles hiérarchisés par types.</w:t>
      </w:r>
    </w:p>
    <w:p w14:paraId="4BC3F91E" w14:textId="77777777" w:rsidR="0084489F" w:rsidRDefault="00110FE6">
      <w:pPr>
        <w:pStyle w:val="BodyText"/>
      </w:pPr>
      <w:r w:rsidRPr="246FBB6F">
        <w:rPr>
          <w:lang w:val="fr-FR"/>
        </w:rPr>
        <w:t xml:space="preserve">Certains concepts du CIDOC CRM sont nécessairement définis plus précisément que d’autres du fait de son application pratique dans un domaine discursif qui est, lui, illimité (p. ex. les classes </w:t>
      </w:r>
      <w:r w:rsidRPr="246FBB6F">
        <w:rPr>
          <w:rStyle w:val="VerbatimChar"/>
          <w:lang w:val="fr-FR"/>
        </w:rPr>
        <w:t>E39_Actant</w:t>
      </w:r>
      <w:r w:rsidRPr="246FBB6F">
        <w:rPr>
          <w:lang w:val="fr-FR"/>
        </w:rPr>
        <w:t xml:space="preserve"> et </w:t>
      </w:r>
      <w:r w:rsidRPr="246FBB6F">
        <w:rPr>
          <w:rStyle w:val="VerbatimChar"/>
          <w:lang w:val="fr-FR"/>
        </w:rPr>
        <w:t>E30_Droit</w:t>
      </w:r>
      <w:r w:rsidRPr="246FBB6F">
        <w:rPr>
          <w:lang w:val="fr-FR"/>
        </w:rPr>
        <w:t xml:space="preserve"> sont brièvement définies alors que d’autres sont plus précises). Ces concepts « sous-développés » peuvent être utilisés comme </w:t>
      </w:r>
      <w:hyperlink w:anchor="terminologie-super-classe">
        <w:r w:rsidRPr="246FBB6F">
          <w:rPr>
            <w:rStyle w:val="Hyperlink"/>
            <w:lang w:val="fr-FR"/>
          </w:rPr>
          <w:t>super-classes</w:t>
        </w:r>
      </w:hyperlink>
      <w:r w:rsidRPr="246FBB6F">
        <w:rPr>
          <w:lang w:val="fr-FR"/>
        </w:rPr>
        <w:t xml:space="preserve"> possibles d’extensions compatibles (en particulier dans le cas de disciplines qui auraient une orientation spécifique et limitée); de telles additions au modèle principal (auquel on réfère parfois comme le CRMbase) sont généralement qualifiées d’« extensions ».</w:t>
      </w:r>
    </w:p>
    <w:p w14:paraId="3838D6BB" w14:textId="77777777" w:rsidR="0084489F" w:rsidRDefault="00110FE6">
      <w:pPr>
        <w:pStyle w:val="BodyText"/>
      </w:pPr>
      <w:r w:rsidRPr="246FBB6F">
        <w:rPr>
          <w:lang w:val="fr-FR"/>
        </w:rPr>
        <w:t xml:space="preserve">La compatibilité des extensions repose sur le fait que les données structurées selon celles-ci demeurent des instances valides des </w:t>
      </w:r>
      <w:hyperlink w:anchor="terminologie-classe">
        <w:r w:rsidRPr="246FBB6F">
          <w:rPr>
            <w:rStyle w:val="Hyperlink"/>
            <w:lang w:val="fr-FR"/>
          </w:rPr>
          <w:t>classes</w:t>
        </w:r>
      </w:hyperlink>
      <w:r w:rsidRPr="246FBB6F">
        <w:rPr>
          <w:lang w:val="fr-FR"/>
        </w:rPr>
        <w:t xml:space="preserve"> de CRMbase. Cela exige, d’un point de vue pratique, un encadrement des requêtes, de sorte que toute requête d’une base de connaissances (BC) basée sur des concepts du CRMbase doit générer des résultats qui s’alignent avec la sémantique du modèle, et ce peu importe si la représentation de ces connaissances (RC) est structurée uniquement selon CRMbase ou si elle repose aussi en partie sur ses extensions. Par exemple, une requête telle que « énumérer tous les évènements » devrait générer 100 % des instances considérées comme des évènements par le CRMbase peu importe la manière dont elles sont classifiées par les extensions du modèle.</w:t>
      </w:r>
    </w:p>
    <w:p w14:paraId="77928DCF" w14:textId="77777777" w:rsidR="0084489F" w:rsidRDefault="00110FE6">
      <w:pPr>
        <w:pStyle w:val="BodyText"/>
      </w:pPr>
      <w:r>
        <w:t>Un seuil acceptable de compatibilité d’une extension avec le CIDOC CRM est notamment établi par les conditions suivantes (qui doivent toutes être remplies) :</w:t>
      </w:r>
    </w:p>
    <w:p w14:paraId="4C574226" w14:textId="77777777" w:rsidR="0084489F" w:rsidRDefault="00110FE6" w:rsidP="00806324">
      <w:pPr>
        <w:numPr>
          <w:ilvl w:val="0"/>
          <w:numId w:val="18"/>
        </w:numPr>
      </w:pPr>
      <w:r w:rsidRPr="246FBB6F">
        <w:rPr>
          <w:lang w:val="fr-FR"/>
        </w:rPr>
        <w:t xml:space="preserve">les classes de CRMbase à l’exception de </w:t>
      </w:r>
      <w:r w:rsidRPr="246FBB6F">
        <w:rPr>
          <w:rStyle w:val="VerbatimChar"/>
          <w:lang w:val="fr-FR"/>
        </w:rPr>
        <w:t>E1_Entité_CRM</w:t>
      </w:r>
      <w:r w:rsidRPr="246FBB6F">
        <w:rPr>
          <w:lang w:val="fr-FR"/>
        </w:rPr>
        <w:t xml:space="preserve"> subsument toutes les classes de cette extension;</w:t>
      </w:r>
    </w:p>
    <w:p w14:paraId="4A9180B3" w14:textId="77777777" w:rsidR="0084489F" w:rsidRDefault="00110FE6" w:rsidP="00806324">
      <w:pPr>
        <w:numPr>
          <w:ilvl w:val="0"/>
          <w:numId w:val="18"/>
        </w:numPr>
      </w:pPr>
      <w:r w:rsidRPr="246FBB6F">
        <w:rPr>
          <w:lang w:val="fr-FR"/>
        </w:rPr>
        <w:t xml:space="preserve">les </w:t>
      </w:r>
      <w:hyperlink w:anchor="terminologie-propriete">
        <w:r w:rsidRPr="246FBB6F">
          <w:rPr>
            <w:rStyle w:val="Hyperlink"/>
            <w:lang w:val="fr-FR"/>
          </w:rPr>
          <w:t>propriétés</w:t>
        </w:r>
      </w:hyperlink>
      <w:r w:rsidRPr="246FBB6F">
        <w:rPr>
          <w:lang w:val="fr-FR"/>
        </w:rPr>
        <w:t xml:space="preserve"> de CRMbase subsument les propriétés de cette extension ou ces dernières font partie d’un chemin sémantique pour lequel une propriété du CRMbase fait office de </w:t>
      </w:r>
      <w:hyperlink w:anchor="terminologie-raccourci">
        <w:r w:rsidRPr="246FBB6F">
          <w:rPr>
            <w:rStyle w:val="Hyperlink"/>
            <w:lang w:val="fr-FR"/>
          </w:rPr>
          <w:t>raccourci</w:t>
        </w:r>
      </w:hyperlink>
      <w:r w:rsidRPr="246FBB6F">
        <w:rPr>
          <w:lang w:val="fr-FR"/>
        </w:rPr>
        <w:t>;</w:t>
      </w:r>
    </w:p>
    <w:p w14:paraId="4B032526" w14:textId="77777777" w:rsidR="0084489F" w:rsidRDefault="00110FE6" w:rsidP="00806324">
      <w:pPr>
        <w:numPr>
          <w:ilvl w:val="0"/>
          <w:numId w:val="18"/>
        </w:numPr>
      </w:pPr>
      <w:r w:rsidRPr="246FBB6F">
        <w:rPr>
          <w:lang w:val="fr-FR"/>
        </w:rPr>
        <w:t xml:space="preserve">les classes et les propriétés de l'extension peuvent être aisément distinguées de celle du CRMbase (p. ex. une classe « objet tangible » pourrait entrer en conflit avec des classes du CRMbase [n.d.t. comme </w:t>
      </w:r>
      <w:r w:rsidRPr="246FBB6F">
        <w:rPr>
          <w:rStyle w:val="VerbatimChar"/>
          <w:lang w:val="fr-FR"/>
        </w:rPr>
        <w:t>E19_Objet_Matériel</w:t>
      </w:r>
      <w:r w:rsidRPr="246FBB6F">
        <w:rPr>
          <w:lang w:val="fr-FR"/>
        </w:rPr>
        <w:t>] et cette évaluation ne pourrait être faite qu’intellectuellement).</w:t>
      </w:r>
    </w:p>
    <w:p w14:paraId="52B4FFA4" w14:textId="77777777" w:rsidR="0084489F" w:rsidRDefault="00110FE6">
      <w:pPr>
        <w:pStyle w:val="FirstParagraph"/>
      </w:pPr>
      <w:r w:rsidRPr="246FBB6F">
        <w:rPr>
          <w:lang w:val="fr-FR"/>
        </w:rPr>
        <w:t>Le CRMbase fournit un certain nombre de mécanismes d’extensibilité afin que son domaine d’application initial puisse être élargi sans pour autant compromettre sa compatibilité :</w:t>
      </w:r>
    </w:p>
    <w:p w14:paraId="04C01272" w14:textId="77777777" w:rsidR="0084489F" w:rsidRDefault="00110FE6" w:rsidP="00806324">
      <w:pPr>
        <w:numPr>
          <w:ilvl w:val="0"/>
          <w:numId w:val="19"/>
        </w:numPr>
      </w:pPr>
      <w:r>
        <w:t xml:space="preserve">Les classes existantes peuvent faire l’objet d’une extension structurellement – par des </w:t>
      </w:r>
      <w:hyperlink w:anchor="terminologie-sous-classe">
        <w:r>
          <w:rPr>
            <w:rStyle w:val="Hyperlink"/>
          </w:rPr>
          <w:t>sous-classes</w:t>
        </w:r>
      </w:hyperlink>
      <w:r>
        <w:t xml:space="preserve"> – ou dynamiquement – par une hiérarchie de types [n.d.t. comme un vocabulaire contrôlé] (à ce sujet, consulter la section intitulée </w:t>
      </w:r>
      <w:hyperlink w:anchor="des-types">
        <w:r>
          <w:rPr>
            <w:rStyle w:val="Hyperlink"/>
          </w:rPr>
          <w:t>Des types</w:t>
        </w:r>
      </w:hyperlink>
      <w:r>
        <w:t>).</w:t>
      </w:r>
    </w:p>
    <w:p w14:paraId="5790470D" w14:textId="77777777" w:rsidR="0084489F" w:rsidRDefault="00110FE6" w:rsidP="00806324">
      <w:pPr>
        <w:numPr>
          <w:ilvl w:val="0"/>
          <w:numId w:val="19"/>
        </w:numPr>
      </w:pPr>
      <w:r>
        <w:t xml:space="preserve">Les propriétés existantes peuvent faire l’objet d’une extension structurellement – par des </w:t>
      </w:r>
      <w:hyperlink w:anchor="terminologie-sous-propriete">
        <w:r>
          <w:rPr>
            <w:rStyle w:val="Hyperlink"/>
          </w:rPr>
          <w:t xml:space="preserve">sous-propriétés </w:t>
        </w:r>
      </w:hyperlink>
      <w:r>
        <w:t xml:space="preserve">– ou dynamiquement – par l’utilisation de propriétés de propriétés permettant le sous-typage (à ce sujet, consulter la section intitulée </w:t>
      </w:r>
      <w:hyperlink w:anchor="des-types">
        <w:r>
          <w:rPr>
            <w:rStyle w:val="Hyperlink"/>
          </w:rPr>
          <w:t>Des types</w:t>
        </w:r>
      </w:hyperlink>
      <w:r>
        <w:t>).</w:t>
      </w:r>
    </w:p>
    <w:p w14:paraId="55029AEF" w14:textId="77777777" w:rsidR="0084489F" w:rsidRDefault="00110FE6" w:rsidP="00806324">
      <w:pPr>
        <w:numPr>
          <w:ilvl w:val="0"/>
          <w:numId w:val="19"/>
        </w:numPr>
      </w:pPr>
      <w:r w:rsidRPr="246FBB6F">
        <w:rPr>
          <w:lang w:val="fr-FR"/>
        </w:rPr>
        <w:t xml:space="preserve">Les informations pertinentes pour lesquelles la sémantique formelle du CIDOC CRM serait inadéquate ou insuffisante peuvent être enregistrées à titre de données non structurées en utilisant la forme suivante : p. ex. </w:t>
      </w:r>
      <w:r w:rsidRPr="246FBB6F">
        <w:rPr>
          <w:rStyle w:val="VerbatimChar"/>
          <w:lang w:val="fr-FR"/>
        </w:rPr>
        <w:t>E1_Entité_CRM</w:t>
      </w:r>
      <w:r w:rsidRPr="246FBB6F">
        <w:rPr>
          <w:lang w:val="fr-FR"/>
        </w:rPr>
        <w:t xml:space="preserve"> . </w:t>
      </w:r>
      <w:r w:rsidRPr="246FBB6F">
        <w:rPr>
          <w:rStyle w:val="VerbatimChar"/>
          <w:lang w:val="fr-FR"/>
        </w:rPr>
        <w:t>P3_a_pour_note</w:t>
      </w:r>
      <w:r w:rsidRPr="246FBB6F">
        <w:rPr>
          <w:lang w:val="fr-FR"/>
        </w:rPr>
        <w:t xml:space="preserve"> : </w:t>
      </w:r>
      <w:r w:rsidRPr="246FBB6F">
        <w:rPr>
          <w:rStyle w:val="VerbatimChar"/>
          <w:lang w:val="fr-FR"/>
        </w:rPr>
        <w:t>E62_Chaîne_de_caractères</w:t>
      </w:r>
      <w:r w:rsidRPr="246FBB6F">
        <w:rPr>
          <w:lang w:val="fr-FR"/>
        </w:rPr>
        <w:t>.</w:t>
      </w:r>
    </w:p>
    <w:p w14:paraId="5FFE9B2A" w14:textId="77777777" w:rsidR="0084489F" w:rsidRDefault="00110FE6" w:rsidP="00806324">
      <w:pPr>
        <w:numPr>
          <w:ilvl w:val="0"/>
          <w:numId w:val="19"/>
        </w:numPr>
      </w:pPr>
      <w:r w:rsidRPr="246FBB6F">
        <w:rPr>
          <w:lang w:val="fr-FR"/>
        </w:rPr>
        <w:lastRenderedPageBreak/>
        <w:t>Le CRMbase lui-même peut être élargi par le biais de super-classes et de propriétés s’appliquant à un domaine plus large (des « extensions conservatrices ») qui maintiennent néanmoins une compatibilité rétroactive avec les instances décrites dans le CRMbase.</w:t>
      </w:r>
    </w:p>
    <w:p w14:paraId="45937A04" w14:textId="77777777" w:rsidR="0084489F" w:rsidRDefault="00110FE6">
      <w:pPr>
        <w:pStyle w:val="FirstParagraph"/>
      </w:pPr>
      <w:r w:rsidRPr="246FBB6F">
        <w:rPr>
          <w:lang w:val="fr-FR"/>
        </w:rPr>
        <w:t>L’utilisation des stratégies [n.d.t. aussi nommées « mécanismes »] 1, 2 et 3 entraîne une subsomption des extensions par le CRMbase et, de fait, leur couverture complète par ce dernier, de sorte qu’une requête n’utilisant que des concepts du CRMbase dans une base de connaissances extensionnée [n.d.t. mobilisant des extensions] aura pour résultat une extraction de tous les éléments décrits par le biais de ces extensions.</w:t>
      </w:r>
    </w:p>
    <w:p w14:paraId="45BCCA89" w14:textId="77777777" w:rsidR="0084489F" w:rsidRDefault="00110FE6">
      <w:pPr>
        <w:pStyle w:val="BodyText"/>
      </w:pPr>
      <w:r>
        <w:t xml:space="preserve">Dans le cas du </w:t>
      </w:r>
      <w:r>
        <w:rPr>
          <w:b/>
          <w:bCs/>
        </w:rPr>
        <w:t>troisième mécanisme</w:t>
      </w:r>
      <w:r>
        <w:t xml:space="preserve"> [n.d.t. l’utilisation de notes pour représenter des données non structurées], l’information contenues dans les notes est accessible depuis la base de connaissances en extrayant les </w:t>
      </w:r>
      <w:hyperlink w:anchor="terminologie-instance">
        <w:r>
          <w:rPr>
            <w:rStyle w:val="Hyperlink"/>
          </w:rPr>
          <w:t>instances</w:t>
        </w:r>
      </w:hyperlink>
      <w:r>
        <w:t xml:space="preserve"> de </w:t>
      </w:r>
      <w:r>
        <w:rPr>
          <w:rStyle w:val="VerbatimChar"/>
        </w:rPr>
        <w:t>E1_Entité_CRM</w:t>
      </w:r>
      <w:r>
        <w:t xml:space="preserve"> qui sont le </w:t>
      </w:r>
      <w:hyperlink w:anchor="terminologie-domaine">
        <w:r>
          <w:rPr>
            <w:rStyle w:val="Hyperlink"/>
          </w:rPr>
          <w:t>domaine</w:t>
        </w:r>
      </w:hyperlink>
      <w:r>
        <w:t xml:space="preserve"> de </w:t>
      </w:r>
      <w:r>
        <w:rPr>
          <w:rStyle w:val="VerbatimChar"/>
        </w:rPr>
        <w:t>P3_a_pour_note</w:t>
      </w:r>
      <w:r>
        <w:t xml:space="preserve"> ou en effectuant une recherche par mot-clé. La note devrait être appliquée à l’élément qui porte le plus spécifiquement sur le contenu de la note et des règles d’application devraient à cet égard être mises en place [n.d.t. par les responsables de la base de connaissances]. Par exemple, des détails quant au rôle que joue un acteur dans le contexte spécifique d’une activité devraient être associés à l’instance de </w:t>
      </w:r>
      <w:r>
        <w:rPr>
          <w:rStyle w:val="VerbatimChar"/>
        </w:rPr>
        <w:t>E7_Activité</w:t>
      </w:r>
      <w:r>
        <w:t xml:space="preserve"> plutôt que de </w:t>
      </w:r>
      <w:r>
        <w:rPr>
          <w:rStyle w:val="VerbatimChar"/>
        </w:rPr>
        <w:t>E39_Actant</w:t>
      </w:r>
      <w:r>
        <w:t xml:space="preserve"> [n.d.t. puisque ce rôle n’est pas généralement endossé par l’acteur et qu’il ne s’applique qu’au contexte particulier de l’activité décrite). Cette approche est la plus appropriée tant et aussi longtemps qu’il n’est pas nécessaire de faire des requêtes reliant les contenus de plusieurs notes de cette nature dans une même base de connaissances.</w:t>
      </w:r>
    </w:p>
    <w:p w14:paraId="76B2D6DD" w14:textId="77777777" w:rsidR="0084489F" w:rsidRDefault="00110FE6">
      <w:pPr>
        <w:pStyle w:val="BodyText"/>
      </w:pPr>
      <w:r w:rsidRPr="246FBB6F">
        <w:rPr>
          <w:lang w:val="fr-FR"/>
        </w:rPr>
        <w:t>De manière générale, seuls les concepts soumis à des requêtes formelles sélectionnant des instances multiples de la base de connaissances nécessitent une modélisation explicite; cela repose cependant sur les applications anticipée et pratique de la base de connaissances. Le CIDOC CRM accorde en effet une importance particulière à la modélisation des éléments qu’un utilisateur aimerait extraire et lier depuis des sources hétérogènes (voire inter-institutionnelles) de contenus. Il ne priorise donc pas la modélisation d’éléments dont l’application est localisée et spécifique telles que les pratiques administratives internes d’une institution.</w:t>
      </w:r>
    </w:p>
    <w:p w14:paraId="45E9C81B" w14:textId="77777777" w:rsidR="0084489F" w:rsidRDefault="00110FE6">
      <w:pPr>
        <w:pStyle w:val="BodyText"/>
      </w:pPr>
      <w:r>
        <w:t xml:space="preserve">Le </w:t>
      </w:r>
      <w:r>
        <w:rPr>
          <w:b/>
          <w:bCs/>
        </w:rPr>
        <w:t>quatrième mécanisme</w:t>
      </w:r>
      <w:r>
        <w:t xml:space="preserve"> (l’extension conservatrice) est plus complexe :</w:t>
      </w:r>
    </w:p>
    <w:p w14:paraId="34AE9C56" w14:textId="77777777" w:rsidR="0084489F" w:rsidRDefault="00110FE6">
      <w:pPr>
        <w:pStyle w:val="BodyText"/>
      </w:pPr>
      <w:r w:rsidRPr="246FBB6F">
        <w:rPr>
          <w:lang w:val="fr-FR"/>
        </w:rPr>
        <w:t xml:space="preserve">[n.d.t. L’utilisation des extension conservatrices découle d’un] usage accru du CIDOC CRM dont émane le besoin de modéliser des phénomènes issus d’un domaine d’application plus large que celui qu’avait initialement anticipé le modèle bien que ceux-ci s’inscrivent néanmoins dans le domaine d’application des concepts de CRMbase. Dans de tels cas, les propriétés de CRMbase s’avèrent souvent applicables aux super-classes des extensions de manière plus générale qu’elles ne s’appliquent à leur domaine et/ou à leur </w:t>
      </w:r>
      <w:hyperlink w:anchor="terminologie-portee">
        <w:r w:rsidRPr="246FBB6F">
          <w:rPr>
            <w:rStyle w:val="Hyperlink"/>
            <w:lang w:val="fr-FR"/>
          </w:rPr>
          <w:t>portée</w:t>
        </w:r>
      </w:hyperlink>
      <w:r w:rsidRPr="246FBB6F">
        <w:rPr>
          <w:lang w:val="fr-FR"/>
        </w:rPr>
        <w:t xml:space="preserve"> dans CRMbase. Cela résulte de l’approche « ascendante » [n.d.t. élaboration d’un tout depuis ses parties nécessaires, appelée en anglais « bottom-up »] privilégiée par le CIDOC CRM et selon laquelle les domaines et portées des propriétés sont aussi étroitement définis que possible dans le cadre du domaine d’application concerné (et ce afin d’éviter des généralisations qui exigeraient des corrections non monotones ou induiraient des mécompréhensions).</w:t>
      </w:r>
    </w:p>
    <w:p w14:paraId="29B051A1" w14:textId="77777777" w:rsidR="0084489F" w:rsidRDefault="00110FE6">
      <w:pPr>
        <w:pStyle w:val="BodyText"/>
      </w:pPr>
      <w:r>
        <w:t>Ce quatrième mécanisme d’extension de CIDOC CRM peut être divisé en deux scénarios :</w:t>
      </w:r>
    </w:p>
    <w:p w14:paraId="6C3864C7" w14:textId="77777777" w:rsidR="0084489F" w:rsidRDefault="00110FE6" w:rsidP="00806324">
      <w:pPr>
        <w:numPr>
          <w:ilvl w:val="0"/>
          <w:numId w:val="20"/>
        </w:numPr>
      </w:pPr>
      <w:r w:rsidRPr="246FBB6F">
        <w:rPr>
          <w:lang w:val="fr-FR"/>
        </w:rPr>
        <w:t xml:space="preserve">Une classe – qui n’est pas couverte par les super-classes de CRMbase à l’exception de </w:t>
      </w:r>
      <w:r w:rsidRPr="246FBB6F">
        <w:rPr>
          <w:rStyle w:val="VerbatimChar"/>
          <w:lang w:val="fr-FR"/>
        </w:rPr>
        <w:t>E1_Entité_CRM</w:t>
      </w:r>
      <w:r w:rsidRPr="246FBB6F">
        <w:rPr>
          <w:lang w:val="fr-FR"/>
        </w:rPr>
        <w:t xml:space="preserve"> – ou une propriété – qui n’est pas couverte par les super-propriétés du CRMbase – est ajoutée à une extension de CIDOC CRM, de sorte que les éléments qui ne sont décrits que par ces concepts ne sont pas extraits par une requête faite par des concepts de CRMbase uniquement. Dans un tel cas, l’extension devrait publier un énoncé de compatibilité précisant les classes et propriétés de haut niveau nécessaires à l’extraction de ce qui est documenté par le modèle extensionné (une extension monotone).</w:t>
      </w:r>
    </w:p>
    <w:p w14:paraId="4A7F1796" w14:textId="77777777" w:rsidR="0084489F" w:rsidRDefault="00110FE6" w:rsidP="00806324">
      <w:pPr>
        <w:numPr>
          <w:ilvl w:val="0"/>
          <w:numId w:val="20"/>
        </w:numPr>
      </w:pPr>
      <w:r w:rsidRPr="246FBB6F">
        <w:rPr>
          <w:lang w:val="fr-FR"/>
        </w:rPr>
        <w:lastRenderedPageBreak/>
        <w:t>Le domaine ou la portée d’une propriété du CRMbase est modifié en faveur de la super-classe de l’un [n.d.t. (domaine)], l’autre [n.d.t. (portée)] ou encore des deux en raison du fait que cette propriété couvre un domaine d’application plus large qu’il n’était initialement prévu. Dans un tel cas, tous les éléments décrits par l’extension sont accessibles par le biais d’une requête ne mobilisant que des concepts de CRMbase, bien que l’extension soit en mesure de décrire des éléments additionnels. Il s’agit d’une extension monotone, une pratique généralement recommandée, car elle permet une évolution ascendante du modèle [n.d.t. élaboration d’un tout depuis ses parties nécessaires, appelée en anglais « bottom-up »]. Si un tel changement s’inscrit dans une publication du CIDOC CRM lui-même, il est rétro-compatible (une pratique courante dans l’évolution du modèle).</w:t>
      </w:r>
    </w:p>
    <w:p w14:paraId="08B8A18C" w14:textId="77777777" w:rsidR="0084489F" w:rsidRDefault="00110FE6">
      <w:pPr>
        <w:pStyle w:val="FirstParagraph"/>
      </w:pPr>
      <w:r w:rsidRPr="246FBB6F">
        <w:rPr>
          <w:lang w:val="fr-FR"/>
        </w:rPr>
        <w:t xml:space="preserve">La documentation et l’implémentation de ce second scénario dans le cadre d’un module </w:t>
      </w:r>
      <w:r w:rsidRPr="246FBB6F">
        <w:rPr>
          <w:b/>
          <w:bCs/>
          <w:lang w:val="fr-FR"/>
        </w:rPr>
        <w:t>distinct</w:t>
      </w:r>
      <w:r w:rsidRPr="246FBB6F">
        <w:rPr>
          <w:lang w:val="fr-FR"/>
        </w:rPr>
        <w:t xml:space="preserve"> du CRMbase peut mener à des conflits lors du traitement par des langages de représentation des connaissances tels que </w:t>
      </w:r>
      <w:hyperlink r:id="rId136">
        <w:r w:rsidRPr="246FBB6F">
          <w:rPr>
            <w:rStyle w:val="Hyperlink"/>
            <w:lang w:val="fr-FR"/>
          </w:rPr>
          <w:t>RDF</w:t>
        </w:r>
      </w:hyperlink>
      <w:r w:rsidRPr="246FBB6F">
        <w:rPr>
          <w:lang w:val="fr-FR"/>
        </w:rPr>
        <w:t xml:space="preserve">/OWL. Cela est dû au fait que, du point de vue de la logique formelle, la modification du domaine ou de la portée d’une propriété </w:t>
      </w:r>
      <w:r w:rsidRPr="246FBB6F">
        <w:rPr>
          <w:b/>
          <w:bCs/>
          <w:lang w:val="fr-FR"/>
        </w:rPr>
        <w:t>constitue</w:t>
      </w:r>
      <w:r w:rsidRPr="246FBB6F">
        <w:rPr>
          <w:lang w:val="fr-FR"/>
        </w:rPr>
        <w:t xml:space="preserve"> un changement de signification ontologique </w:t>
      </w:r>
      <w:r w:rsidRPr="246FBB6F">
        <w:rPr>
          <w:b/>
          <w:bCs/>
          <w:lang w:val="fr-FR"/>
        </w:rPr>
        <w:t>complet</w:t>
      </w:r>
      <w:r w:rsidRPr="246FBB6F">
        <w:rPr>
          <w:lang w:val="fr-FR"/>
        </w:rPr>
        <w:t xml:space="preserve"> : il n’y a pas de distinction, dans ce contexte, entre la </w:t>
      </w:r>
      <w:r w:rsidRPr="246FBB6F">
        <w:rPr>
          <w:b/>
          <w:bCs/>
          <w:lang w:val="fr-FR"/>
        </w:rPr>
        <w:t>signification de la propriété (indépendamment de son domaine et de sa portée) et la spécialisation de son domaine et de sa portée</w:t>
      </w:r>
      <w:r w:rsidRPr="246FBB6F">
        <w:rPr>
          <w:lang w:val="fr-FR"/>
        </w:rPr>
        <w:t>. Cela est comparable à l’extension conservatrice d’une théorie dans un contexte logique, une pratique nécessaire à la gestion modulaire d’ontologies de manière efficace.</w:t>
      </w:r>
    </w:p>
    <w:p w14:paraId="2E1A3959" w14:textId="77777777" w:rsidR="0084489F" w:rsidRDefault="00110FE6">
      <w:pPr>
        <w:pStyle w:val="BodyText"/>
      </w:pPr>
      <w:r>
        <w:t>Un tel cas décrit en logique du premier ordre illustre comment atteindre la modularité formellement dans ce contexte :</w:t>
      </w:r>
    </w:p>
    <w:p w14:paraId="3F16DBBB" w14:textId="77777777" w:rsidR="0084489F" w:rsidRDefault="00110FE6">
      <w:pPr>
        <w:pStyle w:val="BodyText"/>
      </w:pPr>
      <w:r w:rsidRPr="246FBB6F">
        <w:rPr>
          <w:lang w:val="fr-FR"/>
        </w:rPr>
        <w:t xml:space="preserve">Assumant qu’une propriété </w:t>
      </w:r>
      <w:r w:rsidRPr="246FBB6F">
        <w:rPr>
          <w:rStyle w:val="VerbatimChar"/>
          <w:lang w:val="fr-FR"/>
        </w:rPr>
        <w:t>P</w:t>
      </w:r>
      <w:r w:rsidRPr="246FBB6F">
        <w:rPr>
          <w:lang w:val="fr-FR"/>
        </w:rPr>
        <w:t xml:space="preserve"> est définie avec pour domaine une classe </w:t>
      </w:r>
      <w:r w:rsidRPr="246FBB6F">
        <w:rPr>
          <w:rStyle w:val="VerbatimChar"/>
          <w:lang w:val="fr-FR"/>
        </w:rPr>
        <w:t>A</w:t>
      </w:r>
      <w:r w:rsidRPr="246FBB6F">
        <w:rPr>
          <w:lang w:val="fr-FR"/>
        </w:rPr>
        <w:t xml:space="preserve"> et pour portée une classe </w:t>
      </w:r>
      <w:r w:rsidRPr="246FBB6F">
        <w:rPr>
          <w:rStyle w:val="VerbatimChar"/>
          <w:lang w:val="fr-FR"/>
        </w:rPr>
        <w:t>C</w:t>
      </w:r>
      <w:r w:rsidRPr="246FBB6F">
        <w:rPr>
          <w:lang w:val="fr-FR"/>
        </w:rPr>
        <w:t xml:space="preserve">, mais qu’elle porte aussi pour domaine une classe </w:t>
      </w:r>
      <w:r w:rsidRPr="246FBB6F">
        <w:rPr>
          <w:rStyle w:val="VerbatimChar"/>
          <w:lang w:val="fr-FR"/>
        </w:rPr>
        <w:t>B</w:t>
      </w:r>
      <w:r w:rsidRPr="246FBB6F">
        <w:rPr>
          <w:lang w:val="fr-FR"/>
        </w:rPr>
        <w:t xml:space="preserve"> (une super-classe de </w:t>
      </w:r>
      <w:r w:rsidRPr="246FBB6F">
        <w:rPr>
          <w:rStyle w:val="VerbatimChar"/>
          <w:lang w:val="fr-FR"/>
        </w:rPr>
        <w:t>A</w:t>
      </w:r>
      <w:r w:rsidRPr="246FBB6F">
        <w:rPr>
          <w:lang w:val="fr-FR"/>
        </w:rPr>
        <w:t xml:space="preserve">) et pour portée une classe </w:t>
      </w:r>
      <w:r w:rsidRPr="246FBB6F">
        <w:rPr>
          <w:rStyle w:val="VerbatimChar"/>
          <w:lang w:val="fr-FR"/>
        </w:rPr>
        <w:t>D</w:t>
      </w:r>
      <w:r w:rsidRPr="246FBB6F">
        <w:rPr>
          <w:lang w:val="fr-FR"/>
        </w:rPr>
        <w:t xml:space="preserve"> (une super-classe de </w:t>
      </w:r>
      <w:r w:rsidRPr="246FBB6F">
        <w:rPr>
          <w:rStyle w:val="VerbatimChar"/>
          <w:lang w:val="fr-FR"/>
        </w:rPr>
        <w:t>C</w:t>
      </w:r>
      <w:r w:rsidRPr="246FBB6F">
        <w:rPr>
          <w:lang w:val="fr-FR"/>
        </w:rPr>
        <w:t>).</w:t>
      </w:r>
    </w:p>
    <w:p w14:paraId="6AF86AF3" w14:textId="77777777" w:rsidR="0084489F" w:rsidRDefault="00110FE6">
      <w:pPr>
        <w:pStyle w:val="BodyText"/>
      </w:pPr>
      <w:r>
        <w:t xml:space="preserve">Cette situation peut être décrite plus aisément par l’introduction d’une propriété </w:t>
      </w:r>
      <w:r>
        <w:rPr>
          <w:rStyle w:val="VerbatimChar"/>
        </w:rPr>
        <w:t>P’</w:t>
      </w:r>
      <w:r>
        <w:t xml:space="preserve"> dont le domaine est la classe </w:t>
      </w:r>
      <w:r>
        <w:rPr>
          <w:rStyle w:val="VerbatimChar"/>
        </w:rPr>
        <w:t>B</w:t>
      </w:r>
      <w:r>
        <w:t xml:space="preserve"> et la portée la classe </w:t>
      </w:r>
      <w:r>
        <w:rPr>
          <w:rStyle w:val="VerbatimChar"/>
        </w:rPr>
        <w:t>D</w:t>
      </w:r>
      <w:r>
        <w:t>.</w:t>
      </w:r>
    </w:p>
    <w:p w14:paraId="572BDA32" w14:textId="77777777" w:rsidR="0084489F" w:rsidRDefault="00110FE6">
      <w:pPr>
        <w:pStyle w:val="BodyText"/>
      </w:pPr>
      <w:r>
        <w:t>La logique suivante s’applique donc :</w:t>
      </w:r>
    </w:p>
    <w:p w14:paraId="485E9BFC" w14:textId="77777777" w:rsidR="0084489F" w:rsidRDefault="00110FE6">
      <w:pPr>
        <w:pStyle w:val="BodyText"/>
      </w:pPr>
      <w:r>
        <w:t>A(x) ⇒ B(x)</w:t>
      </w:r>
    </w:p>
    <w:p w14:paraId="7092FAFF" w14:textId="77777777" w:rsidR="0084489F" w:rsidRDefault="00110FE6">
      <w:pPr>
        <w:pStyle w:val="BodyText"/>
      </w:pPr>
      <w:r>
        <w:t>C(x) ⇒ D(x)</w:t>
      </w:r>
    </w:p>
    <w:p w14:paraId="51B3EA6B" w14:textId="77777777" w:rsidR="0084489F" w:rsidRDefault="00110FE6">
      <w:pPr>
        <w:pStyle w:val="BodyText"/>
      </w:pPr>
      <w:r w:rsidRPr="246FBB6F">
        <w:rPr>
          <w:lang w:val="fr-FR"/>
        </w:rPr>
        <w:t>P(x,y) ⇒ A(x)</w:t>
      </w:r>
    </w:p>
    <w:p w14:paraId="7E34E65B" w14:textId="77777777" w:rsidR="0084489F" w:rsidRDefault="00110FE6">
      <w:pPr>
        <w:pStyle w:val="BodyText"/>
      </w:pPr>
      <w:r w:rsidRPr="246FBB6F">
        <w:rPr>
          <w:lang w:val="fr-FR"/>
        </w:rPr>
        <w:t>P(x,y) ⇒ C(y)</w:t>
      </w:r>
    </w:p>
    <w:p w14:paraId="4E7628F1" w14:textId="77777777" w:rsidR="0084489F" w:rsidRDefault="00110FE6">
      <w:pPr>
        <w:pStyle w:val="BodyText"/>
      </w:pPr>
      <w:r w:rsidRPr="246FBB6F">
        <w:rPr>
          <w:lang w:val="fr-FR"/>
        </w:rPr>
        <w:t>P’(x,y) ⇒ B(x)</w:t>
      </w:r>
    </w:p>
    <w:p w14:paraId="260D975E" w14:textId="77777777" w:rsidR="0084489F" w:rsidRDefault="00110FE6">
      <w:pPr>
        <w:pStyle w:val="BodyText"/>
      </w:pPr>
      <w:r w:rsidRPr="246FBB6F">
        <w:rPr>
          <w:lang w:val="fr-FR"/>
        </w:rPr>
        <w:t>P’(x,y) ⇒ D(y)</w:t>
      </w:r>
    </w:p>
    <w:p w14:paraId="7274C79D" w14:textId="77777777" w:rsidR="0084489F" w:rsidRDefault="00110FE6">
      <w:pPr>
        <w:pStyle w:val="BodyText"/>
      </w:pPr>
      <w:r w:rsidRPr="246FBB6F">
        <w:rPr>
          <w:lang w:val="fr-FR"/>
        </w:rPr>
        <w:t xml:space="preserve">Ainsi, </w:t>
      </w:r>
      <w:r w:rsidRPr="246FBB6F">
        <w:rPr>
          <w:rStyle w:val="VerbatimChar"/>
          <w:lang w:val="fr-FR"/>
        </w:rPr>
        <w:t>P’</w:t>
      </w:r>
      <w:r w:rsidRPr="246FBB6F">
        <w:rPr>
          <w:lang w:val="fr-FR"/>
        </w:rPr>
        <w:t xml:space="preserve"> est une extension conservatrice de </w:t>
      </w:r>
      <w:r w:rsidRPr="246FBB6F">
        <w:rPr>
          <w:rStyle w:val="VerbatimChar"/>
          <w:lang w:val="fr-FR"/>
        </w:rPr>
        <w:t>P</w:t>
      </w:r>
      <w:r w:rsidRPr="246FBB6F">
        <w:rPr>
          <w:lang w:val="fr-FR"/>
        </w:rPr>
        <w:t xml:space="preserve"> si A(x) ∧ C(y) ∧ P’(x,y) ⇔ P(x,y)</w:t>
      </w:r>
    </w:p>
    <w:p w14:paraId="051AC368" w14:textId="77777777" w:rsidR="0084489F" w:rsidRDefault="00110FE6">
      <w:pPr>
        <w:pStyle w:val="BodyText"/>
      </w:pPr>
      <w:r w:rsidRPr="246FBB6F">
        <w:rPr>
          <w:lang w:val="fr-FR"/>
        </w:rPr>
        <w:t>En d’autres termes, un module d’extension distinct peut re-déclarer une propriété avec un autre identifiant (préférablement en utilisant une même étiquette) et implémenter la règle ci-haut.</w:t>
      </w:r>
    </w:p>
    <w:p w14:paraId="6EC71983" w14:textId="77777777" w:rsidR="0084489F" w:rsidRDefault="00110FE6">
      <w:pPr>
        <w:pStyle w:val="BlockText"/>
      </w:pPr>
      <w:r>
        <w:rPr>
          <w:b/>
          <w:bCs/>
          <w:i/>
          <w:iCs/>
        </w:rPr>
        <w:t>Note de traduction</w:t>
      </w:r>
    </w:p>
    <w:p w14:paraId="672AA149" w14:textId="77777777" w:rsidR="0084489F" w:rsidRDefault="00110FE6">
      <w:pPr>
        <w:pStyle w:val="BlockText"/>
      </w:pPr>
      <w:r>
        <w:t>Certains paragraphes ont été édités dans la version francophone aux fins de compréhension. Les sections concernées sont indiquées de [n.d.t. texte concerné].</w:t>
      </w:r>
    </w:p>
    <w:p w14:paraId="697A6088" w14:textId="77777777" w:rsidR="0084489F" w:rsidRDefault="00110FE6">
      <w:pPr>
        <w:pStyle w:val="BlockText"/>
      </w:pPr>
      <w:r w:rsidRPr="246FBB6F">
        <w:rPr>
          <w:lang w:val="fr-FR"/>
        </w:rPr>
        <w:t>Le terme « fact » pour référer à un élément se trouvant dans une base de connaissances a été traduit par « élément » puisqu’il ne semble pas y avoir de référence à la nature attestée de l’élément en question.</w:t>
      </w:r>
    </w:p>
    <w:p w14:paraId="16D63AA5" w14:textId="77777777" w:rsidR="0084489F" w:rsidRDefault="00110FE6" w:rsidP="00B533DB">
      <w:pPr>
        <w:pStyle w:val="BlockText"/>
        <w:keepNext/>
        <w:ind w:left="475" w:right="475"/>
      </w:pPr>
      <w:r>
        <w:rPr>
          <w:b/>
          <w:bCs/>
          <w:i/>
          <w:iCs/>
        </w:rPr>
        <w:lastRenderedPageBreak/>
        <w:t>Références</w:t>
      </w:r>
    </w:p>
    <w:p w14:paraId="33947B5F" w14:textId="77777777" w:rsidR="0084489F" w:rsidRDefault="00110FE6" w:rsidP="00B533DB">
      <w:pPr>
        <w:pStyle w:val="BlockText"/>
        <w:keepNext/>
        <w:ind w:left="475" w:right="475"/>
      </w:pPr>
      <w:r w:rsidRPr="246FBB6F">
        <w:rPr>
          <w:lang w:val="fr-FR"/>
        </w:rPr>
        <w:t xml:space="preserve">Wikipédia. « Extension conservatrice ». Dans </w:t>
      </w:r>
      <w:r w:rsidRPr="246FBB6F">
        <w:rPr>
          <w:i/>
          <w:iCs/>
          <w:lang w:val="fr-FR"/>
        </w:rPr>
        <w:t>Wikipédia</w:t>
      </w:r>
      <w:r w:rsidRPr="246FBB6F">
        <w:rPr>
          <w:lang w:val="fr-FR"/>
        </w:rPr>
        <w:t>. San Francisco, US-CA: Wikipédia, 17 décembre 2017.</w:t>
      </w:r>
      <w:hyperlink r:id="rId137">
        <w:r w:rsidRPr="246FBB6F">
          <w:rPr>
            <w:rStyle w:val="Hyperlink"/>
            <w:lang w:val="fr-FR"/>
          </w:rPr>
          <w:t xml:space="preserve"> </w:t>
        </w:r>
      </w:hyperlink>
      <w:hyperlink r:id="rId138">
        <w:r w:rsidRPr="246FBB6F">
          <w:rPr>
            <w:rStyle w:val="Hyperlink"/>
            <w:lang w:val="fr-FR"/>
          </w:rPr>
          <w:t>https://fr.wikipedia.org/w/index.php?title=Extension_conservatrice&amp;oldid=143598511</w:t>
        </w:r>
      </w:hyperlink>
      <w:r w:rsidRPr="246FBB6F">
        <w:rPr>
          <w:lang w:val="fr-FR"/>
        </w:rPr>
        <w:t>.</w:t>
      </w:r>
    </w:p>
    <w:p w14:paraId="624DC486" w14:textId="77777777" w:rsidR="0084489F" w:rsidRDefault="00110FE6">
      <w:pPr>
        <w:pStyle w:val="BlockText"/>
      </w:pPr>
      <w:r w:rsidRPr="246FBB6F">
        <w:rPr>
          <w:lang w:val="fr-FR"/>
        </w:rPr>
        <w:t xml:space="preserve">———. « Monotonie ». Dans </w:t>
      </w:r>
      <w:r w:rsidRPr="246FBB6F">
        <w:rPr>
          <w:i/>
          <w:iCs/>
          <w:lang w:val="fr-FR"/>
        </w:rPr>
        <w:t>Wikipédia</w:t>
      </w:r>
      <w:r w:rsidRPr="246FBB6F">
        <w:rPr>
          <w:lang w:val="fr-FR"/>
        </w:rPr>
        <w:t xml:space="preserve">. </w:t>
      </w:r>
      <w:r w:rsidRPr="00010123">
        <w:rPr>
          <w:lang w:val="en-CA"/>
        </w:rPr>
        <w:t>San Francisco, US-CA: Wikipédia, 19 février 2017.</w:t>
      </w:r>
      <w:hyperlink r:id="rId139">
        <w:r w:rsidRPr="00010123">
          <w:rPr>
            <w:rStyle w:val="Hyperlink"/>
            <w:lang w:val="en-CA"/>
          </w:rPr>
          <w:t xml:space="preserve"> </w:t>
        </w:r>
      </w:hyperlink>
      <w:hyperlink r:id="rId140">
        <w:r w:rsidRPr="246FBB6F">
          <w:rPr>
            <w:rStyle w:val="Hyperlink"/>
            <w:lang w:val="fr-FR"/>
          </w:rPr>
          <w:t>https://fr.wikipedia.org/w/index.php?title=Monotonie&amp;oldid=134697868</w:t>
        </w:r>
      </w:hyperlink>
      <w:r w:rsidRPr="246FBB6F">
        <w:rPr>
          <w:lang w:val="fr-FR"/>
        </w:rPr>
        <w:t>.</w:t>
      </w:r>
    </w:p>
    <w:p w14:paraId="0EC8122A" w14:textId="77777777" w:rsidR="004B7BCB" w:rsidRPr="004B7BCB" w:rsidRDefault="004B7BCB" w:rsidP="004B7BCB">
      <w:pPr>
        <w:pStyle w:val="BodyText"/>
      </w:pPr>
    </w:p>
    <w:p w14:paraId="5C7940CA" w14:textId="77777777" w:rsidR="0084489F" w:rsidRDefault="00110FE6">
      <w:pPr>
        <w:pStyle w:val="Heading2"/>
      </w:pPr>
      <w:bookmarkStart w:id="70" w:name="_Toc176864419"/>
      <w:bookmarkStart w:id="71" w:name="de-la-minimalite"/>
      <w:bookmarkEnd w:id="69"/>
      <w:r>
        <w:t>De la minimalité</w:t>
      </w:r>
      <w:bookmarkEnd w:id="70"/>
    </w:p>
    <w:p w14:paraId="32B765BE" w14:textId="77777777" w:rsidR="0084489F" w:rsidRDefault="00110FE6">
      <w:pPr>
        <w:pStyle w:val="FirstParagraph"/>
      </w:pPr>
      <w:r>
        <w:t>Bien que le domaine d’application du CIDOC CRM soit très large, le modèle lui-même promeut une économie de moyens, de sorte que :</w:t>
      </w:r>
    </w:p>
    <w:p w14:paraId="40C6F421" w14:textId="77777777" w:rsidR="0084489F" w:rsidRDefault="00110FE6" w:rsidP="00806324">
      <w:pPr>
        <w:numPr>
          <w:ilvl w:val="0"/>
          <w:numId w:val="21"/>
        </w:numPr>
      </w:pPr>
      <w:r w:rsidRPr="246FBB6F">
        <w:rPr>
          <w:lang w:val="fr-FR"/>
        </w:rPr>
        <w:t xml:space="preserve">Les </w:t>
      </w:r>
      <w:hyperlink w:anchor="terminologie-classe">
        <w:r w:rsidRPr="246FBB6F">
          <w:rPr>
            <w:rStyle w:val="Hyperlink"/>
            <w:lang w:val="fr-FR"/>
          </w:rPr>
          <w:t>classes</w:t>
        </w:r>
      </w:hyperlink>
      <w:r w:rsidRPr="246FBB6F">
        <w:rPr>
          <w:lang w:val="fr-FR"/>
        </w:rPr>
        <w:t xml:space="preserve"> et </w:t>
      </w:r>
      <w:hyperlink w:anchor="terminologie-propriete">
        <w:r w:rsidRPr="246FBB6F">
          <w:rPr>
            <w:rStyle w:val="Hyperlink"/>
            <w:lang w:val="fr-FR"/>
          </w:rPr>
          <w:t>propriétés</w:t>
        </w:r>
      </w:hyperlink>
      <w:r w:rsidRPr="246FBB6F">
        <w:rPr>
          <w:lang w:val="fr-FR"/>
        </w:rPr>
        <w:t xml:space="preserve"> de CIDOC CRM sont soit primitives, soit d’une utilité avérée dans le cadre d’une application pratique;</w:t>
      </w:r>
    </w:p>
    <w:p w14:paraId="2B90621E" w14:textId="5488BF08" w:rsidR="0084489F" w:rsidRDefault="00110FE6" w:rsidP="00806324">
      <w:pPr>
        <w:numPr>
          <w:ilvl w:val="0"/>
          <w:numId w:val="21"/>
        </w:numPr>
      </w:pPr>
      <w:r>
        <w:t>En raison de l’</w:t>
      </w:r>
      <w:hyperlink w:anchor="terminologie-monde-ouvert">
        <w:r>
          <w:rPr>
            <w:rStyle w:val="Hyperlink"/>
          </w:rPr>
          <w:t>hypothèse du monde ouvert</w:t>
        </w:r>
      </w:hyperlink>
      <w:r>
        <w:t xml:space="preserve"> qui statue qu’il n’y a pas de propriétés associées aux compléments d’une classe (voir </w:t>
      </w:r>
      <w:hyperlink w:anchor="terminologie">
        <w:r>
          <w:rPr>
            <w:rStyle w:val="Hyperlink"/>
          </w:rPr>
          <w:t>Terminologie</w:t>
        </w:r>
      </w:hyperlink>
      <w:r>
        <w:t xml:space="preserve"> et la première conséquence de la </w:t>
      </w:r>
      <w:hyperlink w:anchor="de-la-monotonicite">
        <w:r>
          <w:rPr>
            <w:rStyle w:val="Hyperlink"/>
          </w:rPr>
          <w:t>Monotonicité</w:t>
        </w:r>
      </w:hyperlink>
      <w:r>
        <w:t xml:space="preserve">), de tels </w:t>
      </w:r>
      <w:hyperlink w:anchor="terminologie-complement">
        <w:r>
          <w:rPr>
            <w:rStyle w:val="Hyperlink"/>
          </w:rPr>
          <w:t>compléments</w:t>
        </w:r>
      </w:hyperlink>
      <w:r>
        <w:t xml:space="preserve"> ne sont pas déclarés dans le cadre du CIDOC CRM.</w:t>
      </w:r>
    </w:p>
    <w:p w14:paraId="5D10E15A" w14:textId="77777777" w:rsidR="0084489F" w:rsidRDefault="00110FE6">
      <w:pPr>
        <w:pStyle w:val="FirstParagraph"/>
      </w:pPr>
      <w:r>
        <w:t>Une classe CIDOC CRM est déclarée lorsque :</w:t>
      </w:r>
    </w:p>
    <w:p w14:paraId="6BA22C55" w14:textId="77777777" w:rsidR="0084489F" w:rsidRDefault="00110FE6" w:rsidP="00806324">
      <w:pPr>
        <w:numPr>
          <w:ilvl w:val="0"/>
          <w:numId w:val="22"/>
        </w:numPr>
      </w:pPr>
      <w:r w:rsidRPr="246FBB6F">
        <w:rPr>
          <w:lang w:val="fr-FR"/>
        </w:rPr>
        <w:t xml:space="preserve">le </w:t>
      </w:r>
      <w:hyperlink w:anchor="terminologie-domaine">
        <w:r w:rsidRPr="246FBB6F">
          <w:rPr>
            <w:rStyle w:val="Hyperlink"/>
            <w:lang w:val="fr-FR"/>
          </w:rPr>
          <w:t>domaine</w:t>
        </w:r>
      </w:hyperlink>
      <w:r w:rsidRPr="246FBB6F">
        <w:rPr>
          <w:lang w:val="fr-FR"/>
        </w:rPr>
        <w:t xml:space="preserve"> ou la </w:t>
      </w:r>
      <w:hyperlink w:anchor="terminologie-portee">
        <w:r w:rsidRPr="246FBB6F">
          <w:rPr>
            <w:rStyle w:val="Hyperlink"/>
            <w:lang w:val="fr-FR"/>
          </w:rPr>
          <w:t>portée</w:t>
        </w:r>
      </w:hyperlink>
      <w:r w:rsidRPr="246FBB6F">
        <w:rPr>
          <w:lang w:val="fr-FR"/>
        </w:rPr>
        <w:t xml:space="preserve"> d’une propriété ne sont pas compatibles avec une </w:t>
      </w:r>
      <w:hyperlink w:anchor="terminologie-super-classe">
        <w:r w:rsidRPr="246FBB6F">
          <w:rPr>
            <w:rStyle w:val="Hyperlink"/>
            <w:lang w:val="fr-FR"/>
          </w:rPr>
          <w:t>super-classe</w:t>
        </w:r>
      </w:hyperlink>
      <w:r w:rsidRPr="246FBB6F">
        <w:rPr>
          <w:lang w:val="fr-FR"/>
        </w:rPr>
        <w:t xml:space="preserve"> [n.d.t. de sorte que son utilisation exige la création d’une nouvelle classe];</w:t>
      </w:r>
    </w:p>
    <w:p w14:paraId="478BB5A2" w14:textId="77777777" w:rsidR="0084489F" w:rsidRDefault="00110FE6" w:rsidP="00806324">
      <w:pPr>
        <w:numPr>
          <w:ilvl w:val="0"/>
          <w:numId w:val="22"/>
        </w:numPr>
      </w:pPr>
      <w:r w:rsidRPr="246FBB6F">
        <w:rPr>
          <w:lang w:val="fr-FR"/>
        </w:rPr>
        <w:t xml:space="preserve">cette nouvelle classe fonctionne comme point de convergence de deux branches de classes CIDOC CRM par le biais de multiples liens </w:t>
      </w:r>
      <w:r w:rsidRPr="246FBB6F">
        <w:rPr>
          <w:rStyle w:val="VerbatimChar"/>
          <w:lang w:val="fr-FR"/>
        </w:rPr>
        <w:t>estUn</w:t>
      </w:r>
      <w:r w:rsidRPr="246FBB6F">
        <w:rPr>
          <w:lang w:val="fr-FR"/>
        </w:rPr>
        <w:t xml:space="preserve"> (p. ex. </w:t>
      </w:r>
      <w:r w:rsidRPr="246FBB6F">
        <w:rPr>
          <w:rStyle w:val="VerbatimChar"/>
          <w:lang w:val="fr-FR"/>
        </w:rPr>
        <w:t>E25_Caractéristique_élaborée_par_l'humain</w:t>
      </w:r>
      <w:r w:rsidRPr="246FBB6F">
        <w:rPr>
          <w:lang w:val="fr-FR"/>
        </w:rPr>
        <w:t xml:space="preserve">); Lorsque les super-classes de ces branches sont utilisées afin d’instancier à plusieurs reprises une entité, cette entité se trouve à l’intersection des domaines d’application de chacune, de sorte qu’une classe résultant de multiples </w:t>
      </w:r>
      <w:r w:rsidRPr="246FBB6F">
        <w:rPr>
          <w:rStyle w:val="VerbatimChar"/>
          <w:lang w:val="fr-FR"/>
        </w:rPr>
        <w:t>estUn</w:t>
      </w:r>
      <w:r w:rsidRPr="246FBB6F">
        <w:rPr>
          <w:lang w:val="fr-FR"/>
        </w:rPr>
        <w:t xml:space="preserve"> devrait avoir un domaine d’application plus restreint que ceux de ses super-classes;</w:t>
      </w:r>
    </w:p>
    <w:p w14:paraId="55C3F253" w14:textId="77777777" w:rsidR="0084489F" w:rsidRDefault="00110FE6" w:rsidP="00806324">
      <w:pPr>
        <w:numPr>
          <w:ilvl w:val="0"/>
          <w:numId w:val="22"/>
        </w:numPr>
      </w:pPr>
      <w:r w:rsidRPr="246FBB6F">
        <w:rPr>
          <w:lang w:val="fr-FR"/>
        </w:rPr>
        <w:t xml:space="preserve">les praticiens du CIDOC CRM qui élaborent des extensions de celui-ci ou s'affairent à établir des équivalences avec des classes essentielles d’autres modèles en identifiant le besoin; dans de tels cas, il est important que la classe soit située à la fin de la branche et qu’elle ne contienne pas de </w:t>
      </w:r>
      <w:hyperlink w:anchor="terminologie-sous-classe">
        <w:r w:rsidRPr="246FBB6F">
          <w:rPr>
            <w:rStyle w:val="Hyperlink"/>
            <w:lang w:val="fr-FR"/>
          </w:rPr>
          <w:t>sous-classes</w:t>
        </w:r>
      </w:hyperlink>
      <w:r w:rsidRPr="246FBB6F">
        <w:rPr>
          <w:lang w:val="fr-FR"/>
        </w:rPr>
        <w:t xml:space="preserve"> (p. ex. </w:t>
      </w:r>
      <w:r w:rsidRPr="246FBB6F">
        <w:rPr>
          <w:rStyle w:val="VerbatimChar"/>
          <w:lang w:val="fr-FR"/>
        </w:rPr>
        <w:t>E34_Inscription</w:t>
      </w:r>
      <w:r w:rsidRPr="246FBB6F">
        <w:rPr>
          <w:lang w:val="fr-FR"/>
        </w:rPr>
        <w:t>).</w:t>
      </w:r>
    </w:p>
    <w:p w14:paraId="59343843" w14:textId="77777777" w:rsidR="0084489F" w:rsidRDefault="00110FE6">
      <w:pPr>
        <w:pStyle w:val="BlockText"/>
      </w:pPr>
      <w:r>
        <w:rPr>
          <w:b/>
          <w:bCs/>
          <w:i/>
          <w:iCs/>
        </w:rPr>
        <w:t>Note de traduction</w:t>
      </w:r>
    </w:p>
    <w:p w14:paraId="435F4193" w14:textId="77777777" w:rsidR="0084489F" w:rsidRDefault="00110FE6">
      <w:pPr>
        <w:pStyle w:val="BlockText"/>
      </w:pPr>
      <w:r>
        <w:t>Certains paragraphes ont été édités dans la version francophone aux fins de compréhension. Les sections concernées sont indiquées de [n.d.t. texte concerné].</w:t>
      </w:r>
    </w:p>
    <w:p w14:paraId="38637912" w14:textId="77777777" w:rsidR="0084489F" w:rsidRDefault="00110FE6">
      <w:pPr>
        <w:pStyle w:val="BlockText"/>
      </w:pPr>
      <w:r>
        <w:rPr>
          <w:b/>
          <w:bCs/>
          <w:i/>
          <w:iCs/>
        </w:rPr>
        <w:t>Références</w:t>
      </w:r>
    </w:p>
    <w:p w14:paraId="5B288B1E" w14:textId="77777777" w:rsidR="0084489F" w:rsidRDefault="0084489F">
      <w:pPr>
        <w:pStyle w:val="BlockText"/>
      </w:pPr>
    </w:p>
    <w:p w14:paraId="3D6DE719" w14:textId="77777777" w:rsidR="0084489F" w:rsidRDefault="00110FE6">
      <w:pPr>
        <w:pStyle w:val="Heading2"/>
      </w:pPr>
      <w:bookmarkStart w:id="72" w:name="_Toc176864420"/>
      <w:bookmarkStart w:id="73" w:name="de-la-monotonicite"/>
      <w:bookmarkEnd w:id="71"/>
      <w:r w:rsidRPr="246FBB6F">
        <w:rPr>
          <w:lang w:val="fr-FR"/>
        </w:rPr>
        <w:t>De la monotonicité</w:t>
      </w:r>
      <w:bookmarkEnd w:id="72"/>
    </w:p>
    <w:p w14:paraId="3C4784D2" w14:textId="1A5261D2" w:rsidR="0084489F" w:rsidRDefault="00110FE6">
      <w:pPr>
        <w:pStyle w:val="FirstParagraph"/>
      </w:pPr>
      <w:r>
        <w:t>Le rôle fondamental du CIDOC CRM est de soutenir l’intégration d’information sur la base de l’</w:t>
      </w:r>
      <w:hyperlink w:anchor="terminologie-monde-ouvert">
        <w:r>
          <w:rPr>
            <w:rStyle w:val="Hyperlink"/>
          </w:rPr>
          <w:t>hypothèse du monde ouvert</w:t>
        </w:r>
      </w:hyperlink>
      <w:r>
        <w:t xml:space="preserve"> [n.d.t. selon laquelle la véracité d'une affirmation ne repose pas sur le fait qu’un agent ou un observateur sache qu’elle est vraie]. Cela implique que le CIDOC CRM lui-même doit être ouvert et que les bases de connaissances implémentées avec celui-ci doivent être suffisamment flexibles pour accueillir de nouvelles idées. Au niveau du modèle, cela implique que de nouvelles </w:t>
      </w:r>
      <w:hyperlink w:anchor="terminologie-classe">
        <w:r>
          <w:rPr>
            <w:rStyle w:val="Hyperlink"/>
          </w:rPr>
          <w:t>classes</w:t>
        </w:r>
      </w:hyperlink>
      <w:r>
        <w:t xml:space="preserve"> et/ou </w:t>
      </w:r>
      <w:hyperlink w:anchor="terminologie-propriete">
        <w:r>
          <w:rPr>
            <w:rStyle w:val="Hyperlink"/>
          </w:rPr>
          <w:t>propriétés</w:t>
        </w:r>
      </w:hyperlink>
      <w:r>
        <w:t xml:space="preserve"> puissent être créées lors de l’intégration de nouveaux enregistrements documentaires ou lorsque [n.d.t. la nécessité de représenter] des éléments inédits est portée à l’attention des responsables du CIDOC CRM. Au niveau des bases de connaissances, la nécessité d’ajouter ou de réviser de </w:t>
      </w:r>
      <w:r>
        <w:lastRenderedPageBreak/>
        <w:t>l’information en raison de facteurs externes doit être prise en compte (de tels facteurs incluent, par exemple, l’avancement du milieu de la recherche qui soulève de nouvelles questions, la documentation de nouveaux phénomènes, ou encore l’évolution sociale ou naturelle qui révèle de nouveaux objets d’étude).</w:t>
      </w:r>
    </w:p>
    <w:p w14:paraId="1EBF44DB" w14:textId="77777777" w:rsidR="0084489F" w:rsidRDefault="00110FE6">
      <w:pPr>
        <w:pStyle w:val="BodyText"/>
      </w:pPr>
      <w:r w:rsidRPr="246FBB6F">
        <w:rPr>
          <w:lang w:val="fr-FR"/>
        </w:rPr>
        <w:t xml:space="preserve">Les responsables du CIDOC CRM ont pour objectif de respecter les tenants de l’hypothèse du monde ouvert, en particulier le principe de la monotonicité qui exige que l’ajout de nouvelles classes et/ou propriétés (au modèle) ou de nouveaux énoncés (à la base de connaissances) n’invalident pas les structures et énoncés préexistants [n.d.t. voir </w:t>
      </w:r>
      <w:hyperlink w:anchor="terminologie-raisonnement-monotone">
        <w:r w:rsidRPr="246FBB6F">
          <w:rPr>
            <w:rStyle w:val="Hyperlink"/>
            <w:lang w:val="fr-FR"/>
          </w:rPr>
          <w:t>Raisonnement monotone</w:t>
        </w:r>
      </w:hyperlink>
      <w:r w:rsidRPr="246FBB6F">
        <w:rPr>
          <w:lang w:val="fr-FR"/>
        </w:rPr>
        <w:t xml:space="preserve"> dans la section </w:t>
      </w:r>
      <w:hyperlink w:anchor="terminologie">
        <w:r w:rsidRPr="246FBB6F">
          <w:rPr>
            <w:rStyle w:val="Hyperlink"/>
            <w:lang w:val="fr-FR"/>
          </w:rPr>
          <w:t>Terminologie</w:t>
        </w:r>
      </w:hyperlink>
      <w:r w:rsidRPr="246FBB6F">
        <w:rPr>
          <w:lang w:val="fr-FR"/>
        </w:rPr>
        <w:t>].</w:t>
      </w:r>
    </w:p>
    <w:p w14:paraId="2AC153DC" w14:textId="6BA22C18" w:rsidR="0084489F" w:rsidRDefault="00110FE6">
      <w:pPr>
        <w:pStyle w:val="BodyText"/>
      </w:pPr>
      <w:r w:rsidRPr="246FBB6F">
        <w:rPr>
          <w:lang w:val="fr-FR"/>
        </w:rPr>
        <w:t xml:space="preserve">La </w:t>
      </w:r>
      <w:r w:rsidRPr="246FBB6F">
        <w:rPr>
          <w:b/>
          <w:bCs/>
          <w:lang w:val="fr-FR"/>
        </w:rPr>
        <w:t>première conséquence</w:t>
      </w:r>
      <w:r w:rsidRPr="246FBB6F">
        <w:rPr>
          <w:lang w:val="fr-FR"/>
        </w:rPr>
        <w:t xml:space="preserve"> de ce choix est que le CIDOC CRM tente d’être monotone au sens de la théorie des domaines : les construits du CIDOC CRM et les déductions qui peuvent en découler doivent donc demeurer formellement et conceptuellement valides malgré l’ajout de construits issus d’extensions du CIDOC CRM, de sorte que toute extension doit être rétro-compatible avec les modèles qui la précèdent. La seule exception à cette règle serait une situation où un construit est considéré objectivement incorrect par les experts du domaine dont ce construit émane et qu’il soit en conséquence soumis à une révision corrective. L’adoption du principe de monotonicité a des conséquences notables sur la manière dont les classes et propriétés sont conceptualisées et déclarées dans le CIDOC CRM, car cela interdit la déclaration de classes complémentaires (c.-à-d. des classes définies uniquement par l’exclusion d’</w:t>
      </w:r>
      <w:hyperlink w:anchor="terminologie-instance">
        <w:r w:rsidRPr="246FBB6F">
          <w:rPr>
            <w:rStyle w:val="Hyperlink"/>
            <w:lang w:val="fr-FR"/>
          </w:rPr>
          <w:t>instances</w:t>
        </w:r>
      </w:hyperlink>
      <w:r w:rsidRPr="246FBB6F">
        <w:rPr>
          <w:lang w:val="fr-FR"/>
        </w:rPr>
        <w:t xml:space="preserve"> d’autres classes).</w:t>
      </w:r>
    </w:p>
    <w:p w14:paraId="55BAF1A4" w14:textId="77777777" w:rsidR="0084489F" w:rsidRDefault="00110FE6">
      <w:pPr>
        <w:pStyle w:val="BodyText"/>
      </w:pPr>
      <w:r>
        <w:t>Par exemple :</w:t>
      </w:r>
    </w:p>
    <w:p w14:paraId="7FD50ECB" w14:textId="77777777" w:rsidR="0084489F" w:rsidRDefault="00110FE6">
      <w:pPr>
        <w:pStyle w:val="BodyText"/>
      </w:pPr>
      <w:r w:rsidRPr="246FBB6F">
        <w:rPr>
          <w:lang w:val="fr-FR"/>
        </w:rPr>
        <w:t xml:space="preserve">FRBRoo (Bekiari &amp; al (eds). 2015), qui extensionne le CIDOC CRM, a dans sa version 2.4 une classe </w:t>
      </w:r>
      <w:r w:rsidRPr="246FBB6F">
        <w:rPr>
          <w:rStyle w:val="VerbatimChar"/>
          <w:lang w:val="fr-FR"/>
        </w:rPr>
        <w:t>F51_Activité_d’utilisation_de_nom</w:t>
      </w:r>
      <w:r w:rsidRPr="246FBB6F">
        <w:rPr>
          <w:lang w:val="fr-FR"/>
        </w:rPr>
        <w:t xml:space="preserve"> déclarée sous-classe de </w:t>
      </w:r>
      <w:r w:rsidRPr="246FBB6F">
        <w:rPr>
          <w:rStyle w:val="VerbatimChar"/>
          <w:lang w:val="fr-FR"/>
        </w:rPr>
        <w:t>E7_Activité</w:t>
      </w:r>
      <w:r w:rsidRPr="246FBB6F">
        <w:rPr>
          <w:lang w:val="fr-FR"/>
        </w:rPr>
        <w:t xml:space="preserve">. </w:t>
      </w:r>
      <w:r w:rsidRPr="246FBB6F">
        <w:rPr>
          <w:rStyle w:val="VerbatimChar"/>
          <w:lang w:val="fr-FR"/>
        </w:rPr>
        <w:t>F51_Activité_d’utilisation_de_nom</w:t>
      </w:r>
      <w:r w:rsidRPr="246FBB6F">
        <w:rPr>
          <w:lang w:val="fr-FR"/>
        </w:rPr>
        <w:t xml:space="preserve"> a pour fonction de décrire un phénomène bibliothéconomique spécifique qui n’est pas couvert par le CIDOC CRM, mais qui recense le fait qu’un </w:t>
      </w:r>
      <w:r w:rsidRPr="246FBB6F">
        <w:rPr>
          <w:rStyle w:val="VerbatimChar"/>
          <w:lang w:val="fr-FR"/>
        </w:rPr>
        <w:t>E74_Groupe</w:t>
      </w:r>
      <w:r w:rsidRPr="246FBB6F">
        <w:rPr>
          <w:lang w:val="fr-FR"/>
        </w:rPr>
        <w:t xml:space="preserve"> adopte et fasse l’usage d’un nom particulier dans le contexte d’un intervalle temporel. La création de cette extension est monotone dans la mesure où (1) aucune relation </w:t>
      </w:r>
      <w:r w:rsidRPr="246FBB6F">
        <w:rPr>
          <w:rStyle w:val="VerbatimChar"/>
          <w:lang w:val="fr-FR"/>
        </w:rPr>
        <w:t>estUn</w:t>
      </w:r>
      <w:r w:rsidRPr="246FBB6F">
        <w:rPr>
          <w:lang w:val="fr-FR"/>
        </w:rPr>
        <w:t xml:space="preserve"> ou règle d’</w:t>
      </w:r>
      <w:hyperlink w:anchor="terminologie-heritage">
        <w:r w:rsidRPr="246FBB6F">
          <w:rPr>
            <w:rStyle w:val="Hyperlink"/>
            <w:lang w:val="fr-FR"/>
          </w:rPr>
          <w:t>héritage</w:t>
        </w:r>
      </w:hyperlink>
      <w:r w:rsidRPr="246FBB6F">
        <w:rPr>
          <w:lang w:val="fr-FR"/>
        </w:rPr>
        <w:t xml:space="preserve"> s’appliquant aux propriétés du CRMbase n’est compromise et où (2) la création de futures extensions n’est pas inhibée par cette création. Au contraire, si pour gérer cette situation une </w:t>
      </w:r>
      <w:hyperlink w:anchor="terminologie-sous-classe">
        <w:r w:rsidRPr="246FBB6F">
          <w:rPr>
            <w:rStyle w:val="Hyperlink"/>
            <w:lang w:val="fr-FR"/>
          </w:rPr>
          <w:t>sous-classe</w:t>
        </w:r>
      </w:hyperlink>
      <w:r w:rsidRPr="246FBB6F">
        <w:rPr>
          <w:lang w:val="fr-FR"/>
        </w:rPr>
        <w:t xml:space="preserve"> « Autre Activité » avait été déclarée, un changement non monotone aurait été introduit dans le CRMbase, car la </w:t>
      </w:r>
      <w:hyperlink w:anchor="terminologie-note-dapplication">
        <w:r w:rsidRPr="246FBB6F">
          <w:rPr>
            <w:rStyle w:val="Hyperlink"/>
            <w:lang w:val="fr-FR"/>
          </w:rPr>
          <w:t>note d’application</w:t>
        </w:r>
      </w:hyperlink>
      <w:r w:rsidRPr="246FBB6F">
        <w:rPr>
          <w:lang w:val="fr-FR"/>
        </w:rPr>
        <w:t xml:space="preserve"> d’une telle classe complémentaire aurait proscrit la déclaration d’autres spécialisations de </w:t>
      </w:r>
      <w:r w:rsidRPr="246FBB6F">
        <w:rPr>
          <w:rStyle w:val="VerbatimChar"/>
          <w:lang w:val="fr-FR"/>
        </w:rPr>
        <w:t>E7_Activité</w:t>
      </w:r>
      <w:r w:rsidRPr="246FBB6F">
        <w:rPr>
          <w:lang w:val="fr-FR"/>
        </w:rPr>
        <w:t xml:space="preserve"> comme « Activité d’utilisation de nom ». Dans l’éventualité où il serait nécessaire de déclarer des sous-classes spécialisées, une révision non monotone devrait être effectuée, car il ne serait pas possible de déterminer quelles instances relèvent de la nouvelle classe spécialisée et lesquelles n’en relèvent pas (un changement et une révision qui sont extrêmement exigeants du point de vue des utilisateurs et qui compromettent sérieusement la rétro-compatibilité et l’intégration du système à long-terme).</w:t>
      </w:r>
    </w:p>
    <w:p w14:paraId="2BA5895E" w14:textId="77777777" w:rsidR="0084489F" w:rsidRDefault="00110FE6">
      <w:pPr>
        <w:pStyle w:val="BodyText"/>
      </w:pPr>
      <w:r w:rsidRPr="246FBB6F">
        <w:rPr>
          <w:lang w:val="fr-FR"/>
        </w:rPr>
        <w:t xml:space="preserve">La </w:t>
      </w:r>
      <w:r w:rsidRPr="246FBB6F">
        <w:rPr>
          <w:b/>
          <w:bCs/>
          <w:lang w:val="fr-FR"/>
        </w:rPr>
        <w:t>seconde conséquence</w:t>
      </w:r>
      <w:r w:rsidRPr="246FBB6F">
        <w:rPr>
          <w:lang w:val="fr-FR"/>
        </w:rPr>
        <w:t xml:space="preserve"> de ce choix [n.d.t.méthodologique d’adopter l’hypothèse du monde ouvert] est qu’il est nécessaire de maintenir la monotonicité même lors de la révision ou de l’ajout de données dans des systèmes compatibles avec le CIDOC CRM. En d’autres termes, les instances des classes du CIDOC CRM, leurs propriétés et les déductions qui en découlent doivent demeurer formellement et conceptuellement valides, et ce même lorsque de nouvelles instances considérées par les experts d’un domaine précis considèrent qu’elles s’insèrent de manière cohérente dans l’ensemble du système.</w:t>
      </w:r>
    </w:p>
    <w:p w14:paraId="0893AC4D" w14:textId="77777777" w:rsidR="0084489F" w:rsidRDefault="00110FE6">
      <w:pPr>
        <w:pStyle w:val="BodyText"/>
      </w:pPr>
      <w:r>
        <w:t>Par exemple :</w:t>
      </w:r>
    </w:p>
    <w:p w14:paraId="2445AE96" w14:textId="77777777" w:rsidR="0084489F" w:rsidRDefault="00110FE6">
      <w:pPr>
        <w:pStyle w:val="BodyText"/>
      </w:pPr>
      <w:r>
        <w:t xml:space="preserve">Si quelqu’un indique correctement qu’un élément est une instance de </w:t>
      </w:r>
      <w:r>
        <w:rPr>
          <w:rStyle w:val="VerbatimChar"/>
        </w:rPr>
        <w:t>E19_Objet_matériel</w:t>
      </w:r>
      <w:r>
        <w:t xml:space="preserve"> et que ce même élément est subséquemment qualifié de </w:t>
      </w:r>
      <w:r>
        <w:rPr>
          <w:rStyle w:val="VerbatimChar"/>
        </w:rPr>
        <w:t>E20_Objet_biologique</w:t>
      </w:r>
      <w:r>
        <w:t xml:space="preserve">, le système ne devrait pas cesser de traiter cet élément comme une instance de </w:t>
      </w:r>
      <w:r>
        <w:rPr>
          <w:rStyle w:val="VerbatimChar"/>
        </w:rPr>
        <w:t>E19_Objet_matériel</w:t>
      </w:r>
      <w:r>
        <w:t xml:space="preserve">, car </w:t>
      </w:r>
      <w:r>
        <w:rPr>
          <w:rStyle w:val="VerbatimChar"/>
        </w:rPr>
        <w:t>E20_Objet_biologique</w:t>
      </w:r>
      <w:r>
        <w:t xml:space="preserve"> est une sous-classe de </w:t>
      </w:r>
      <w:r>
        <w:rPr>
          <w:rStyle w:val="VerbatimChar"/>
        </w:rPr>
        <w:t>E19_Objet_matériel</w:t>
      </w:r>
      <w:r>
        <w:t>.</w:t>
      </w:r>
    </w:p>
    <w:p w14:paraId="20477534" w14:textId="77777777" w:rsidR="0084489F" w:rsidRDefault="00110FE6">
      <w:pPr>
        <w:pStyle w:val="BodyText"/>
      </w:pPr>
      <w:r w:rsidRPr="246FBB6F">
        <w:rPr>
          <w:lang w:val="fr-FR"/>
        </w:rPr>
        <w:lastRenderedPageBreak/>
        <w:t xml:space="preserve">Cet exemple démontre en outre que la hiérarchie </w:t>
      </w:r>
      <w:r w:rsidRPr="246FBB6F">
        <w:rPr>
          <w:rStyle w:val="VerbatimChar"/>
          <w:lang w:val="fr-FR"/>
        </w:rPr>
        <w:t>estUn</w:t>
      </w:r>
      <w:r w:rsidRPr="246FBB6F">
        <w:rPr>
          <w:lang w:val="fr-FR"/>
        </w:rPr>
        <w:t xml:space="preserve"> de classes et de propriétés peut rendre compte des étapes caractéristiques de précision des connaissances au sujet d’un élément tel qu’il se décline au fur et à mesure des processus d’investigation et de cueillette d’information et de contenus. Les classes de plus haut niveau peuvent ainsi être utilisées afin de classifier des objets dont les caractéristiques particulières ne sont pas initialement toutes connues ou recensées. Par exemple, un objet biologique dont la nature est incertaine peut d’abord être classifié comme </w:t>
      </w:r>
      <w:r w:rsidRPr="246FBB6F">
        <w:rPr>
          <w:rStyle w:val="VerbatimChar"/>
          <w:lang w:val="fr-FR"/>
        </w:rPr>
        <w:t>E19_Objet_matériel</w:t>
      </w:r>
      <w:r w:rsidRPr="246FBB6F">
        <w:rPr>
          <w:lang w:val="fr-FR"/>
        </w:rPr>
        <w:t xml:space="preserve">, mais des investigations subséquentes peuvent établir qu’il s’agit en fait d’un </w:t>
      </w:r>
      <w:r w:rsidRPr="246FBB6F">
        <w:rPr>
          <w:rStyle w:val="VerbatimChar"/>
          <w:lang w:val="fr-FR"/>
        </w:rPr>
        <w:t>E20_Objet_biologique</w:t>
      </w:r>
      <w:r w:rsidRPr="246FBB6F">
        <w:rPr>
          <w:lang w:val="fr-FR"/>
        </w:rPr>
        <w:t>. Une base de connaissances construite avec des classes CIDOC CRM conçues de manière à permettre une révision monotone rendra possible, dans un tel cas, une recherche des objets physiques qui [n.d.t. à un certain point de leur historique de documentation] n’étaient pas encore reconnus comme des objets biologiques. Cette capacité d’intégrer de l’information dont les niveaux de spécificité descriptive diffèrent est particulièrement importante dans le contexte d’une agrégation à large échelle. C’est aussi une pratique qui permet aux chercheurs d'intégrer dans un même système de l’information au sujet de divers phénomènes sans nécessiter une connaissance exhaustive ou minimale de l’objet [n.d.t. pour se concentrer sur celui-ci plutôt que sur l’acquisition de connaissances qui l’entourent]. Puisque l’intégration d’information à large échelle implique de facto des connaissances dont le niveau de précision varie, cette caractéristique est essentielle pour une intégration cohérente des données.</w:t>
      </w:r>
    </w:p>
    <w:p w14:paraId="70681505" w14:textId="77777777" w:rsidR="0084489F" w:rsidRDefault="00110FE6">
      <w:pPr>
        <w:pStyle w:val="BodyText"/>
      </w:pPr>
      <w:r>
        <w:t xml:space="preserve">La </w:t>
      </w:r>
      <w:r>
        <w:rPr>
          <w:b/>
          <w:bCs/>
        </w:rPr>
        <w:t>troisième conséquence</w:t>
      </w:r>
      <w:r>
        <w:t xml:space="preserve"> de ce choix [n.d.t. d’une méthodologie monotone] est la nécessité d’une implémentation formelle illimitée (plusieurs à plusieurs) des propriétés recensant des enregistrements ou opinions alternatifs au sujet de phénomènes dans une base de connaissances, de telle sorte que des instances qui pourraient s’avérer conflictuelles s’accumulent [n.d.t. plutôt que d’établir des contradictions]. Ainsi, les bases de connaissances [n.d.t. où se retrouvent les informations et savoirs intégrés] peuvent être utilisées afin d’accumuler ou de recenser des opinions alternatives pertinentes au sujet d’un phénomène par l’utilisation d’entités sémantiques clairement définies alors que les constats experts ou conclusions sur ce même sujet [n.d.t. qui peuvent s’appuyer sur l’information trouvée dans ces bases de connaissances] relèvent de l’analyse scientifique ou experte.</w:t>
      </w:r>
    </w:p>
    <w:p w14:paraId="63FB4571" w14:textId="77777777" w:rsidR="0084489F" w:rsidRDefault="00110FE6">
      <w:pPr>
        <w:pStyle w:val="BodyText"/>
      </w:pPr>
      <w:r>
        <w:t>Par exemple :</w:t>
      </w:r>
    </w:p>
    <w:p w14:paraId="39A3FE28" w14:textId="77777777" w:rsidR="0084489F" w:rsidRDefault="00110FE6">
      <w:pPr>
        <w:pStyle w:val="BodyText"/>
      </w:pPr>
      <w:r>
        <w:t>Les évènements rythmant la vie du Roi Arthur font l’objet de beaucoup de spéculations et de désaccords [n.d.t. qui doivent néanmoins être recensés dans les bases de connaissances traitant de lui]. Le CIDOC CRM préconise un recensement selon la formule suivante :</w:t>
      </w:r>
    </w:p>
    <w:p w14:paraId="635A12E8" w14:textId="77777777" w:rsidR="0084489F" w:rsidRDefault="00110FE6">
      <w:pPr>
        <w:pStyle w:val="BodyText"/>
      </w:pPr>
      <w:r>
        <w:t xml:space="preserve">Une fois recensé dans une base de connaissances, le Roi Arthur [n.d.t. en tant qu’individu] devrait être défini comme une instance de </w:t>
      </w:r>
      <w:r>
        <w:rPr>
          <w:rStyle w:val="VerbatimChar"/>
        </w:rPr>
        <w:t>E21_Personne</w:t>
      </w:r>
      <w:r>
        <w:t xml:space="preserve"> et traité comme une figure historique ayant « réellement » existé (au regard de la discipline qu’est l’histoire et des discours qui la construisent). Cette instance de </w:t>
      </w:r>
      <w:r>
        <w:rPr>
          <w:rStyle w:val="VerbatimChar"/>
        </w:rPr>
        <w:t>E21_Personne</w:t>
      </w:r>
      <w:r>
        <w:t xml:space="preserve"> devrait ainsi être utilisée afin de fédérer les possibles propriétés de l’existence de l’individu sachant que les opinions alternatives au sujet de ces propriétés (par exemple le lieu de naissance ou les endroits où il a résidé) devraient être recensés sans qu’un constat sur leur validité ne soit fait à l’étape de la compilation des données.</w:t>
      </w:r>
    </w:p>
    <w:p w14:paraId="119427F9" w14:textId="77777777" w:rsidR="0084489F" w:rsidRDefault="00110FE6">
      <w:pPr>
        <w:pStyle w:val="BodyText"/>
      </w:pPr>
      <w:r>
        <w:t xml:space="preserve">Le recensement du Roi Arthur à titre de figure mythologique [n.d.t. plutôt que comme individu historique] requiert pour sa part une instance de </w:t>
      </w:r>
      <w:r>
        <w:rPr>
          <w:rStyle w:val="VerbatimChar"/>
        </w:rPr>
        <w:t>E28_Objet_conceptuel</w:t>
      </w:r>
      <w:r>
        <w:t xml:space="preserve"> qui permettra de recueillir les informations qui s’y rapportent.</w:t>
      </w:r>
    </w:p>
    <w:p w14:paraId="7BCE3F30" w14:textId="77777777" w:rsidR="0084489F" w:rsidRDefault="00110FE6">
      <w:pPr>
        <w:pStyle w:val="BodyText"/>
      </w:pPr>
      <w:r>
        <w:t xml:space="preserve">La </w:t>
      </w:r>
      <w:r>
        <w:rPr>
          <w:b/>
          <w:bCs/>
        </w:rPr>
        <w:t>quatrième conséquence</w:t>
      </w:r>
      <w:r>
        <w:t xml:space="preserve"> de ce choix d’une méthodologie monotone [n.d.t. reposant sur l’hypothèse du monde ouvert] est la possibilité pour certaines propriétés de nature temporelle (telles que celles qui se rapportent au fait d’avoir des composantes, des propriétaires ou des localisations) de changer plusieurs fois en référence à un même élément au cours de son existence. Dans ce contexte, affirmer qu’une propriété est valide pour un élément implique qu’elle soit aussi valide pour un intervalle temporel particulier, mais indéterminé et situé dans le cours de l'existence de ce même élément. Il en résulte qu’un même élément puisse faire l’objet de nombreux énoncés affirmant l’instanciation d’une propriété sans </w:t>
      </w:r>
      <w:r>
        <w:lastRenderedPageBreak/>
        <w:t>que cela ne soit conflictuel ou ne nécessite de révision. La collecte de tels énoncés résulterait ainsi en une agrégation des instances de cette propriété en tant qu’elle s’applique à l’entièreté de l’existence de l’élément. Si des informations temporelles plus spécifiques sont nécessaires ou disponibles, il est recommandé de décrire explicitement les évènements qui sous-tendent l’application d’une propriété à un élément.</w:t>
      </w:r>
    </w:p>
    <w:p w14:paraId="325B1C6F" w14:textId="77777777" w:rsidR="0084489F" w:rsidRDefault="00110FE6">
      <w:pPr>
        <w:pStyle w:val="BodyText"/>
      </w:pPr>
      <w:r>
        <w:t>Par exemple :</w:t>
      </w:r>
    </w:p>
    <w:p w14:paraId="6C5E9BDF" w14:textId="77777777" w:rsidR="0084489F" w:rsidRDefault="00110FE6">
      <w:pPr>
        <w:pStyle w:val="BodyText"/>
      </w:pPr>
      <w:r w:rsidRPr="246FBB6F">
        <w:rPr>
          <w:lang w:val="fr-FR"/>
        </w:rPr>
        <w:t xml:space="preserve">Si un élément fait l’objet d’une acquisition ou d’une perte, une instance de </w:t>
      </w:r>
      <w:r w:rsidRPr="246FBB6F">
        <w:rPr>
          <w:rStyle w:val="VerbatimChar"/>
          <w:lang w:val="fr-FR"/>
        </w:rPr>
        <w:t>E9_Déplacement</w:t>
      </w:r>
      <w:r w:rsidRPr="246FBB6F">
        <w:rPr>
          <w:lang w:val="fr-FR"/>
        </w:rPr>
        <w:t xml:space="preserve"> devrait être liée et déclarée. Une telle approche permet de maintenir la monotonicité du CIDOC CRM malgré un accroissement des connaissances au sujet de l’état d’un élément à différents moments, et ce indépendamment de leur chronologie.</w:t>
      </w:r>
    </w:p>
    <w:p w14:paraId="048EBA25" w14:textId="77777777" w:rsidR="0084489F" w:rsidRDefault="00110FE6">
      <w:pPr>
        <w:pStyle w:val="BodyText"/>
      </w:pPr>
      <w:r>
        <w:t>Des propriétés temporellement neutres peuvent faire l’objet d’une spécialisation par des propriétés temporellement spécifiques dans le cadre d’extensions monotones futures, mais le contraire n’est pas possible. En outre, plusieurs propriétés du CIDOC CRM n’ont pas de composante temporelle ou sont déjà définies par rapport à des évènements précis [n.d.t. et celles-ci devraient être envisagées avant la création de nouvelles propriétés]. Le CIDOC CRM privilégie la modélisation de propriétés qui sont temporellement neutres et l’utilisation d’évènements pour représenter le changement.</w:t>
      </w:r>
    </w:p>
    <w:p w14:paraId="7287C1EE" w14:textId="77777777" w:rsidR="0084489F" w:rsidRDefault="00110FE6">
      <w:pPr>
        <w:pStyle w:val="BodyText"/>
      </w:pPr>
      <w:r w:rsidRPr="246FBB6F">
        <w:rPr>
          <w:lang w:val="fr-FR"/>
        </w:rPr>
        <w:t xml:space="preserve">Toutefois, dans le cas de certaines de ces propriétés, de nombreuses bases de données indiqueront parfois un statut « actuel » relatif à une autre propriété (p. ex. « localisation actuelle » ou « propriétaire actuel »). L’utilisation d’un tel état « actuel » implique que le responsable de la base de données en question soit garant de l’information en date de la dernière date statuant la validité des contenus. Cette information, évidemment, est de nature non monotone (c.-à-d. qu’elle doit être supprimée lorsque l’état de l’élément change). Afin de préserver malgré cela une forme (réduite) de monotonicité, de telles propriétés s’inscrivent dans les super-propriétés temporellement neutres qui permettent de reclassifier leurs instances dans l’éventualité où la validité de cette information échoit ou devient inconnue. Ainsi, l’usage de telles propriétés dans le cadre du CIDOC CRM n’est recommandé que lorsque leur maintien régulier et rigoureux peut être assuré, sans quoi ces propriétés devraient être reclassifiées en faveur de leur </w:t>
      </w:r>
      <w:hyperlink w:anchor="terminologie-super-propriete">
        <w:r w:rsidRPr="246FBB6F">
          <w:rPr>
            <w:rStyle w:val="Hyperlink"/>
            <w:lang w:val="fr-FR"/>
          </w:rPr>
          <w:t>super-propriétés</w:t>
        </w:r>
      </w:hyperlink>
      <w:r w:rsidRPr="246FBB6F">
        <w:rPr>
          <w:lang w:val="fr-FR"/>
        </w:rPr>
        <w:t xml:space="preserve"> temporellement neutres; cette pratique s’applique notamment lors de l’exportation de données vers des répertoires autres (voir </w:t>
      </w:r>
      <w:hyperlink w:anchor="X8ed7dddd9eaf3521a8b039300d7d03602b42027">
        <w:r w:rsidRPr="246FBB6F">
          <w:rPr>
            <w:rStyle w:val="Hyperlink"/>
            <w:lang w:val="fr-FR"/>
          </w:rPr>
          <w:t>De l’auctorialité des contenus d’une base de connaissances</w:t>
        </w:r>
      </w:hyperlink>
      <w:r w:rsidRPr="246FBB6F">
        <w:rPr>
          <w:lang w:val="fr-FR"/>
        </w:rPr>
        <w:t xml:space="preserve"> ci-haut).</w:t>
      </w:r>
    </w:p>
    <w:p w14:paraId="5D27B2E8" w14:textId="77777777" w:rsidR="0084489F" w:rsidRDefault="00110FE6">
      <w:pPr>
        <w:pStyle w:val="BlockText"/>
      </w:pPr>
      <w:r>
        <w:rPr>
          <w:b/>
          <w:bCs/>
          <w:i/>
          <w:iCs/>
        </w:rPr>
        <w:t>Note de traduction</w:t>
      </w:r>
    </w:p>
    <w:p w14:paraId="57075A67" w14:textId="77777777" w:rsidR="0084489F" w:rsidRDefault="00110FE6">
      <w:pPr>
        <w:pStyle w:val="BlockText"/>
      </w:pPr>
      <w:r>
        <w:t>Certains paragraphes ont été édités dans la version francophone aux fins de compréhension. Les sections concernées sont indiquées de [n.d.t. texte concerné].</w:t>
      </w:r>
    </w:p>
    <w:p w14:paraId="5023FF61" w14:textId="77777777" w:rsidR="0084489F" w:rsidRDefault="00110FE6">
      <w:pPr>
        <w:pStyle w:val="BlockText"/>
      </w:pPr>
      <w:r>
        <w:rPr>
          <w:b/>
          <w:bCs/>
          <w:i/>
          <w:iCs/>
        </w:rPr>
        <w:t>Références</w:t>
      </w:r>
    </w:p>
    <w:p w14:paraId="1008FD8A" w14:textId="77777777" w:rsidR="0084489F" w:rsidRDefault="00110FE6">
      <w:pPr>
        <w:pStyle w:val="BlockText"/>
      </w:pPr>
      <w:r>
        <w:t xml:space="preserve">Wikipédia. « Monotonie ». Dans </w:t>
      </w:r>
      <w:r>
        <w:rPr>
          <w:i/>
          <w:iCs/>
        </w:rPr>
        <w:t>Wikipédia</w:t>
      </w:r>
      <w:r>
        <w:t xml:space="preserve">. </w:t>
      </w:r>
      <w:r w:rsidRPr="008C0D99">
        <w:rPr>
          <w:lang w:val="en-CA"/>
        </w:rPr>
        <w:t>San Francisco, US-CA: Wikipédia, 19 février 2017.</w:t>
      </w:r>
      <w:hyperlink r:id="rId141">
        <w:r w:rsidRPr="008C0D99">
          <w:rPr>
            <w:rStyle w:val="Hyperlink"/>
            <w:lang w:val="en-CA"/>
          </w:rPr>
          <w:t xml:space="preserve"> </w:t>
        </w:r>
      </w:hyperlink>
      <w:hyperlink r:id="rId142">
        <w:r>
          <w:rPr>
            <w:rStyle w:val="Hyperlink"/>
          </w:rPr>
          <w:t>https://fr.wikipedia.org/w/index.php?title=Monotonie&amp;oldid=134697868</w:t>
        </w:r>
      </w:hyperlink>
      <w:r>
        <w:t>.</w:t>
      </w:r>
    </w:p>
    <w:p w14:paraId="7F68B9E2" w14:textId="77777777" w:rsidR="004B7BCB" w:rsidRPr="004B7BCB" w:rsidRDefault="004B7BCB" w:rsidP="004B7BCB">
      <w:pPr>
        <w:pStyle w:val="BodyText"/>
      </w:pPr>
    </w:p>
    <w:p w14:paraId="43F34DAE" w14:textId="77777777" w:rsidR="0084489F" w:rsidRDefault="00110FE6">
      <w:pPr>
        <w:pStyle w:val="Heading2"/>
      </w:pPr>
      <w:bookmarkStart w:id="74" w:name="_Toc176864421"/>
      <w:bookmarkStart w:id="75" w:name="de-la-disjonction"/>
      <w:bookmarkEnd w:id="73"/>
      <w:r>
        <w:t>De la disjonction</w:t>
      </w:r>
      <w:bookmarkEnd w:id="74"/>
    </w:p>
    <w:p w14:paraId="67F7EF0A" w14:textId="77777777" w:rsidR="0084489F" w:rsidRDefault="00110FE6">
      <w:pPr>
        <w:pStyle w:val="FirstParagraph"/>
      </w:pPr>
      <w:r>
        <w:t xml:space="preserve">Des </w:t>
      </w:r>
      <w:hyperlink w:anchor="terminologie-classe">
        <w:r>
          <w:rPr>
            <w:rStyle w:val="Hyperlink"/>
          </w:rPr>
          <w:t>classes</w:t>
        </w:r>
      </w:hyperlink>
      <w:r>
        <w:t xml:space="preserve"> qui ne peuvent pas partager </w:t>
      </w:r>
      <w:hyperlink w:anchor="terminologie-instance">
        <w:r>
          <w:rPr>
            <w:rStyle w:val="Hyperlink"/>
          </w:rPr>
          <w:t>d’instances</w:t>
        </w:r>
      </w:hyperlink>
      <w:r>
        <w:t xml:space="preserve"> à quelque moment que ce soit (par le passé, dans le présent ou dans le futur) sont qualifiées de </w:t>
      </w:r>
      <w:hyperlink w:anchor="terminologie-disjointe">
        <w:r>
          <w:rPr>
            <w:rStyle w:val="Hyperlink"/>
            <w:b/>
            <w:bCs/>
          </w:rPr>
          <w:t>disjointes</w:t>
        </w:r>
      </w:hyperlink>
      <w:r>
        <w:t xml:space="preserve">. Un élément ne peut pas être instancié avec une combinaison de classes qui sont mutuellement disjointes ou qui sont des </w:t>
      </w:r>
      <w:hyperlink w:anchor="terminologie-sous-classe">
        <w:r>
          <w:rPr>
            <w:rStyle w:val="Hyperlink"/>
          </w:rPr>
          <w:t>sous-classes</w:t>
        </w:r>
      </w:hyperlink>
      <w:r>
        <w:t xml:space="preserve"> de </w:t>
      </w:r>
      <w:hyperlink w:anchor="terminologie-super-classe">
        <w:r>
          <w:rPr>
            <w:rStyle w:val="Hyperlink"/>
          </w:rPr>
          <w:t>super-classes</w:t>
        </w:r>
      </w:hyperlink>
      <w:r>
        <w:t xml:space="preserve"> mutuellement disjointes (voir « </w:t>
      </w:r>
      <w:hyperlink w:anchor="terminologie-instanciation-multiple">
        <w:r>
          <w:rPr>
            <w:rStyle w:val="Hyperlink"/>
          </w:rPr>
          <w:t>Instanciation multiple</w:t>
        </w:r>
      </w:hyperlink>
      <w:r>
        <w:t xml:space="preserve"> » dans la section </w:t>
      </w:r>
      <w:hyperlink w:anchor="terminologie">
        <w:r>
          <w:rPr>
            <w:rStyle w:val="Hyperlink"/>
          </w:rPr>
          <w:t>Terminologie</w:t>
        </w:r>
      </w:hyperlink>
      <w:r>
        <w:t>).</w:t>
      </w:r>
    </w:p>
    <w:p w14:paraId="2D9A42E0" w14:textId="77777777" w:rsidR="0084489F" w:rsidRDefault="00110FE6">
      <w:pPr>
        <w:pStyle w:val="BodyText"/>
      </w:pPr>
      <w:r>
        <w:t xml:space="preserve">Il y a de nombreuses paires de classes disjointes dans le CIDOC CRM et une déclaration exhaustive de toutes les combinaisons possibles de celles-ci n’aurait qu’une utilité pratique limitée, en plus d’entrer en conflit avec l’objectif du CIDOC CRM d’offrir des définitions concises, de sorte qu’une telle liste n’est pas </w:t>
      </w:r>
      <w:r>
        <w:lastRenderedPageBreak/>
        <w:t>recensée ici. Deux exemples emblématiques de disjonction de classes sont néanmoins essentiels à une bonne compréhension du CIDOC CRM :</w:t>
      </w:r>
    </w:p>
    <w:p w14:paraId="120468F7" w14:textId="657F6FF5" w:rsidR="0084489F" w:rsidRDefault="00110FE6" w:rsidP="00806324">
      <w:pPr>
        <w:numPr>
          <w:ilvl w:val="0"/>
          <w:numId w:val="23"/>
        </w:numPr>
      </w:pPr>
      <w:r w:rsidRPr="246FBB6F">
        <w:rPr>
          <w:rStyle w:val="VerbatimChar"/>
          <w:lang w:val="fr-FR"/>
        </w:rPr>
        <w:t>E2_Entité_temporelle</w:t>
      </w:r>
      <w:r w:rsidRPr="246FBB6F">
        <w:rPr>
          <w:lang w:val="fr-FR"/>
        </w:rPr>
        <w:t xml:space="preserve"> est disjoint de </w:t>
      </w:r>
      <w:r w:rsidRPr="246FBB6F">
        <w:rPr>
          <w:rStyle w:val="VerbatimChar"/>
          <w:lang w:val="fr-FR"/>
        </w:rPr>
        <w:t>E77_Entité_persistante</w:t>
      </w:r>
      <w:r w:rsidRPr="246FBB6F">
        <w:rPr>
          <w:lang w:val="fr-FR"/>
        </w:rPr>
        <w:t xml:space="preserve"> : les instances de la classe </w:t>
      </w:r>
      <w:r w:rsidRPr="246FBB6F">
        <w:rPr>
          <w:rStyle w:val="VerbatimChar"/>
          <w:lang w:val="fr-FR"/>
        </w:rPr>
        <w:t>E2_Entité_temporelle</w:t>
      </w:r>
      <w:r w:rsidRPr="246FBB6F">
        <w:rPr>
          <w:lang w:val="fr-FR"/>
        </w:rPr>
        <w:t xml:space="preserve"> sont perdurantes alors que les instances de </w:t>
      </w:r>
      <w:r w:rsidRPr="246FBB6F">
        <w:rPr>
          <w:rStyle w:val="VerbatimChar"/>
          <w:lang w:val="fr-FR"/>
        </w:rPr>
        <w:t>E77_Entité_persistante</w:t>
      </w:r>
      <w:r w:rsidRPr="246FBB6F">
        <w:rPr>
          <w:lang w:val="fr-FR"/>
        </w:rPr>
        <w:t xml:space="preserve"> sont endurantes. Même si les instances de </w:t>
      </w:r>
      <w:r w:rsidRPr="246FBB6F">
        <w:rPr>
          <w:rStyle w:val="VerbatimChar"/>
          <w:lang w:val="fr-FR"/>
        </w:rPr>
        <w:t>E77_Entité_persistante</w:t>
      </w:r>
      <w:r w:rsidRPr="246FBB6F">
        <w:rPr>
          <w:lang w:val="fr-FR"/>
        </w:rPr>
        <w:t xml:space="preserve"> ont une existence temporellement limitée, elles sont d’une nature fondamentalement différente des instances de </w:t>
      </w:r>
      <w:r w:rsidRPr="246FBB6F">
        <w:rPr>
          <w:rStyle w:val="VerbatimChar"/>
          <w:lang w:val="fr-FR"/>
        </w:rPr>
        <w:t>E2_Entité_temporelle</w:t>
      </w:r>
      <w:r w:rsidRPr="246FBB6F">
        <w:rPr>
          <w:lang w:val="fr-FR"/>
        </w:rPr>
        <w:t>, car elles préservent leur identité d’un évènement à un autre. La disjonction de classes endurantes et perdurantes s’aligne à cet égard avec les distinctions structurelles des ensembles de données du domaine d’application du CIDOC CRM.</w:t>
      </w:r>
    </w:p>
    <w:p w14:paraId="4E3B7A2F" w14:textId="77777777" w:rsidR="0084489F" w:rsidRDefault="00110FE6" w:rsidP="00806324">
      <w:pPr>
        <w:numPr>
          <w:ilvl w:val="0"/>
          <w:numId w:val="23"/>
        </w:numPr>
      </w:pPr>
      <w:r>
        <w:rPr>
          <w:rStyle w:val="VerbatimChar"/>
        </w:rPr>
        <w:t>E18_Chose_matérielle</w:t>
      </w:r>
      <w:r>
        <w:t xml:space="preserve"> est disjoint de </w:t>
      </w:r>
      <w:r>
        <w:rPr>
          <w:rStyle w:val="VerbatimChar"/>
        </w:rPr>
        <w:t>E28_Objet_conceptuel</w:t>
      </w:r>
      <w:r>
        <w:t xml:space="preserve"> : les instances de la classe </w:t>
      </w:r>
      <w:r>
        <w:rPr>
          <w:rStyle w:val="VerbatimChar"/>
        </w:rPr>
        <w:t>E18_Chose_matérielle</w:t>
      </w:r>
      <w:r>
        <w:t xml:space="preserve"> sont de nature physique alors que les instances de la classe </w:t>
      </w:r>
      <w:r>
        <w:rPr>
          <w:rStyle w:val="VerbatimChar"/>
        </w:rPr>
        <w:t>E28_Objet_conceptuel</w:t>
      </w:r>
      <w:r>
        <w:t xml:space="preserve"> sont de nature immatérielle et sont exclusivement élaborées par l’humain. Elles diffèrent fondamentalement, notamment en raison du fait que la production d’instances de </w:t>
      </w:r>
      <w:r>
        <w:rPr>
          <w:rStyle w:val="VerbatimChar"/>
        </w:rPr>
        <w:t>E18_Chose_matérielle</w:t>
      </w:r>
      <w:r>
        <w:t xml:space="preserve"> implique des matériaux physiques alors que ce n’est pas le cas de la production d’instances de </w:t>
      </w:r>
      <w:r>
        <w:rPr>
          <w:rStyle w:val="VerbatimChar"/>
        </w:rPr>
        <w:t>E28_Objet_conceptuel</w:t>
      </w:r>
      <w:r>
        <w:t xml:space="preserve">. De la même manière, les instances de </w:t>
      </w:r>
      <w:r>
        <w:rPr>
          <w:rStyle w:val="VerbatimChar"/>
        </w:rPr>
        <w:t>E18_Chose_matérielle</w:t>
      </w:r>
      <w:r>
        <w:t xml:space="preserve"> cessent d’exister lorsqu’elles sont détruites alors que les instances de </w:t>
      </w:r>
      <w:r>
        <w:rPr>
          <w:rStyle w:val="VerbatimChar"/>
        </w:rPr>
        <w:t>E28_Objet_conceptuel</w:t>
      </w:r>
      <w:r>
        <w:t xml:space="preserve"> s’éteignent uniquement lorsqu’elles sont oubliées et que leur support physique est détruit.</w:t>
      </w:r>
    </w:p>
    <w:p w14:paraId="5ACB4E97" w14:textId="77777777" w:rsidR="0084489F" w:rsidRDefault="00110FE6">
      <w:pPr>
        <w:pStyle w:val="BlockText"/>
      </w:pPr>
      <w:r>
        <w:rPr>
          <w:b/>
          <w:bCs/>
          <w:i/>
          <w:iCs/>
        </w:rPr>
        <w:t>Note de traduction</w:t>
      </w:r>
    </w:p>
    <w:p w14:paraId="4492D7D0" w14:textId="77777777" w:rsidR="0084489F" w:rsidRDefault="00110FE6">
      <w:pPr>
        <w:pStyle w:val="BlockText"/>
      </w:pPr>
      <w:r>
        <w:rPr>
          <w:b/>
          <w:bCs/>
          <w:i/>
          <w:iCs/>
        </w:rPr>
        <w:t>Références</w:t>
      </w:r>
    </w:p>
    <w:p w14:paraId="506E220D" w14:textId="77777777" w:rsidR="0084489F" w:rsidRDefault="0084489F">
      <w:pPr>
        <w:pStyle w:val="BlockText"/>
      </w:pPr>
    </w:p>
    <w:p w14:paraId="2C1D1E3F" w14:textId="77777777" w:rsidR="0084489F" w:rsidRDefault="00110FE6">
      <w:pPr>
        <w:pStyle w:val="Heading1"/>
      </w:pPr>
      <w:bookmarkStart w:id="76" w:name="_Toc176864422"/>
      <w:bookmarkStart w:id="77" w:name="introduction-aux-concepts-fondamentaux"/>
      <w:bookmarkEnd w:id="63"/>
      <w:bookmarkEnd w:id="75"/>
      <w:r>
        <w:t>Introduction aux concepts fondamentaux</w:t>
      </w:r>
      <w:bookmarkEnd w:id="76"/>
    </w:p>
    <w:p w14:paraId="741E2256" w14:textId="47828230" w:rsidR="0084489F" w:rsidRDefault="00110FE6">
      <w:pPr>
        <w:pStyle w:val="FirstParagraph"/>
      </w:pPr>
      <w:r>
        <w:t>Les paragraphes suivants expliquent la logique générale du CIDOC CRM, une ontologie formelle représentant le discours historique. À ce titre, le CIDOC CRM a pour objectif de soutenir la (re)présentation d'un discours analytique basé sur des faits reflétant ce qui s'est produit dans le passé, et ce de manière à être compréhensible par l'humain ainsi que par la machine. Le CIDOC CRM atteint cet objectif en proposant une série de propriétés (relations) et de classes formalisées. Ces propriétés formalisées soutiennent l'élaboration d'énoncés sémantiques explicites reliant des classes de choses. Leur définition formelle explique logiquement les classes de choses auxquelles elles sont pertinentes. Ces propriétés du CIDOC CRM permettent ainsi une description formelle, explicitée logiquement, des relations entre des entités individuelles du monde réel classifiées sous des classes ontologiques distinctes. L'encodage de données analytiques au sujet du passé en utilisant un tel système permet de standardiser la représentation des données et permet l'application uniforme de processus de raisonnement logique à des ensembles de données de large taille.</w:t>
      </w:r>
    </w:p>
    <w:p w14:paraId="43183A13" w14:textId="77777777" w:rsidR="0084489F" w:rsidRDefault="00110FE6">
      <w:pPr>
        <w:pStyle w:val="BodyText"/>
      </w:pPr>
      <w:r>
        <w:t>Un système de classes et de relations hiérarchisé sous-tend la logique de ce système ainsi que des distinctions ontologiques de base qui permettent de représenter le discours historique. Une familiarité avec ces distinctions ontologiques de base dans les classes supérieures de la hiérarchie est nécessaire à la compréhension et à l'utilisation du CIDOC CRM aux fins de représentation des connaissances.</w:t>
      </w:r>
    </w:p>
    <w:p w14:paraId="1378B60F" w14:textId="77777777" w:rsidR="0084489F" w:rsidRDefault="00110FE6">
      <w:pPr>
        <w:pStyle w:val="BodyText"/>
      </w:pPr>
      <w:r w:rsidRPr="246FBB6F">
        <w:rPr>
          <w:lang w:val="fr-FR"/>
        </w:rPr>
        <w:t>Dans le CIDOC CRM, le plus haut niveau de distinction est représenté par les concepts suivants:</w:t>
      </w:r>
    </w:p>
    <w:p w14:paraId="18ED180C" w14:textId="77777777" w:rsidR="0084489F" w:rsidRDefault="00110FE6" w:rsidP="00806324">
      <w:pPr>
        <w:numPr>
          <w:ilvl w:val="0"/>
          <w:numId w:val="24"/>
        </w:numPr>
      </w:pPr>
      <w:r w:rsidRPr="246FBB6F">
        <w:rPr>
          <w:rStyle w:val="VerbatimChar"/>
          <w:lang w:val="fr-FR"/>
        </w:rPr>
        <w:t>E2_Entité_temporelle</w:t>
      </w:r>
      <w:r w:rsidRPr="246FBB6F">
        <w:rPr>
          <w:lang w:val="fr-FR"/>
        </w:rPr>
        <w:t>, qui correspond à la notion philosophique de perdurance;</w:t>
      </w:r>
    </w:p>
    <w:p w14:paraId="5AC0397B" w14:textId="77777777" w:rsidR="0084489F" w:rsidRDefault="00110FE6" w:rsidP="00806324">
      <w:pPr>
        <w:numPr>
          <w:ilvl w:val="0"/>
          <w:numId w:val="24"/>
        </w:numPr>
      </w:pPr>
      <w:r w:rsidRPr="246FBB6F">
        <w:rPr>
          <w:rStyle w:val="VerbatimChar"/>
          <w:lang w:val="fr-FR"/>
        </w:rPr>
        <w:t>E77_Entité_persistante</w:t>
      </w:r>
      <w:r w:rsidRPr="246FBB6F">
        <w:rPr>
          <w:lang w:val="fr-FR"/>
        </w:rPr>
        <w:t>, qui correspond à la notion philosophique d'endurance;</w:t>
      </w:r>
    </w:p>
    <w:p w14:paraId="1B6A1B92" w14:textId="77777777" w:rsidR="0084489F" w:rsidRDefault="00110FE6" w:rsidP="00806324">
      <w:pPr>
        <w:numPr>
          <w:ilvl w:val="0"/>
          <w:numId w:val="24"/>
        </w:numPr>
      </w:pPr>
      <w:r>
        <w:rPr>
          <w:rStyle w:val="VerbatimChar"/>
        </w:rPr>
        <w:t>E92_Volume_spatio-temporel</w:t>
      </w:r>
      <w:r>
        <w:t>.</w:t>
      </w:r>
    </w:p>
    <w:p w14:paraId="50B07B7E" w14:textId="77777777" w:rsidR="0084489F" w:rsidRDefault="00110FE6">
      <w:pPr>
        <w:pStyle w:val="FirstParagraph"/>
      </w:pPr>
      <w:r>
        <w:lastRenderedPageBreak/>
        <w:t xml:space="preserve">Le CIDOC CRM est un modèle construit autour de la notion d'évènement qui soutient le discours historique. À ce titre, il permet la description d'entités qui sont elles-mêmes des processus limités dans le temps ou des évolutions s'inscrivant dans le passage du temps, et ce grâce à l'usage de la classe </w:t>
      </w:r>
      <w:r>
        <w:rPr>
          <w:rStyle w:val="VerbatimChar"/>
        </w:rPr>
        <w:t>E2_Entité_temporelle</w:t>
      </w:r>
      <w:r>
        <w:t xml:space="preserve"> et de ses sous-classes. La principale fonction de </w:t>
      </w:r>
      <w:r>
        <w:rPr>
          <w:rStyle w:val="VerbatimChar"/>
        </w:rPr>
        <w:t>E2_Entité_temporelle</w:t>
      </w:r>
      <w:r>
        <w:t xml:space="preserve"> et de ses sous-classes est de capturer le fait que quelque chose s'est produit à travers le temps. Ces sous-classes sont utilisées non seulement pour signaler une durée temporelle, mais aussi pour documenter des relations historiques entre des objets (à la manière des verbes actifs dans une phrase de langage naturel). Les sous-classes de </w:t>
      </w:r>
      <w:r>
        <w:rPr>
          <w:rStyle w:val="VerbatimChar"/>
        </w:rPr>
        <w:t>E2_Entité_temporelle</w:t>
      </w:r>
      <w:r>
        <w:t xml:space="preserve">, lesquelles sont plus spécifiques, permettent la documentation d'évènements qui concernent des matériaux individuellement reliés ou affectés, ou encore des objets sociaux ou mentaux qui sont décrits grâce aux sous-classes de </w:t>
      </w:r>
      <w:r>
        <w:rPr>
          <w:rStyle w:val="VerbatimChar"/>
        </w:rPr>
        <w:t>E77_Entité_persistante</w:t>
      </w:r>
      <w:r>
        <w:t xml:space="preserve">. Cette documentation précise est possible grâce à l'utilisation de propriétés spécialisées formalisant la manière de la relation ou de l'affect. Des exemples de sous-classes spécifiques de </w:t>
      </w:r>
      <w:r>
        <w:rPr>
          <w:rStyle w:val="VerbatimChar"/>
        </w:rPr>
        <w:t>E2_Entité_temporelle</w:t>
      </w:r>
      <w:r>
        <w:t xml:space="preserve"> sont :</w:t>
      </w:r>
    </w:p>
    <w:p w14:paraId="1D7E673E" w14:textId="77777777" w:rsidR="0084489F" w:rsidRDefault="00110FE6" w:rsidP="00806324">
      <w:pPr>
        <w:numPr>
          <w:ilvl w:val="0"/>
          <w:numId w:val="25"/>
        </w:numPr>
      </w:pPr>
      <w:r w:rsidRPr="246FBB6F">
        <w:rPr>
          <w:rStyle w:val="VerbatimChar"/>
          <w:lang w:val="fr-FR"/>
        </w:rPr>
        <w:t>E12_Production</w:t>
      </w:r>
      <w:r w:rsidRPr="246FBB6F">
        <w:rPr>
          <w:lang w:val="fr-FR"/>
        </w:rPr>
        <w:t xml:space="preserve"> qui permet la représentation d'évènements où des humains fabriquent des choses;</w:t>
      </w:r>
    </w:p>
    <w:p w14:paraId="154B8088" w14:textId="77777777" w:rsidR="0084489F" w:rsidRDefault="00110FE6" w:rsidP="00806324">
      <w:pPr>
        <w:numPr>
          <w:ilvl w:val="0"/>
          <w:numId w:val="25"/>
        </w:numPr>
      </w:pPr>
      <w:r>
        <w:rPr>
          <w:rStyle w:val="VerbatimChar"/>
        </w:rPr>
        <w:t>E5_Évènement</w:t>
      </w:r>
      <w:r>
        <w:t xml:space="preserve"> qui permet la documentation d'évènements géologiques ou d'évènements sociaux de grande envergure (p. ex. une guerre).</w:t>
      </w:r>
    </w:p>
    <w:p w14:paraId="0C8E8E11" w14:textId="77777777" w:rsidR="0084489F" w:rsidRDefault="00110FE6">
      <w:pPr>
        <w:pStyle w:val="FirstParagraph"/>
      </w:pPr>
      <w:r>
        <w:t xml:space="preserve">Des propriétés spécifiques à chacune de ces sous-classes permettent de représenter les connexions réelles entre des instances de </w:t>
      </w:r>
      <w:r>
        <w:rPr>
          <w:rStyle w:val="VerbatimChar"/>
        </w:rPr>
        <w:t>E77_Entité_persistante</w:t>
      </w:r>
      <w:r>
        <w:t xml:space="preserve">, par exemple la relation d'un objet au moment de sa production grâce à la propriété </w:t>
      </w:r>
      <w:r>
        <w:rPr>
          <w:rStyle w:val="VerbatimChar"/>
        </w:rPr>
        <w:t>P108i_a_été_produit_par</w:t>
      </w:r>
      <w:r>
        <w:t xml:space="preserve"> (</w:t>
      </w:r>
      <w:r>
        <w:rPr>
          <w:rStyle w:val="VerbatimChar"/>
        </w:rPr>
        <w:t>E12_Production</w:t>
      </w:r>
      <w:r>
        <w:t xml:space="preserve">) ou la relation d'un lieu à un phénomène géologique grâce à la propriété </w:t>
      </w:r>
      <w:r>
        <w:rPr>
          <w:rStyle w:val="VerbatimChar"/>
        </w:rPr>
        <w:t>P7i_a_été_témoin_de</w:t>
      </w:r>
      <w:r>
        <w:t xml:space="preserve"> (</w:t>
      </w:r>
      <w:r>
        <w:rPr>
          <w:rStyle w:val="VerbatimChar"/>
        </w:rPr>
        <w:t>E5_Évènement</w:t>
      </w:r>
      <w:r>
        <w:t xml:space="preserve">). Les entités que documente </w:t>
      </w:r>
      <w:r>
        <w:rPr>
          <w:rStyle w:val="VerbatimChar"/>
        </w:rPr>
        <w:t>E2_Entité_temporelle</w:t>
      </w:r>
      <w:r>
        <w:t xml:space="preserve">, puisqu'elles sont des processus limités dans le temps ou des occurrences, sont d'une telle nature que leur existence ne peut être déclarée que sur la base d'observations : directes ou d'enregistrements d'un évènement, ou sur la base d'observations indirectes des manifestations d'un évènement sur un objet matériel ayant subi un changement en raison de ce même évènement. Des évènements peuvent aussi avoir été documentés textuellement ou inscrits dans l'histoire et la mémoire orale d'une collectivité. </w:t>
      </w:r>
      <w:r>
        <w:rPr>
          <w:rStyle w:val="VerbatimChar"/>
        </w:rPr>
        <w:t>E2_Entité_temporelle</w:t>
      </w:r>
      <w:r>
        <w:t xml:space="preserve"> et ses sous-classes sont des éléments centraux du CIDOC CRM et sont essentielles à presque toutes les tâches de modélisation (p. ex. il n'est pas possible, dans un catalogue muséal, de considérer un objet en dehors de son évènement de production).</w:t>
      </w:r>
    </w:p>
    <w:p w14:paraId="53ECDF8B" w14:textId="77777777" w:rsidR="0084489F" w:rsidRDefault="00110FE6">
      <w:pPr>
        <w:pStyle w:val="BodyText"/>
      </w:pPr>
      <w:r w:rsidRPr="246FBB6F">
        <w:rPr>
          <w:lang w:val="fr-FR"/>
        </w:rPr>
        <w:t xml:space="preserve">La modélisation évènementielle du CIDOC CRM a pour objectif de permettre une description historique fidèle en représentant des entités du monde réel grâce à la classe </w:t>
      </w:r>
      <w:r w:rsidRPr="246FBB6F">
        <w:rPr>
          <w:rStyle w:val="VerbatimChar"/>
          <w:lang w:val="fr-FR"/>
        </w:rPr>
        <w:t>E77_Entité_persistante</w:t>
      </w:r>
      <w:r w:rsidRPr="246FBB6F">
        <w:rPr>
          <w:lang w:val="fr-FR"/>
        </w:rPr>
        <w:t xml:space="preserve"> et à ses sous-classes. </w:t>
      </w:r>
      <w:r w:rsidRPr="246FBB6F">
        <w:rPr>
          <w:rStyle w:val="VerbatimChar"/>
          <w:lang w:val="fr-FR"/>
        </w:rPr>
        <w:t>E77_Entité_persistante</w:t>
      </w:r>
      <w:r w:rsidRPr="246FBB6F">
        <w:rPr>
          <w:lang w:val="fr-FR"/>
        </w:rPr>
        <w:t xml:space="preserve"> est utilisée pour décrire des entités qui sont formellement relativement stables à travers le temps et qui maintiennent une identité reconnaissable en raison du fait que leurs attributs significatifs ne changent pas. Des sous-classes spécifiques de </w:t>
      </w:r>
      <w:r w:rsidRPr="246FBB6F">
        <w:rPr>
          <w:rStyle w:val="VerbatimChar"/>
          <w:lang w:val="fr-FR"/>
        </w:rPr>
        <w:t>E77_Entité_persistante</w:t>
      </w:r>
      <w:r w:rsidRPr="246FBB6F">
        <w:rPr>
          <w:lang w:val="fr-FR"/>
        </w:rPr>
        <w:t xml:space="preserve"> illustrent cela:</w:t>
      </w:r>
    </w:p>
    <w:p w14:paraId="4148A845" w14:textId="77777777" w:rsidR="0084489F" w:rsidRDefault="00110FE6" w:rsidP="00806324">
      <w:pPr>
        <w:numPr>
          <w:ilvl w:val="0"/>
          <w:numId w:val="26"/>
        </w:numPr>
      </w:pPr>
      <w:r w:rsidRPr="246FBB6F">
        <w:rPr>
          <w:rStyle w:val="VerbatimChar"/>
          <w:lang w:val="fr-FR"/>
        </w:rPr>
        <w:t>E22_Objet_élaboré_par_l’humain</w:t>
      </w:r>
      <w:r w:rsidRPr="246FBB6F">
        <w:rPr>
          <w:lang w:val="fr-FR"/>
        </w:rPr>
        <w:t xml:space="preserve"> est utilisée pour la description d'objets physiques distincts étant le produit de l'action humaine (p. ex. une œuvre d'art ou un monument est persistant quant à sa constitution physique et tant qu'il conserve sa forme physique générale, il est considéré exister et participer au flux des évènements historiques).</w:t>
      </w:r>
    </w:p>
    <w:p w14:paraId="1B6C3191" w14:textId="77777777" w:rsidR="0084489F" w:rsidRDefault="00110FE6" w:rsidP="00806324">
      <w:pPr>
        <w:numPr>
          <w:ilvl w:val="0"/>
          <w:numId w:val="26"/>
        </w:numPr>
      </w:pPr>
      <w:r>
        <w:rPr>
          <w:rStyle w:val="VerbatimChar"/>
        </w:rPr>
        <w:t>E28_Objet_conceptuel</w:t>
      </w:r>
      <w:r>
        <w:t xml:space="preserve"> est utilisée pour la description d'entités persistantes ayant un caractère mental, à savoir pour la description d'idées identifiables qui sont nommées et qui constituent un objet du discours historique, et dont les conditions identitaires reposent sur le fait qu'elles s'incarnent dans une chose grâce à laquelle ces idées peuvent être convoquées de nouveau ou rappelées.</w:t>
      </w:r>
    </w:p>
    <w:p w14:paraId="20B63AA1" w14:textId="77777777" w:rsidR="0084489F" w:rsidRDefault="00110FE6">
      <w:pPr>
        <w:pStyle w:val="FirstParagraph"/>
      </w:pPr>
      <w:r>
        <w:lastRenderedPageBreak/>
        <w:t xml:space="preserve">Les entités décrites par </w:t>
      </w:r>
      <w:r>
        <w:rPr>
          <w:rStyle w:val="VerbatimChar"/>
        </w:rPr>
        <w:t>E77_Entité_persistante</w:t>
      </w:r>
      <w:r>
        <w:t xml:space="preserve"> sont sujettes au changement du fait d'activités humaines ou biologiques, ou du fait de processus géologiques ou environnementaux. Elles sont néanmoins considérées continuer d'exister et d'être pareilles à elles-mêmes tant que ces changements n'altèrent pas leur identité fondamentale (essence) telle qu'elle est définie dans la note d'application de la classe concernée.</w:t>
      </w:r>
    </w:p>
    <w:p w14:paraId="09F3F9C0" w14:textId="64F6EC75" w:rsidR="0084489F" w:rsidRDefault="00110FE6">
      <w:pPr>
        <w:pStyle w:val="BodyText"/>
      </w:pPr>
      <w:r w:rsidRPr="246FBB6F">
        <w:rPr>
          <w:lang w:val="fr-FR"/>
        </w:rPr>
        <w:t xml:space="preserve">La notion d'identité est clé pour l'application du CIDOC CRM. Les propriétés et les relations que fournit le modèle sont conçues pour permettre la description historique fidèle de l'évolution d'entités réelles à travers le temps. Les classes et les propriétés sont donc créées afin de fournir une définition permettant leur application aux mêmes entités réelles par des utilisateurs divers. Ainsi, au sens du CIDOC CRM, l'identité implique que des personnes informées sont à même de convenir qu'elles réfèrent à une seule et même chose distincte tout au long des étendues et de la durée de son existence. Les critères permettant de déterminer cela émanent de la note d'application de la classe du CIDOC CRM dont la chose est considérée être une instance, car la communication informatique ne soutient pas un dialogue entre utilisateurs. Par exemple, le Sphinx de Gizeh a été endommagé, notamment au niveau du nez qui est absent, mais il est considéré être le même monument qu'avant sa mutilation car il continue de représenter les caractéristiques distinctes d'une forme passée ayant une pertinence archéologique. Les choses n'étant pas dotées d'une stabilité et d'une distinction suffisantes ne sont pas des instances de </w:t>
      </w:r>
      <w:r w:rsidRPr="246FBB6F">
        <w:rPr>
          <w:rStyle w:val="VerbatimChar"/>
          <w:lang w:val="fr-FR"/>
        </w:rPr>
        <w:t>E77_Entité_persistante</w:t>
      </w:r>
      <w:r w:rsidRPr="246FBB6F">
        <w:rPr>
          <w:lang w:val="fr-FR"/>
        </w:rPr>
        <w:t xml:space="preserve"> et elles ne se prêtent pas à l'intégration dans le CIDOC CRM (p. ex. l'atmosphère, les nuages, les vagues ou le sol). Un discours au sujet de telles entités peut être documenté sous forme d'observations au sujet des relations entre des choses à l'identité persistante (p. ex. des lieux) à l'aide de concepts du CIDOC CRM.</w:t>
      </w:r>
    </w:p>
    <w:p w14:paraId="6FC0E442" w14:textId="74C953CF" w:rsidR="0084489F" w:rsidRDefault="00110FE6">
      <w:pPr>
        <w:pStyle w:val="BodyText"/>
      </w:pPr>
      <w:r w:rsidRPr="246FBB6F">
        <w:rPr>
          <w:lang w:val="fr-FR"/>
        </w:rPr>
        <w:t xml:space="preserve">Il est crucial, afin de représenter formellement des données analytiques historiques, de savoir distinguer et interrelier des instances de </w:t>
      </w:r>
      <w:r w:rsidRPr="246FBB6F">
        <w:rPr>
          <w:rStyle w:val="VerbatimChar"/>
          <w:lang w:val="fr-FR"/>
        </w:rPr>
        <w:t>E2_Entité_temporelle</w:t>
      </w:r>
      <w:r w:rsidRPr="246FBB6F">
        <w:rPr>
          <w:lang w:val="fr-FR"/>
        </w:rPr>
        <w:t xml:space="preserve"> (perdurants) et de </w:t>
      </w:r>
      <w:r w:rsidRPr="246FBB6F">
        <w:rPr>
          <w:rStyle w:val="VerbatimChar"/>
          <w:lang w:val="fr-FR"/>
        </w:rPr>
        <w:t>E77_Entité_persistante</w:t>
      </w:r>
      <w:r w:rsidRPr="246FBB6F">
        <w:rPr>
          <w:lang w:val="fr-FR"/>
        </w:rPr>
        <w:t xml:space="preserve"> (endurants) grâce aux propriétés appropriées. Dans la majorité des cas, cette distinction combinée à l'élaboration de sous-classes et de propriétés est suffisante à la description des entrées de bases de données patrimoniales des domaines patrimoniaux culturel et scientifique. Exceptionnellement, lorsque des combinaisons complexes de changements de l'étendue spatiale à travers le temps doivent être documentées, il est nécessaire d'utiliser </w:t>
      </w:r>
      <w:r w:rsidRPr="246FBB6F">
        <w:rPr>
          <w:rStyle w:val="VerbatimChar"/>
          <w:lang w:val="fr-FR"/>
        </w:rPr>
        <w:t>E92_Volume_spatio-temporel</w:t>
      </w:r>
      <w:r w:rsidRPr="246FBB6F">
        <w:rPr>
          <w:lang w:val="fr-FR"/>
        </w:rPr>
        <w:t xml:space="preserve"> qui décrit des entités dont la substance est ou contient une étendue identifiable et confinée géométriquement dans le monde réel, lequel peut varier à travers le temps indépendamment de frontières floues. Par exemple, les constructions de l'établissement de la ville d'Athènes sont contraintes par leur intervalle temporel (depuis la fondation jusqu'à aujourd'hui) par leur étendue géographique changeante à travers les siècles (ce qui peut être plus ou moins évident au regard des observations actuelles, des documents historiques, et des excavations). Bien que </w:t>
      </w:r>
      <w:r w:rsidRPr="246FBB6F">
        <w:rPr>
          <w:rStyle w:val="VerbatimChar"/>
          <w:lang w:val="fr-FR"/>
        </w:rPr>
        <w:t>E92_Volume_spatio-temporel</w:t>
      </w:r>
      <w:r w:rsidRPr="246FBB6F">
        <w:rPr>
          <w:lang w:val="fr-FR"/>
        </w:rPr>
        <w:t xml:space="preserve"> soit une part théorique importante du CIDOC CRM, il peut dans la plupart des cas être ignoré en faveur d'une documentation et d'une modélisation appliquées.</w:t>
      </w:r>
    </w:p>
    <w:p w14:paraId="5601A9F1" w14:textId="77777777" w:rsidR="0084489F" w:rsidRDefault="00110FE6">
      <w:pPr>
        <w:pStyle w:val="BodyText"/>
      </w:pPr>
      <w:r>
        <w:t>La clé de la compréhension adéquate du CIDOC CRM est l'appropriation de ses divisions fondamentales et de la logique qu'elles représentent. Malgré cela, le CIDOC CRM n'est pas un système de classification ou un vocabulaire contrôlé. Ses divisions de classes sont déclarées afin de pouvoir appliquer des propriétés distinctes qui permettent d'énoncer des propositions analytiques représentant précisément des réalités historiques. Ainsi, le pouvoir expressif du CIDOC CRM n'émane pas de la classification d'entités, mais de la documentation des interrelations entre des entités individuelles historiques grâce à des propriétés adéquatement définies. Typiquement, ces propriétés recoupent différents sujets comme :</w:t>
      </w:r>
    </w:p>
    <w:p w14:paraId="18E16708" w14:textId="77777777" w:rsidR="0084489F" w:rsidRDefault="00110FE6" w:rsidP="00806324">
      <w:pPr>
        <w:numPr>
          <w:ilvl w:val="0"/>
          <w:numId w:val="27"/>
        </w:numPr>
      </w:pPr>
      <w:r w:rsidRPr="246FBB6F">
        <w:rPr>
          <w:lang w:val="fr-FR"/>
        </w:rPr>
        <w:t>les relations d'</w:t>
      </w:r>
      <w:r w:rsidRPr="246FBB6F">
        <w:rPr>
          <w:i/>
          <w:iCs/>
          <w:lang w:val="fr-FR"/>
        </w:rPr>
        <w:t>identification</w:t>
      </w:r>
      <w:r w:rsidRPr="246FBB6F">
        <w:rPr>
          <w:lang w:val="fr-FR"/>
        </w:rPr>
        <w:t xml:space="preserve"> d'entités grâce à des noms et des identifiants;</w:t>
      </w:r>
    </w:p>
    <w:p w14:paraId="1A3A67A3" w14:textId="77777777" w:rsidR="0084489F" w:rsidRDefault="00110FE6" w:rsidP="00806324">
      <w:pPr>
        <w:numPr>
          <w:ilvl w:val="0"/>
          <w:numId w:val="27"/>
        </w:numPr>
      </w:pPr>
      <w:r w:rsidRPr="246FBB6F">
        <w:rPr>
          <w:lang w:val="fr-FR"/>
        </w:rPr>
        <w:t xml:space="preserve">les </w:t>
      </w:r>
      <w:r w:rsidRPr="246FBB6F">
        <w:rPr>
          <w:i/>
          <w:iCs/>
          <w:lang w:val="fr-FR"/>
        </w:rPr>
        <w:t>participations</w:t>
      </w:r>
      <w:r w:rsidRPr="246FBB6F">
        <w:rPr>
          <w:lang w:val="fr-FR"/>
        </w:rPr>
        <w:t xml:space="preserve"> d'entités persistantes à des entités temporelles;</w:t>
      </w:r>
    </w:p>
    <w:p w14:paraId="4DA6A7DD" w14:textId="77777777" w:rsidR="0084489F" w:rsidRDefault="00110FE6" w:rsidP="00806324">
      <w:pPr>
        <w:numPr>
          <w:ilvl w:val="0"/>
          <w:numId w:val="27"/>
        </w:numPr>
      </w:pPr>
      <w:r w:rsidRPr="246FBB6F">
        <w:rPr>
          <w:lang w:val="fr-FR"/>
        </w:rPr>
        <w:t xml:space="preserve">les </w:t>
      </w:r>
      <w:r w:rsidRPr="246FBB6F">
        <w:rPr>
          <w:i/>
          <w:iCs/>
          <w:lang w:val="fr-FR"/>
        </w:rPr>
        <w:t>lieux</w:t>
      </w:r>
      <w:r w:rsidRPr="246FBB6F">
        <w:rPr>
          <w:lang w:val="fr-FR"/>
        </w:rPr>
        <w:t xml:space="preserve"> d'entités temporelles et de choses matérielles dans l'espace et dans le temps;</w:t>
      </w:r>
    </w:p>
    <w:p w14:paraId="0D82A659" w14:textId="77777777" w:rsidR="0084489F" w:rsidRDefault="00110FE6" w:rsidP="00806324">
      <w:pPr>
        <w:numPr>
          <w:ilvl w:val="0"/>
          <w:numId w:val="27"/>
        </w:numPr>
      </w:pPr>
      <w:r w:rsidRPr="246FBB6F">
        <w:rPr>
          <w:lang w:val="fr-FR"/>
        </w:rPr>
        <w:lastRenderedPageBreak/>
        <w:t>les relations d'</w:t>
      </w:r>
      <w:r w:rsidRPr="246FBB6F">
        <w:rPr>
          <w:i/>
          <w:iCs/>
          <w:lang w:val="fr-FR"/>
        </w:rPr>
        <w:t>observation</w:t>
      </w:r>
      <w:r w:rsidRPr="246FBB6F">
        <w:rPr>
          <w:lang w:val="fr-FR"/>
        </w:rPr>
        <w:t xml:space="preserve"> et d'évaluation;</w:t>
      </w:r>
    </w:p>
    <w:p w14:paraId="68346EBC" w14:textId="77777777" w:rsidR="0084489F" w:rsidRDefault="00110FE6" w:rsidP="00806324">
      <w:pPr>
        <w:numPr>
          <w:ilvl w:val="0"/>
          <w:numId w:val="27"/>
        </w:numPr>
      </w:pPr>
      <w:r w:rsidRPr="246FBB6F">
        <w:rPr>
          <w:lang w:val="fr-FR"/>
        </w:rPr>
        <w:t xml:space="preserve">les propriétés </w:t>
      </w:r>
      <w:r w:rsidRPr="246FBB6F">
        <w:rPr>
          <w:i/>
          <w:iCs/>
          <w:lang w:val="fr-FR"/>
        </w:rPr>
        <w:t>structurelles</w:t>
      </w:r>
      <w:r w:rsidRPr="246FBB6F">
        <w:rPr>
          <w:lang w:val="fr-FR"/>
        </w:rPr>
        <w:t xml:space="preserve"> et les décompositions en parties de choses;</w:t>
      </w:r>
    </w:p>
    <w:p w14:paraId="3E890A4C" w14:textId="77777777" w:rsidR="0084489F" w:rsidRDefault="00110FE6" w:rsidP="00806324">
      <w:pPr>
        <w:numPr>
          <w:ilvl w:val="0"/>
          <w:numId w:val="27"/>
        </w:numPr>
      </w:pPr>
      <w:r w:rsidRPr="246FBB6F">
        <w:rPr>
          <w:lang w:val="fr-FR"/>
        </w:rPr>
        <w:t>l'</w:t>
      </w:r>
      <w:r w:rsidRPr="246FBB6F">
        <w:rPr>
          <w:i/>
          <w:iCs/>
          <w:lang w:val="fr-FR"/>
        </w:rPr>
        <w:t>influence</w:t>
      </w:r>
      <w:r w:rsidRPr="246FBB6F">
        <w:rPr>
          <w:lang w:val="fr-FR"/>
        </w:rPr>
        <w:t xml:space="preserve"> des choses et des expériences sur les activités des personnes et des produits;</w:t>
      </w:r>
    </w:p>
    <w:p w14:paraId="2A5CE3F2" w14:textId="77777777" w:rsidR="0084489F" w:rsidRDefault="00110FE6" w:rsidP="00806324">
      <w:pPr>
        <w:numPr>
          <w:ilvl w:val="0"/>
          <w:numId w:val="27"/>
        </w:numPr>
      </w:pPr>
      <w:r w:rsidRPr="246FBB6F">
        <w:rPr>
          <w:lang w:val="fr-FR"/>
        </w:rPr>
        <w:t xml:space="preserve">les </w:t>
      </w:r>
      <w:r w:rsidRPr="246FBB6F">
        <w:rPr>
          <w:i/>
          <w:iCs/>
          <w:lang w:val="fr-FR"/>
        </w:rPr>
        <w:t>références</w:t>
      </w:r>
      <w:r w:rsidRPr="246FBB6F">
        <w:rPr>
          <w:lang w:val="fr-FR"/>
        </w:rPr>
        <w:t xml:space="preserve"> d'objets informationnels à quoi que ce soit.</w:t>
      </w:r>
    </w:p>
    <w:p w14:paraId="48A188B0" w14:textId="77777777" w:rsidR="0084489F" w:rsidRDefault="00110FE6">
      <w:pPr>
        <w:pStyle w:val="FirstParagraph"/>
      </w:pPr>
      <w:r>
        <w:t>Les sections suivantes expliquent ces concepts à l'aide de diagrammes.</w:t>
      </w:r>
    </w:p>
    <w:p w14:paraId="7805B69A" w14:textId="77777777" w:rsidR="0084489F" w:rsidRDefault="00110FE6">
      <w:pPr>
        <w:pStyle w:val="BlockText"/>
      </w:pPr>
      <w:r>
        <w:rPr>
          <w:b/>
          <w:bCs/>
          <w:i/>
          <w:iCs/>
        </w:rPr>
        <w:t>Note de traduction</w:t>
      </w:r>
    </w:p>
    <w:p w14:paraId="0E3B3D04" w14:textId="77777777" w:rsidR="0084489F" w:rsidRDefault="00110FE6">
      <w:pPr>
        <w:pStyle w:val="BlockText"/>
      </w:pPr>
      <w:r>
        <w:rPr>
          <w:b/>
          <w:bCs/>
          <w:i/>
          <w:iCs/>
        </w:rPr>
        <w:t>Références</w:t>
      </w:r>
    </w:p>
    <w:p w14:paraId="11A07ABA" w14:textId="77777777" w:rsidR="0084489F" w:rsidRDefault="0084489F">
      <w:pPr>
        <w:pStyle w:val="BlockText"/>
      </w:pPr>
    </w:p>
    <w:p w14:paraId="5490F4DB" w14:textId="77777777" w:rsidR="0084489F" w:rsidRDefault="00110FE6">
      <w:pPr>
        <w:pStyle w:val="Heading2"/>
      </w:pPr>
      <w:bookmarkStart w:id="78" w:name="_Toc176864423"/>
      <w:bookmarkStart w:id="79" w:name="des-relations-evenementielles"/>
      <w:r>
        <w:t>Des relations évènementielles</w:t>
      </w:r>
      <w:bookmarkEnd w:id="78"/>
    </w:p>
    <w:p w14:paraId="580E53BE" w14:textId="77777777" w:rsidR="0084489F" w:rsidRDefault="00110FE6">
      <w:pPr>
        <w:pStyle w:val="FirstParagraph"/>
      </w:pPr>
      <w:r w:rsidRPr="246FBB6F">
        <w:rPr>
          <w:lang w:val="fr-FR"/>
        </w:rPr>
        <w:t xml:space="preserve">La figure 1 illustre les propriétés minimales pour documenter « ce qui s'est produit », à savoir le patron fondamental du CIDOC CRM. La classe </w:t>
      </w:r>
      <w:r w:rsidRPr="246FBB6F">
        <w:rPr>
          <w:rStyle w:val="VerbatimChar"/>
          <w:lang w:val="fr-FR"/>
        </w:rPr>
        <w:t>E1_Entité_CRM</w:t>
      </w:r>
      <w:r w:rsidRPr="246FBB6F">
        <w:rPr>
          <w:lang w:val="fr-FR"/>
        </w:rPr>
        <w:t xml:space="preserve"> est la classe à la tête de la hiérarchie du modèle; elle a pour fonction de fédérer les concepts ontologiquement signifiants du modèle. De plus, cette classe déclare deux propriétés essentielles à la validité générale et aux caractéristiques distinctes du CIDOC CRM :</w:t>
      </w:r>
    </w:p>
    <w:p w14:paraId="38AF863A" w14:textId="77777777" w:rsidR="0084489F" w:rsidRDefault="00110FE6" w:rsidP="00806324">
      <w:pPr>
        <w:numPr>
          <w:ilvl w:val="0"/>
          <w:numId w:val="28"/>
        </w:numPr>
      </w:pPr>
      <w:r w:rsidRPr="246FBB6F">
        <w:rPr>
          <w:rStyle w:val="VerbatimChar"/>
          <w:lang w:val="fr-FR"/>
        </w:rPr>
        <w:t>P1_est_identifié_par</w:t>
      </w:r>
      <w:r w:rsidRPr="246FBB6F">
        <w:rPr>
          <w:lang w:val="fr-FR"/>
        </w:rPr>
        <w:t xml:space="preserve"> avec pour portée </w:t>
      </w:r>
      <w:r w:rsidRPr="246FBB6F">
        <w:rPr>
          <w:rStyle w:val="VerbatimChar"/>
          <w:lang w:val="fr-FR"/>
        </w:rPr>
        <w:t>E41_Appellation</w:t>
      </w:r>
      <w:r w:rsidRPr="246FBB6F">
        <w:rPr>
          <w:lang w:val="fr-FR"/>
        </w:rPr>
        <w:t xml:space="preserve"> établit une distinction ontologique fondamentale entre l'identité d'un particulier et son identifiant (voir la section </w:t>
      </w:r>
      <w:hyperlink w:anchor="X1e2ab05d40a1b1a3f380e60b5aa42d32db74c6a">
        <w:r w:rsidRPr="246FBB6F">
          <w:rPr>
            <w:rStyle w:val="Hyperlink"/>
            <w:lang w:val="fr-FR"/>
          </w:rPr>
          <w:t xml:space="preserve">De la réalité, des bases de connaissance, et du </w:t>
        </w:r>
      </w:hyperlink>
      <w:hyperlink w:anchor="X1e2ab05d40a1b1a3f380e60b5aa42d32db74c6a">
        <w:r w:rsidRPr="246FBB6F">
          <w:rPr>
            <w:rStyle w:val="Hyperlink"/>
            <w:lang w:val="fr-FR"/>
          </w:rPr>
          <w:t xml:space="preserve">CIDOC CRM </w:t>
        </w:r>
      </w:hyperlink>
      <w:r w:rsidRPr="246FBB6F">
        <w:rPr>
          <w:lang w:val="fr-FR"/>
        </w:rPr>
        <w:t>), ce qui permet de décrire un discours solutionnant des ambiguïtés historiques de noms ainsi que de réconcilier de multiples identifiants.</w:t>
      </w:r>
    </w:p>
    <w:p w14:paraId="40BD2F9E" w14:textId="77777777" w:rsidR="0084489F" w:rsidRDefault="00110FE6" w:rsidP="00806324">
      <w:pPr>
        <w:numPr>
          <w:ilvl w:val="0"/>
          <w:numId w:val="28"/>
        </w:numPr>
      </w:pPr>
      <w:r w:rsidRPr="246FBB6F">
        <w:rPr>
          <w:rStyle w:val="VerbatimChar"/>
          <w:lang w:val="fr-FR"/>
        </w:rPr>
        <w:t>P2_a_pour_type</w:t>
      </w:r>
      <w:r w:rsidRPr="246FBB6F">
        <w:rPr>
          <w:lang w:val="fr-FR"/>
        </w:rPr>
        <w:t xml:space="preserve"> avec pour portée </w:t>
      </w:r>
      <w:r w:rsidRPr="246FBB6F">
        <w:rPr>
          <w:rStyle w:val="VerbatimChar"/>
          <w:lang w:val="fr-FR"/>
        </w:rPr>
        <w:t>E55_Type</w:t>
      </w:r>
      <w:r w:rsidRPr="246FBB6F">
        <w:rPr>
          <w:lang w:val="fr-FR"/>
        </w:rPr>
        <w:t xml:space="preserve"> constitue une interface pratique pour raffiner des classes par le biais de terminologies, lesquelles sont souvent fluctuantes (voir la section </w:t>
      </w:r>
      <w:hyperlink w:anchor="des-types">
        <w:r w:rsidRPr="246FBB6F">
          <w:rPr>
            <w:rStyle w:val="Hyperlink"/>
            <w:lang w:val="fr-FR"/>
          </w:rPr>
          <w:t>Des types</w:t>
        </w:r>
      </w:hyperlink>
      <w:r w:rsidRPr="246FBB6F">
        <w:rPr>
          <w:lang w:val="fr-FR"/>
        </w:rPr>
        <w:t>).</w:t>
      </w:r>
    </w:p>
    <w:p w14:paraId="34D8A45B" w14:textId="77777777" w:rsidR="0084489F" w:rsidRDefault="00110FE6">
      <w:pPr>
        <w:pStyle w:val="FirstParagraph"/>
      </w:pPr>
      <w:r>
        <w:rPr>
          <w:noProof/>
        </w:rPr>
        <w:drawing>
          <wp:inline distT="0" distB="0" distL="0" distR="0" wp14:anchorId="531B0543" wp14:editId="4EA5C596">
            <wp:extent cx="6858000" cy="3418619"/>
            <wp:effectExtent l="0" t="0" r="0" b="0"/>
            <wp:docPr id="112" name="Picture" descr="Un diagramme illustre les principales classes et propriétés du CIDOC CRM ainsi que certains des liens qui les unissent. Les classes sont identifiées par des rectangles. Les propriétés sont identifiées par des flèches reliant les classes entre elles. Les liens entre ces classes et propriétés sont décrites dans le texte ci-dessous. "/>
            <wp:cNvGraphicFramePr/>
            <a:graphic xmlns:a="http://schemas.openxmlformats.org/drawingml/2006/main">
              <a:graphicData uri="http://schemas.openxmlformats.org/drawingml/2006/picture">
                <pic:pic xmlns:pic="http://schemas.openxmlformats.org/drawingml/2006/picture">
                  <pic:nvPicPr>
                    <pic:cNvPr id="113" name="Picture" descr="/Users/trangdang/Documents/CHIN/Work/documentation/cidoc_crm_fr-ca/docs/v7.1.3/figures/Fig_1_FR.png"/>
                    <pic:cNvPicPr>
                      <a:picLocks noChangeAspect="1" noChangeArrowheads="1"/>
                    </pic:cNvPicPr>
                  </pic:nvPicPr>
                  <pic:blipFill>
                    <a:blip r:embed="rId143"/>
                    <a:stretch>
                      <a:fillRect/>
                    </a:stretch>
                  </pic:blipFill>
                  <pic:spPr bwMode="auto">
                    <a:xfrm>
                      <a:off x="0" y="0"/>
                      <a:ext cx="6858000" cy="3418619"/>
                    </a:xfrm>
                    <a:prstGeom prst="rect">
                      <a:avLst/>
                    </a:prstGeom>
                    <a:noFill/>
                    <a:ln w="9525">
                      <a:noFill/>
                      <a:headEnd/>
                      <a:tailEnd/>
                    </a:ln>
                  </pic:spPr>
                </pic:pic>
              </a:graphicData>
            </a:graphic>
          </wp:inline>
        </w:drawing>
      </w:r>
    </w:p>
    <w:p w14:paraId="7625F65F" w14:textId="77777777" w:rsidR="0084489F" w:rsidRPr="00BC5C04" w:rsidRDefault="00110FE6">
      <w:pPr>
        <w:pStyle w:val="BodyText"/>
        <w:rPr>
          <w:sz w:val="20"/>
          <w:szCs w:val="20"/>
        </w:rPr>
      </w:pPr>
      <w:r w:rsidRPr="00BC5C04">
        <w:rPr>
          <w:i/>
          <w:iCs/>
          <w:sz w:val="20"/>
          <w:szCs w:val="20"/>
        </w:rPr>
        <w:t>Figure 1 : Propriétés et classes de haut-niveau du CIDOC CRM</w:t>
      </w:r>
    </w:p>
    <w:p w14:paraId="29698702" w14:textId="2E7F8E80" w:rsidR="0084489F" w:rsidRPr="00BC5C04" w:rsidRDefault="00110FE6">
      <w:pPr>
        <w:pStyle w:val="BodyText"/>
        <w:rPr>
          <w:sz w:val="20"/>
          <w:szCs w:val="20"/>
        </w:rPr>
      </w:pPr>
      <w:r w:rsidRPr="00BC5C04">
        <w:rPr>
          <w:i/>
          <w:iCs/>
          <w:sz w:val="20"/>
          <w:szCs w:val="20"/>
        </w:rPr>
        <w:t>Mention de source des figures : Bibliothèques logicielles diagrams.net</w:t>
      </w:r>
      <w:r w:rsidRPr="00BC5C04">
        <w:rPr>
          <w:sz w:val="20"/>
          <w:szCs w:val="20"/>
        </w:rPr>
        <w:t>, © Réseau canadien d'information sur le patrimoine 2024</w:t>
      </w:r>
    </w:p>
    <w:p w14:paraId="506D322A" w14:textId="77777777" w:rsidR="0084489F" w:rsidRDefault="00110FE6">
      <w:pPr>
        <w:pStyle w:val="BodyText"/>
      </w:pPr>
      <w:r>
        <w:lastRenderedPageBreak/>
        <w:t xml:space="preserve">Toutes les classes de la figure 1 sont des sous-classes directes ou indirectes de </w:t>
      </w:r>
      <w:r>
        <w:rPr>
          <w:rStyle w:val="VerbatimChar"/>
        </w:rPr>
        <w:t>E1_Entité_CRM</w:t>
      </w:r>
      <w:r>
        <w:t xml:space="preserve">, mais aux fins de lisibilité seuls les liens de sous-classe depuis </w:t>
      </w:r>
      <w:r>
        <w:rPr>
          <w:rStyle w:val="VerbatimChar"/>
        </w:rPr>
        <w:t>E2_Entité_temporelle</w:t>
      </w:r>
      <w:r>
        <w:t xml:space="preserve"> sont illustrés.</w:t>
      </w:r>
    </w:p>
    <w:p w14:paraId="082A5851" w14:textId="77777777" w:rsidR="0084489F" w:rsidRDefault="00110FE6">
      <w:pPr>
        <w:pStyle w:val="BodyText"/>
      </w:pPr>
      <w:r>
        <w:t xml:space="preserve">La classe </w:t>
      </w:r>
      <w:r>
        <w:rPr>
          <w:rStyle w:val="VerbatimChar"/>
        </w:rPr>
        <w:t>E2_Entité_temporelle</w:t>
      </w:r>
      <w:r>
        <w:t xml:space="preserve"> comprend des phénomènes qui se produisent de manière continue sur une étendue de temps déterminée (</w:t>
      </w:r>
      <w:r>
        <w:rPr>
          <w:rStyle w:val="VerbatimChar"/>
        </w:rPr>
        <w:t>E52_Intervalle_temporel</w:t>
      </w:r>
      <w:r>
        <w:t>) dans la dimension naturelle du temps bien que certains de ces phénomènes puissent de pas être confinés à une aire spécifique (p. ex. le statut d'être une personne mariée).</w:t>
      </w:r>
    </w:p>
    <w:p w14:paraId="5B8AD3D8" w14:textId="77777777" w:rsidR="0084489F" w:rsidRDefault="00110FE6">
      <w:pPr>
        <w:pStyle w:val="BodyText"/>
      </w:pPr>
      <w:r w:rsidRPr="246FBB6F">
        <w:rPr>
          <w:lang w:val="fr-FR"/>
        </w:rPr>
        <w:t xml:space="preserve">La classe </w:t>
      </w:r>
      <w:r w:rsidRPr="246FBB6F">
        <w:rPr>
          <w:rStyle w:val="VerbatimChar"/>
          <w:lang w:val="fr-FR"/>
        </w:rPr>
        <w:t>E4_Période</w:t>
      </w:r>
      <w:r w:rsidRPr="246FBB6F">
        <w:rPr>
          <w:lang w:val="fr-FR"/>
        </w:rPr>
        <w:t xml:space="preserve"> est encore plus spécifique et comprend des phénomènes se produisant dans l’espace et dans le temps, information qui peut être représentée par la propriété </w:t>
      </w:r>
      <w:r w:rsidRPr="246FBB6F">
        <w:rPr>
          <w:rStyle w:val="VerbatimChar"/>
          <w:lang w:val="fr-FR"/>
        </w:rPr>
        <w:t>P7_a_eu_lieu_dans</w:t>
      </w:r>
      <w:r w:rsidRPr="246FBB6F">
        <w:rPr>
          <w:lang w:val="fr-FR"/>
        </w:rPr>
        <w:t xml:space="preserve"> avec pour portée </w:t>
      </w:r>
      <w:r w:rsidRPr="246FBB6F">
        <w:rPr>
          <w:rStyle w:val="VerbatimChar"/>
          <w:lang w:val="fr-FR"/>
        </w:rPr>
        <w:t>E53_Lieu</w:t>
      </w:r>
      <w:r w:rsidRPr="246FBB6F">
        <w:rPr>
          <w:lang w:val="fr-FR"/>
        </w:rPr>
        <w:t xml:space="preserve">. Les instances de </w:t>
      </w:r>
      <w:r w:rsidRPr="246FBB6F">
        <w:rPr>
          <w:rStyle w:val="VerbatimChar"/>
          <w:lang w:val="fr-FR"/>
        </w:rPr>
        <w:t>E4_Période</w:t>
      </w:r>
      <w:r w:rsidRPr="246FBB6F">
        <w:rPr>
          <w:lang w:val="fr-FR"/>
        </w:rPr>
        <w:t xml:space="preserve"> peuvent avoir des tailles variables (p. ex. la période des Royaumes combattants, la période Romaine, un siège, ou encore la procédure d'une signature).</w:t>
      </w:r>
    </w:p>
    <w:p w14:paraId="77EDFD0D" w14:textId="77777777" w:rsidR="0084489F" w:rsidRDefault="00110FE6">
      <w:pPr>
        <w:pStyle w:val="BodyText"/>
      </w:pPr>
      <w:r w:rsidRPr="246FBB6F">
        <w:rPr>
          <w:lang w:val="fr-FR"/>
        </w:rPr>
        <w:t xml:space="preserve">La classe </w:t>
      </w:r>
      <w:r w:rsidRPr="246FBB6F">
        <w:rPr>
          <w:rStyle w:val="VerbatimChar"/>
          <w:lang w:val="fr-FR"/>
        </w:rPr>
        <w:t>E5_Évènement</w:t>
      </w:r>
      <w:r w:rsidRPr="246FBB6F">
        <w:rPr>
          <w:lang w:val="fr-FR"/>
        </w:rPr>
        <w:t xml:space="preserve"> est encore plus spécifique et comprend des phénomènes impliquant et affectant certaines instances de </w:t>
      </w:r>
      <w:r w:rsidRPr="246FBB6F">
        <w:rPr>
          <w:rStyle w:val="VerbatimChar"/>
          <w:lang w:val="fr-FR"/>
        </w:rPr>
        <w:t>E77_Entité_persistante</w:t>
      </w:r>
      <w:r w:rsidRPr="246FBB6F">
        <w:rPr>
          <w:lang w:val="fr-FR"/>
        </w:rPr>
        <w:t xml:space="preserve"> d'une manière caractéristique de types de processus précisés par la propriété </w:t>
      </w:r>
      <w:r w:rsidRPr="246FBB6F">
        <w:rPr>
          <w:rStyle w:val="VerbatimChar"/>
          <w:lang w:val="fr-FR"/>
        </w:rPr>
        <w:t>P12_a_eu_lieu_en_présence_de</w:t>
      </w:r>
      <w:r w:rsidRPr="246FBB6F">
        <w:rPr>
          <w:lang w:val="fr-FR"/>
        </w:rPr>
        <w:t>. Ce concept de présence est particulièrement puissant dans la mesure où il :</w:t>
      </w:r>
    </w:p>
    <w:p w14:paraId="0011D808" w14:textId="77777777" w:rsidR="0084489F" w:rsidRDefault="00110FE6" w:rsidP="00806324">
      <w:pPr>
        <w:numPr>
          <w:ilvl w:val="0"/>
          <w:numId w:val="29"/>
        </w:numPr>
      </w:pPr>
      <w:r w:rsidRPr="246FBB6F">
        <w:rPr>
          <w:lang w:val="fr-FR"/>
        </w:rPr>
        <w:t>contraint l'existence des choses impliquées aux lieux qui leur sont associés dans un temps spécifié;</w:t>
      </w:r>
    </w:p>
    <w:p w14:paraId="47996B92" w14:textId="77777777" w:rsidR="0084489F" w:rsidRDefault="00110FE6" w:rsidP="00806324">
      <w:pPr>
        <w:numPr>
          <w:ilvl w:val="0"/>
          <w:numId w:val="29"/>
        </w:numPr>
      </w:pPr>
      <w:r w:rsidRPr="246FBB6F">
        <w:rPr>
          <w:lang w:val="fr-FR"/>
        </w:rPr>
        <w:t>indique le potentiel d'une implication passive ou active [n.d.t. des entités impliquées] ainsi que leur impact mutuel les unes sur les autres.</w:t>
      </w:r>
    </w:p>
    <w:p w14:paraId="63C09083" w14:textId="77777777" w:rsidR="0084489F" w:rsidRDefault="00110FE6">
      <w:pPr>
        <w:pStyle w:val="FirstParagraph"/>
      </w:pPr>
      <w:r>
        <w:t>Du fait de ce concept de présence, les évènements représentent des nœuds dans un réseau de choses reliées entre elles dans des combinaisons diverses à travers le temps et dans différents lieux [n.d.t. (en d'autres termes, un patron de « rencontre » des entités)].</w:t>
      </w:r>
    </w:p>
    <w:p w14:paraId="6D74DC36" w14:textId="77777777" w:rsidR="0084489F" w:rsidRDefault="00110FE6">
      <w:pPr>
        <w:pStyle w:val="BodyText"/>
      </w:pPr>
      <w:r>
        <w:t xml:space="preserve">Les spécialisations les plus importantes de </w:t>
      </w:r>
      <w:r>
        <w:rPr>
          <w:rStyle w:val="VerbatimChar"/>
        </w:rPr>
        <w:t>E77_Entité_persistante</w:t>
      </w:r>
      <w:r>
        <w:t xml:space="preserve"> dans ce contexte sont :</w:t>
      </w:r>
    </w:p>
    <w:p w14:paraId="3730EFAA" w14:textId="77777777" w:rsidR="0084489F" w:rsidRDefault="00110FE6" w:rsidP="00806324">
      <w:pPr>
        <w:numPr>
          <w:ilvl w:val="0"/>
          <w:numId w:val="30"/>
        </w:numPr>
      </w:pPr>
      <w:r w:rsidRPr="246FBB6F">
        <w:rPr>
          <w:rStyle w:val="VerbatimChar"/>
          <w:lang w:val="fr-FR"/>
        </w:rPr>
        <w:t>E18_Chose_matérielle</w:t>
      </w:r>
      <w:r w:rsidRPr="246FBB6F">
        <w:rPr>
          <w:lang w:val="fr-FR"/>
        </w:rPr>
        <w:t>, qui désigne des entités dont l'identité est déterminée par la stabilité relative de leur forme matérielle;</w:t>
      </w:r>
    </w:p>
    <w:p w14:paraId="6B6723E6" w14:textId="77777777" w:rsidR="0084489F" w:rsidRDefault="00110FE6" w:rsidP="00806324">
      <w:pPr>
        <w:numPr>
          <w:ilvl w:val="0"/>
          <w:numId w:val="30"/>
        </w:numPr>
      </w:pPr>
      <w:r w:rsidRPr="246FBB6F">
        <w:rPr>
          <w:rStyle w:val="VerbatimChar"/>
          <w:lang w:val="fr-FR"/>
        </w:rPr>
        <w:t>E28_Objet_conceptuel</w:t>
      </w:r>
      <w:r w:rsidRPr="246FBB6F">
        <w:rPr>
          <w:lang w:val="fr-FR"/>
        </w:rPr>
        <w:t>, qui désigne des choses idéalisées qui peuvent être reconnues, mais ont une identité indépendante de leur matérialisation sur un support physique;</w:t>
      </w:r>
    </w:p>
    <w:p w14:paraId="6ED911E8" w14:textId="77777777" w:rsidR="0084489F" w:rsidRDefault="00110FE6" w:rsidP="00806324">
      <w:pPr>
        <w:numPr>
          <w:ilvl w:val="0"/>
          <w:numId w:val="30"/>
        </w:numPr>
      </w:pPr>
      <w:r>
        <w:rPr>
          <w:rStyle w:val="VerbatimChar"/>
        </w:rPr>
        <w:t>E39_Actant</w:t>
      </w:r>
      <w:r>
        <w:t>, qui désigne des entités capables d'actions intentionnelles.</w:t>
      </w:r>
    </w:p>
    <w:p w14:paraId="1890EC17" w14:textId="77777777" w:rsidR="0084489F" w:rsidRDefault="00110FE6">
      <w:pPr>
        <w:pStyle w:val="FirstParagraph"/>
      </w:pPr>
      <w:r w:rsidRPr="246FBB6F">
        <w:rPr>
          <w:lang w:val="fr-FR"/>
        </w:rPr>
        <w:t xml:space="preserve">La propriété </w:t>
      </w:r>
      <w:r w:rsidRPr="246FBB6F">
        <w:rPr>
          <w:rStyle w:val="VerbatimChar"/>
          <w:lang w:val="fr-FR"/>
        </w:rPr>
        <w:t>P12_a_eu_lieu_en_présence_de</w:t>
      </w:r>
      <w:r w:rsidRPr="246FBB6F">
        <w:rPr>
          <w:lang w:val="fr-FR"/>
        </w:rPr>
        <w:t xml:space="preserve"> a 36 sous-propriétés directes et indirectes qui permettent de relier de nombreuses sous-classes de </w:t>
      </w:r>
      <w:r w:rsidRPr="246FBB6F">
        <w:rPr>
          <w:rStyle w:val="VerbatimChar"/>
          <w:lang w:val="fr-FR"/>
        </w:rPr>
        <w:t>E5_Évènement</w:t>
      </w:r>
      <w:r w:rsidRPr="246FBB6F">
        <w:rPr>
          <w:lang w:val="fr-FR"/>
        </w:rPr>
        <w:t xml:space="preserve"> et de </w:t>
      </w:r>
      <w:r w:rsidRPr="246FBB6F">
        <w:rPr>
          <w:rStyle w:val="VerbatimChar"/>
          <w:lang w:val="fr-FR"/>
        </w:rPr>
        <w:t>E77_Entité_persistante</w:t>
      </w:r>
      <w:r w:rsidRPr="246FBB6F">
        <w:rPr>
          <w:lang w:val="fr-FR"/>
        </w:rPr>
        <w:t xml:space="preserve"> telles que celles mentionnées ci-haut. Qu'une base de connaissances compatible avec le CIDOC CRM soit créée uniquement avec ces propriétés ou qu'elle le soit avec leurs spécialisations (qui sont beaucoup plus expressives), des requêtes utilisant les quatre propriétés susmentionnées (</w:t>
      </w:r>
      <w:r w:rsidRPr="246FBB6F">
        <w:rPr>
          <w:rStyle w:val="VerbatimChar"/>
          <w:lang w:val="fr-FR"/>
        </w:rPr>
        <w:t>P1_est_identifié_par</w:t>
      </w:r>
      <w:r w:rsidRPr="246FBB6F">
        <w:rPr>
          <w:lang w:val="fr-FR"/>
        </w:rPr>
        <w:t xml:space="preserve">, </w:t>
      </w:r>
      <w:r w:rsidRPr="246FBB6F">
        <w:rPr>
          <w:rStyle w:val="VerbatimChar"/>
          <w:lang w:val="fr-FR"/>
        </w:rPr>
        <w:t>P2_a_pour_type</w:t>
      </w:r>
      <w:r w:rsidRPr="246FBB6F">
        <w:rPr>
          <w:lang w:val="fr-FR"/>
        </w:rPr>
        <w:t xml:space="preserve">, </w:t>
      </w:r>
      <w:r w:rsidRPr="246FBB6F">
        <w:rPr>
          <w:rStyle w:val="VerbatimChar"/>
          <w:lang w:val="fr-FR"/>
        </w:rPr>
        <w:t>P7_a_eu_lieu_dans</w:t>
      </w:r>
      <w:r w:rsidRPr="246FBB6F">
        <w:rPr>
          <w:lang w:val="fr-FR"/>
        </w:rPr>
        <w:t xml:space="preserve">, </w:t>
      </w:r>
      <w:r w:rsidRPr="246FBB6F">
        <w:rPr>
          <w:rStyle w:val="VerbatimChar"/>
          <w:lang w:val="fr-FR"/>
        </w:rPr>
        <w:t>P12_a_eu_lieu_en_présence_de</w:t>
      </w:r>
      <w:r w:rsidRPr="246FBB6F">
        <w:rPr>
          <w:lang w:val="fr-FR"/>
        </w:rPr>
        <w:t>) permettent de répondre à la plupart des questions de type « qui, quand, où, quoi et comment » et permettent de rapatrier des histoires richement élaborées de personnes, de lieux, de temps et de choses.</w:t>
      </w:r>
    </w:p>
    <w:p w14:paraId="0ABDFD1C" w14:textId="77777777" w:rsidR="0084489F" w:rsidRDefault="00110FE6">
      <w:pPr>
        <w:pStyle w:val="BodyText"/>
      </w:pPr>
      <w:r>
        <w:t xml:space="preserve">Ce patron de « rencontre » des entités est assorti de deux sous-classes supplémentaires de </w:t>
      </w:r>
      <w:r>
        <w:rPr>
          <w:rStyle w:val="VerbatimChar"/>
        </w:rPr>
        <w:t>E5_Évènement</w:t>
      </w:r>
      <w:r>
        <w:t xml:space="preserve"> : </w:t>
      </w:r>
      <w:r>
        <w:rPr>
          <w:rStyle w:val="VerbatimChar"/>
        </w:rPr>
        <w:t>E63_Début_d’existence</w:t>
      </w:r>
      <w:r>
        <w:t xml:space="preserve"> et </w:t>
      </w:r>
      <w:r>
        <w:rPr>
          <w:rStyle w:val="VerbatimChar"/>
        </w:rPr>
        <w:t>E64_Fin_d’existence</w:t>
      </w:r>
      <w:r>
        <w:t>. Celles-ci impliquent non seulement la présence des entités, mais constituent aussi les frontières externes de l'existence de choses et de personnes dans l'espace et dans le temps, et ce le plus souvent en présence et en interaction directes avec d'autres entités, notamment de manière causale par le fait de produire, de consommer, ou d'être témoin d'une chose.</w:t>
      </w:r>
    </w:p>
    <w:p w14:paraId="35A3CAFA" w14:textId="77777777" w:rsidR="0084489F" w:rsidRDefault="00110FE6">
      <w:pPr>
        <w:pStyle w:val="BodyText"/>
      </w:pPr>
      <w:r w:rsidRPr="246FBB6F">
        <w:rPr>
          <w:lang w:val="fr-FR"/>
        </w:rPr>
        <w:t xml:space="preserve">Puisque le CIDOC CRM supporte la multi-instanciation, des évènements particuliers peuvent être des instances de combinaisons de ces classes ou d'autres classes afin de décrire des processus étroitement </w:t>
      </w:r>
      <w:r w:rsidRPr="246FBB6F">
        <w:rPr>
          <w:lang w:val="fr-FR"/>
        </w:rPr>
        <w:lastRenderedPageBreak/>
        <w:t xml:space="preserve">interreliés de natures multiples. La représentation de choses connectées à des évènements par leur présence, par le début de leur existence, ou par la fin de celle-ci, est suffisante à la description d'une logique </w:t>
      </w:r>
      <w:r w:rsidRPr="246FBB6F">
        <w:rPr>
          <w:i/>
          <w:iCs/>
          <w:lang w:val="fr-FR"/>
        </w:rPr>
        <w:t>termini postquos et antequos</w:t>
      </w:r>
      <w:r w:rsidRPr="246FBB6F">
        <w:rPr>
          <w:lang w:val="fr-FR"/>
        </w:rPr>
        <w:t>, une forme de raisonnement logique crucial à la chronologie des études historiques.</w:t>
      </w:r>
    </w:p>
    <w:p w14:paraId="67AEAE50" w14:textId="77777777" w:rsidR="0084489F" w:rsidRDefault="00110FE6">
      <w:pPr>
        <w:pStyle w:val="BodyText"/>
      </w:pPr>
      <w:r w:rsidRPr="246FBB6F">
        <w:rPr>
          <w:lang w:val="fr-FR"/>
        </w:rPr>
        <w:t xml:space="preserve">Un exemple représentant adéquatement l'application des concepts susmentionnés dans le contexte de l'histoire de l'art est celui de Johann Joachim Winckelmann (érudit allemand) voyant l'œuvre sculptée intitulée </w:t>
      </w:r>
      <w:r w:rsidRPr="246FBB6F">
        <w:rPr>
          <w:i/>
          <w:iCs/>
          <w:lang w:val="fr-FR"/>
        </w:rPr>
        <w:t>Groupe du Laocoön</w:t>
      </w:r>
      <w:r w:rsidRPr="246FBB6F">
        <w:rPr>
          <w:lang w:val="fr-FR"/>
        </w:rPr>
        <w:t xml:space="preserve"> en 1755 au vatican à Rome (exposée dans le Cortile del Belvedere). En 1764, dans son article « Histoire de l'art dans l'Antiquité », il décrit ses impressions et articule les différences entre l'art grec, l'art gréco-romain, et l'art romain (il a d'ailleurs indiqué dans un article précédent que l'art grec se distingue par une « noble simplicité et une grandeur tranquille, tant dans l’attitude que dans l’expression »). La sculpture, de style hellenistique pergamene baroque (Bieber 1961, Brilliant 2000), est reconnue être une copie, d'un original grec, effectuée entre 27 AEC et 68 EC à la suite d'une commande par un mécène romain. Johann Joachim Winckelmann, fils de Martin Winckelmann et de Anna-Maria Meyer, est né en 1717 [à Stendal (Allemagne)] et décédé en 1768 à Trieste (Italie).</w:t>
      </w:r>
    </w:p>
    <w:p w14:paraId="33621692" w14:textId="77777777" w:rsidR="0084489F" w:rsidRDefault="00110FE6">
      <w:pPr>
        <w:pStyle w:val="BodyText"/>
      </w:pPr>
      <w:r>
        <w:t>La figure 2 représente un graphe sémantique de ces évènements à l'aide des concepts du CIDOC CRM :</w:t>
      </w:r>
    </w:p>
    <w:p w14:paraId="55089AE8" w14:textId="77777777" w:rsidR="0084489F" w:rsidRDefault="00110FE6" w:rsidP="00806324">
      <w:pPr>
        <w:numPr>
          <w:ilvl w:val="0"/>
          <w:numId w:val="31"/>
        </w:numPr>
      </w:pPr>
      <w:r>
        <w:t>Les éléments entre parenthèses ne sont pas représentés dans le diagramme ci-dessous aux fins de clarté et de simplicité.</w:t>
      </w:r>
    </w:p>
    <w:p w14:paraId="462B9524" w14:textId="77777777" w:rsidR="0084489F" w:rsidRDefault="00110FE6" w:rsidP="00806324">
      <w:pPr>
        <w:numPr>
          <w:ilvl w:val="0"/>
          <w:numId w:val="31"/>
        </w:numPr>
      </w:pPr>
      <w:r>
        <w:t>Les instances de classes sont représentées par des libellés informatifs plutôt que par des identifiants, eux-mêmes surmontés des libellés de leurs classes précédés de leur code.</w:t>
      </w:r>
    </w:p>
    <w:p w14:paraId="11055E46" w14:textId="77777777" w:rsidR="0084489F" w:rsidRDefault="00110FE6" w:rsidP="00806324">
      <w:pPr>
        <w:numPr>
          <w:ilvl w:val="0"/>
          <w:numId w:val="31"/>
        </w:numPr>
      </w:pPr>
      <w:r>
        <w:t>Les propriétés sont représentées à l'aide de flèches auxquelles sont associés les libellés des propriétés en question.</w:t>
      </w:r>
    </w:p>
    <w:p w14:paraId="15FE4EE4" w14:textId="77777777" w:rsidR="0084489F" w:rsidRDefault="00110FE6" w:rsidP="00806324">
      <w:pPr>
        <w:numPr>
          <w:ilvl w:val="0"/>
          <w:numId w:val="31"/>
        </w:numPr>
      </w:pPr>
      <w:r>
        <w:t>Les identifiants entre parenthèses représentent les super-classes et super-propriétés de haut niveau illustrées dans la figure 1, et ce afin d'indiquer comment cette information aurait pu être représentée et faire l'objet de requêtes en utilisant un nombre limité de concepts (cela illustre aussi en quoi la spécialisation des classes et propriétés permet d'augmenter l'expressivité du modèle sans en perdre la généricité).</w:t>
      </w:r>
    </w:p>
    <w:p w14:paraId="582541CA" w14:textId="77777777" w:rsidR="0084489F" w:rsidRDefault="00110FE6" w:rsidP="00806324">
      <w:pPr>
        <w:numPr>
          <w:ilvl w:val="0"/>
          <w:numId w:val="31"/>
        </w:numPr>
      </w:pPr>
      <w:r w:rsidRPr="246FBB6F">
        <w:rPr>
          <w:lang w:val="fr-FR"/>
        </w:rPr>
        <w:t xml:space="preserve">La propriété de haut niveau </w:t>
      </w:r>
      <w:r w:rsidRPr="246FBB6F">
        <w:rPr>
          <w:rStyle w:val="VerbatimChar"/>
          <w:lang w:val="fr-FR"/>
        </w:rPr>
        <w:t>P67_renvoie_à (fait_l’objet_d’un_renvoi_par)</w:t>
      </w:r>
      <w:r w:rsidRPr="246FBB6F">
        <w:rPr>
          <w:lang w:val="fr-FR"/>
        </w:rPr>
        <w:t xml:space="preserve"> est aussi illustrée dans ce diagramme, celle-ci décrit un fait appuyé par des preuves qu'un objet informationnel (</w:t>
      </w:r>
      <w:r w:rsidRPr="246FBB6F">
        <w:rPr>
          <w:rStyle w:val="VerbatimChar"/>
          <w:lang w:val="fr-FR"/>
        </w:rPr>
        <w:t>E33_Objet_linguistique</w:t>
      </w:r>
      <w:r w:rsidRPr="246FBB6F">
        <w:rPr>
          <w:lang w:val="fr-FR"/>
        </w:rPr>
        <w:t>) réfère à une entité identifiable.</w:t>
      </w:r>
    </w:p>
    <w:p w14:paraId="2859CEBB" w14:textId="77777777" w:rsidR="0084489F" w:rsidRDefault="00110FE6">
      <w:pPr>
        <w:pStyle w:val="FirstParagraph"/>
      </w:pPr>
      <w:r w:rsidRPr="246FBB6F">
        <w:rPr>
          <w:lang w:val="fr-FR"/>
        </w:rPr>
        <w:t>Il est intéressant de noter que le transfert d'information depuis l'original grec, vers sa copie romaine, puis vers l'esprit de Winckelmann et finalement vers ses écrits ne peut être compris que par cette chaîne de rencontres entre des entités présentes à différentes occasions. Il faut aussi noter que le degré de véracité perçue d'un fait n'affecte pas le choix des concepts du CIDOC CRM utilisés pour représenter ce fait; il n'affecte pas non plus le concept de réalité qui sous-tend le modèle lui-même.</w:t>
      </w:r>
    </w:p>
    <w:p w14:paraId="185CA870" w14:textId="77777777" w:rsidR="0084489F" w:rsidRDefault="00110FE6">
      <w:pPr>
        <w:pStyle w:val="BodyText"/>
      </w:pPr>
      <w:r>
        <w:rPr>
          <w:noProof/>
        </w:rPr>
        <w:lastRenderedPageBreak/>
        <w:drawing>
          <wp:inline distT="0" distB="0" distL="0" distR="0" wp14:anchorId="4899FB0F" wp14:editId="56415A0C">
            <wp:extent cx="6858000" cy="5801672"/>
            <wp:effectExtent l="0" t="0" r="0" b="0"/>
            <wp:docPr id="115" name="Picture" descr="Un diagramme illustre les classes et propriétés servant à décrire une série d'évènements dans la vie de Joachim Winckelmann après qu'il ait vu l'oeuvre sculptée « Groupe du Laocoön ». Les évènements en question sont décrits ci-dessus. Une peinture représentant Joachim Winckelmann et une photographie représentant l'oeuvre sculptée « Groupe du Laocoön » sont insérées dans les rectangles illustrant les classes qui les représentent dans le diagramme. "/>
            <wp:cNvGraphicFramePr/>
            <a:graphic xmlns:a="http://schemas.openxmlformats.org/drawingml/2006/main">
              <a:graphicData uri="http://schemas.openxmlformats.org/drawingml/2006/picture">
                <pic:pic xmlns:pic="http://schemas.openxmlformats.org/drawingml/2006/picture">
                  <pic:nvPicPr>
                    <pic:cNvPr id="116" name="Picture" descr="/Users/trangdang/Documents/CHIN/Work/documentation/cidoc_crm_fr-ca/docs/v7.1.3/figures/Fig_2_FR.png"/>
                    <pic:cNvPicPr>
                      <a:picLocks noChangeAspect="1" noChangeArrowheads="1"/>
                    </pic:cNvPicPr>
                  </pic:nvPicPr>
                  <pic:blipFill>
                    <a:blip r:embed="rId144"/>
                    <a:stretch>
                      <a:fillRect/>
                    </a:stretch>
                  </pic:blipFill>
                  <pic:spPr bwMode="auto">
                    <a:xfrm>
                      <a:off x="0" y="0"/>
                      <a:ext cx="6858000" cy="5801672"/>
                    </a:xfrm>
                    <a:prstGeom prst="rect">
                      <a:avLst/>
                    </a:prstGeom>
                    <a:noFill/>
                    <a:ln w="9525">
                      <a:noFill/>
                      <a:headEnd/>
                      <a:tailEnd/>
                    </a:ln>
                  </pic:spPr>
                </pic:pic>
              </a:graphicData>
            </a:graphic>
          </wp:inline>
        </w:drawing>
      </w:r>
    </w:p>
    <w:p w14:paraId="35B6959F" w14:textId="77777777" w:rsidR="0084489F" w:rsidRPr="005B7697" w:rsidRDefault="00110FE6" w:rsidP="246FBB6F">
      <w:pPr>
        <w:pStyle w:val="BodyText"/>
        <w:rPr>
          <w:sz w:val="20"/>
          <w:szCs w:val="20"/>
          <w:lang w:val="fr-FR"/>
        </w:rPr>
      </w:pPr>
      <w:r w:rsidRPr="246FBB6F">
        <w:rPr>
          <w:i/>
          <w:iCs/>
          <w:sz w:val="20"/>
          <w:szCs w:val="20"/>
          <w:lang w:val="fr-FR"/>
        </w:rPr>
        <w:t>Figure 2 : Exemple d'encodage avec le</w:t>
      </w:r>
      <w:r w:rsidRPr="246FBB6F">
        <w:rPr>
          <w:sz w:val="20"/>
          <w:szCs w:val="20"/>
          <w:lang w:val="fr-FR"/>
        </w:rPr>
        <w:t xml:space="preserve"> </w:t>
      </w:r>
      <w:r w:rsidRPr="246FBB6F">
        <w:rPr>
          <w:i/>
          <w:iCs/>
          <w:sz w:val="20"/>
          <w:szCs w:val="20"/>
          <w:lang w:val="fr-FR"/>
        </w:rPr>
        <w:t>CIDOC CRM</w:t>
      </w:r>
      <w:r w:rsidRPr="246FBB6F">
        <w:rPr>
          <w:sz w:val="20"/>
          <w:szCs w:val="20"/>
          <w:lang w:val="fr-FR"/>
        </w:rPr>
        <w:t xml:space="preserve"> </w:t>
      </w:r>
      <w:r w:rsidRPr="246FBB6F">
        <w:rPr>
          <w:i/>
          <w:iCs/>
          <w:sz w:val="20"/>
          <w:szCs w:val="20"/>
          <w:lang w:val="fr-FR"/>
        </w:rPr>
        <w:t>(Winckelmann voyant le</w:t>
      </w:r>
      <w:r w:rsidRPr="246FBB6F">
        <w:rPr>
          <w:sz w:val="20"/>
          <w:szCs w:val="20"/>
          <w:lang w:val="fr-FR"/>
        </w:rPr>
        <w:t xml:space="preserve"> Laocoön</w:t>
      </w:r>
      <w:r w:rsidRPr="246FBB6F">
        <w:rPr>
          <w:i/>
          <w:iCs/>
          <w:sz w:val="20"/>
          <w:szCs w:val="20"/>
          <w:lang w:val="fr-FR"/>
        </w:rPr>
        <w:t>)</w:t>
      </w:r>
    </w:p>
    <w:p w14:paraId="3896D2CC" w14:textId="3A57526B" w:rsidR="0084489F" w:rsidRPr="005B7697" w:rsidRDefault="00110FE6">
      <w:pPr>
        <w:pStyle w:val="BodyText"/>
        <w:rPr>
          <w:sz w:val="20"/>
          <w:szCs w:val="20"/>
        </w:rPr>
      </w:pPr>
      <w:r w:rsidRPr="005B7697">
        <w:rPr>
          <w:i/>
          <w:iCs/>
          <w:sz w:val="20"/>
          <w:szCs w:val="20"/>
        </w:rPr>
        <w:t>Mention de source des figures :</w:t>
      </w:r>
    </w:p>
    <w:p w14:paraId="0D21B461" w14:textId="77777777" w:rsidR="0084489F" w:rsidRPr="005B7697" w:rsidRDefault="00110FE6" w:rsidP="00806324">
      <w:pPr>
        <w:pStyle w:val="ListParagraph"/>
        <w:numPr>
          <w:ilvl w:val="0"/>
          <w:numId w:val="309"/>
        </w:numPr>
        <w:rPr>
          <w:sz w:val="20"/>
          <w:szCs w:val="20"/>
        </w:rPr>
      </w:pPr>
      <w:r w:rsidRPr="005B7697">
        <w:rPr>
          <w:i/>
          <w:iCs/>
          <w:sz w:val="20"/>
          <w:szCs w:val="20"/>
        </w:rPr>
        <w:t>Bibliothèques logicielles diagrams.net</w:t>
      </w:r>
      <w:r w:rsidRPr="005B7697">
        <w:rPr>
          <w:sz w:val="20"/>
          <w:szCs w:val="20"/>
        </w:rPr>
        <w:t>, © Réseau canadien d'information sur le patrimoine 2024</w:t>
      </w:r>
    </w:p>
    <w:p w14:paraId="61119FAA" w14:textId="77777777" w:rsidR="0084489F" w:rsidRPr="005B7697" w:rsidRDefault="00110FE6" w:rsidP="00806324">
      <w:pPr>
        <w:pStyle w:val="ListParagraph"/>
        <w:numPr>
          <w:ilvl w:val="0"/>
          <w:numId w:val="309"/>
        </w:numPr>
        <w:rPr>
          <w:sz w:val="20"/>
          <w:szCs w:val="20"/>
          <w:lang w:val="en-CA"/>
        </w:rPr>
      </w:pPr>
      <w:r w:rsidRPr="005B7697">
        <w:rPr>
          <w:i/>
          <w:iCs/>
          <w:sz w:val="20"/>
          <w:szCs w:val="20"/>
          <w:lang w:val="en-CA"/>
        </w:rPr>
        <w:t>Johann Joachim Winckelmann</w:t>
      </w:r>
      <w:r w:rsidRPr="005B7697">
        <w:rPr>
          <w:sz w:val="20"/>
          <w:szCs w:val="20"/>
          <w:lang w:val="en-CA"/>
        </w:rPr>
        <w:t>, © Wikimedia Commons CC BY-SA 4.0</w:t>
      </w:r>
    </w:p>
    <w:p w14:paraId="7C271FF6" w14:textId="77777777" w:rsidR="0084489F" w:rsidRPr="005B7697" w:rsidRDefault="00110FE6" w:rsidP="00806324">
      <w:pPr>
        <w:pStyle w:val="ListParagraph"/>
        <w:numPr>
          <w:ilvl w:val="0"/>
          <w:numId w:val="309"/>
        </w:numPr>
        <w:rPr>
          <w:sz w:val="20"/>
          <w:szCs w:val="20"/>
          <w:lang w:val="en-CA"/>
        </w:rPr>
      </w:pPr>
      <w:r w:rsidRPr="005B7697">
        <w:rPr>
          <w:i/>
          <w:iCs/>
          <w:sz w:val="20"/>
          <w:szCs w:val="20"/>
          <w:lang w:val="en-CA"/>
        </w:rPr>
        <w:t>Laocoön</w:t>
      </w:r>
      <w:r w:rsidRPr="005B7697">
        <w:rPr>
          <w:sz w:val="20"/>
          <w:szCs w:val="20"/>
          <w:lang w:val="en-CA"/>
        </w:rPr>
        <w:t>, © Wikimedia Commons CC BY-SA 4.0</w:t>
      </w:r>
    </w:p>
    <w:p w14:paraId="04020D18" w14:textId="77777777" w:rsidR="0084489F" w:rsidRDefault="00110FE6">
      <w:pPr>
        <w:pStyle w:val="FirstParagraph"/>
      </w:pPr>
      <w:r w:rsidRPr="246FBB6F">
        <w:rPr>
          <w:lang w:val="fr-FR"/>
        </w:rPr>
        <w:t xml:space="preserve">La figure 2 représente aussi une propriété de haut niveau du CIDOC CRM soit </w:t>
      </w:r>
      <w:r w:rsidRPr="246FBB6F">
        <w:rPr>
          <w:rStyle w:val="VerbatimChar"/>
          <w:lang w:val="fr-FR"/>
        </w:rPr>
        <w:t>P67_renvoie_à (fait_l’objet_d’un_renvoi_par)</w:t>
      </w:r>
      <w:r w:rsidRPr="246FBB6F">
        <w:rPr>
          <w:lang w:val="fr-FR"/>
        </w:rPr>
        <w:t xml:space="preserve"> qui décrit un fait fondé sur des preuves [n.d.t. (</w:t>
      </w:r>
      <w:r w:rsidRPr="246FBB6F">
        <w:rPr>
          <w:i/>
          <w:iCs/>
          <w:lang w:val="fr-FR"/>
        </w:rPr>
        <w:t>Laocoön</w:t>
      </w:r>
      <w:r w:rsidRPr="246FBB6F">
        <w:rPr>
          <w:lang w:val="fr-FR"/>
        </w:rPr>
        <w:t>)] auquel un objet informationnel (</w:t>
      </w:r>
      <w:r w:rsidRPr="246FBB6F">
        <w:rPr>
          <w:rStyle w:val="VerbatimChar"/>
          <w:lang w:val="fr-FR"/>
        </w:rPr>
        <w:t>E73_Objet_informationnel</w:t>
      </w:r>
      <w:r w:rsidRPr="246FBB6F">
        <w:rPr>
          <w:lang w:val="fr-FR"/>
        </w:rPr>
        <w:t>) fait référence [n.d.t. (« Histoire de l'art dans l'Antiquité »)].</w:t>
      </w:r>
    </w:p>
    <w:p w14:paraId="5DBCF469" w14:textId="77777777" w:rsidR="0084489F" w:rsidRDefault="00110FE6">
      <w:pPr>
        <w:pStyle w:val="BodyText"/>
      </w:pPr>
      <w:r>
        <w:t xml:space="preserve">Tel que mentionné plus haut, le concept central du CIDOC CRM est la représentation d'une part de la réalité qui peut être représentée approximativement par un réseau de choses se rencontrant selon des combinaisons variées à travers le temps et l'espace. La figure 3 reprend l'exemple ci-haut afin de représenter symboliquement ce concept de « rencontre ». Ce diagramme a pour objectif d'illustrer comment par le passé les personnes et les choses ont performé des trajectoires dans l'espace et dans le temps qui sont en grande partie inconnues. Néanmoins, les faits historiques connus indiquent des intervalles temporels limités lors desquels les trajectoires de ces personnes et de ces choses se sont </w:t>
      </w:r>
      <w:r>
        <w:lastRenderedPageBreak/>
        <w:t>croisées à des lieux connus ou inconnus, ce qui permet de contraindre les hypothèses quant à leur présence.</w:t>
      </w:r>
    </w:p>
    <w:p w14:paraId="34F93DCE" w14:textId="77777777" w:rsidR="0084489F" w:rsidRDefault="00110FE6">
      <w:pPr>
        <w:pStyle w:val="BodyText"/>
      </w:pPr>
      <w:r>
        <w:t>Le CIDOC CRM fait usage d'un axe temporel vertical et d'une représentation unidimensionnelle de l'espace telle qu'elle est utilisée en archéologie afin de décrire l'évolution à travers le temps de périodes ou de cultures.</w:t>
      </w:r>
    </w:p>
    <w:p w14:paraId="58C4E39F" w14:textId="77777777" w:rsidR="0084489F" w:rsidRDefault="00110FE6">
      <w:pPr>
        <w:pStyle w:val="BodyText"/>
      </w:pPr>
      <w:r>
        <w:t>La figure 3 offre un aperçu du système relationnel spatial et temporel du CIDOC CRM.</w:t>
      </w:r>
    </w:p>
    <w:p w14:paraId="145D3829" w14:textId="77777777" w:rsidR="0084489F" w:rsidRDefault="00110FE6" w:rsidP="00806324">
      <w:pPr>
        <w:numPr>
          <w:ilvl w:val="0"/>
          <w:numId w:val="32"/>
        </w:numPr>
      </w:pPr>
      <w:r>
        <w:t>La trajectoire des personnes et des choses est symbolisée par des lignes reliant les évènements et dotées d'une ombre afin d'illustrer leur indétermination et leur nature floue.</w:t>
      </w:r>
    </w:p>
    <w:p w14:paraId="574037DD" w14:textId="77777777" w:rsidR="0084489F" w:rsidRDefault="00110FE6" w:rsidP="00806324">
      <w:pPr>
        <w:numPr>
          <w:ilvl w:val="0"/>
          <w:numId w:val="32"/>
        </w:numPr>
      </w:pPr>
      <w:r>
        <w:t>Les trajectoires des personnes, capables de se mouvoir de leur propre volition, sont illustrées par des flèches pleines.</w:t>
      </w:r>
    </w:p>
    <w:p w14:paraId="55ABF140" w14:textId="77777777" w:rsidR="0084489F" w:rsidRDefault="00110FE6" w:rsidP="00806324">
      <w:pPr>
        <w:numPr>
          <w:ilvl w:val="0"/>
          <w:numId w:val="32"/>
        </w:numPr>
      </w:pPr>
      <w:r>
        <w:t>Les trajectoires des choses inanimées, incapables de se mouvoir de leur propre volition, sont illustrées par des flèches pointillées.</w:t>
      </w:r>
    </w:p>
    <w:p w14:paraId="40530788" w14:textId="77777777" w:rsidR="0084489F" w:rsidRDefault="00110FE6" w:rsidP="00806324">
      <w:pPr>
        <w:numPr>
          <w:ilvl w:val="0"/>
          <w:numId w:val="32"/>
        </w:numPr>
      </w:pPr>
      <w:r>
        <w:t>Les évènements, dont la nature spatiale et temporelle est floue, sont représentés dans des bulles à l'effet glacé.</w:t>
      </w:r>
    </w:p>
    <w:p w14:paraId="4C54B9BB" w14:textId="77777777" w:rsidR="0084489F" w:rsidRDefault="00110FE6" w:rsidP="00806324">
      <w:pPr>
        <w:numPr>
          <w:ilvl w:val="0"/>
          <w:numId w:val="32"/>
        </w:numPr>
      </w:pPr>
      <w:r>
        <w:t>Dans le contexte de cette illustration qui représente un patron général, les choses peuvent « survivre » aux évènements, en émerger, ou s'y éteindre.</w:t>
      </w:r>
    </w:p>
    <w:p w14:paraId="69662627" w14:textId="77777777" w:rsidR="0084489F" w:rsidRDefault="00110FE6" w:rsidP="00806324">
      <w:pPr>
        <w:numPr>
          <w:ilvl w:val="0"/>
          <w:numId w:val="32"/>
        </w:numPr>
      </w:pPr>
      <w:r>
        <w:t>Le début et la fin de l'existence imposent des contraintes temporelles additionnelles aux évènements de nature causale interreliés dans cet exemple, ce qui peut parfois être plus signifiant que l'usage de dates explicites.</w:t>
      </w:r>
    </w:p>
    <w:p w14:paraId="0ED2A39A" w14:textId="77777777" w:rsidR="0084489F" w:rsidRDefault="00110FE6" w:rsidP="00806324">
      <w:pPr>
        <w:numPr>
          <w:ilvl w:val="0"/>
          <w:numId w:val="32"/>
        </w:numPr>
      </w:pPr>
      <w:r>
        <w:t>Les fins d'existence non recensées de personnes et de choses, ces fins étant elles aussi des évènements, sont illustrées par la présence d'un point à la fin de leur trajectoire, elle-même représentée par une flèche.</w:t>
      </w:r>
    </w:p>
    <w:p w14:paraId="41DB00F8" w14:textId="77777777" w:rsidR="0084489F" w:rsidRDefault="00110FE6">
      <w:pPr>
        <w:pStyle w:val="FirstParagraph"/>
      </w:pPr>
      <w:r>
        <w:t>Ce système constitue un outil important pour la documentation du passé et possède une certaine complexité qui doit sommairement être comprise.</w:t>
      </w:r>
    </w:p>
    <w:p w14:paraId="09C10283" w14:textId="77777777" w:rsidR="0084489F" w:rsidRDefault="00110FE6">
      <w:pPr>
        <w:pStyle w:val="BodyText"/>
      </w:pPr>
      <w:r>
        <w:rPr>
          <w:noProof/>
        </w:rPr>
        <w:lastRenderedPageBreak/>
        <w:drawing>
          <wp:inline distT="0" distB="0" distL="0" distR="0" wp14:anchorId="242851E8" wp14:editId="39DAF910">
            <wp:extent cx="6858000" cy="4379204"/>
            <wp:effectExtent l="0" t="0" r="0" b="0"/>
            <wp:docPr id="118" name="Picture" descr="Un diagramme illustre le système relationnel spatial et temporel du CIDOC CRM en reprenant l'exemple de Joachim Winckelmann présenté plus haut. Il est composé de flèches et de pictogrammes illustrant des trajectoires dans l'espace (axe des X ou horizontal) et dans le temps (axe des Y ou vertical). Les trajectoires sont décrites ci-dessous."/>
            <wp:cNvGraphicFramePr/>
            <a:graphic xmlns:a="http://schemas.openxmlformats.org/drawingml/2006/main">
              <a:graphicData uri="http://schemas.openxmlformats.org/drawingml/2006/picture">
                <pic:pic xmlns:pic="http://schemas.openxmlformats.org/drawingml/2006/picture">
                  <pic:nvPicPr>
                    <pic:cNvPr id="119" name="Picture" descr="/Users/trangdang/Documents/CHIN/Work/documentation/cidoc_crm_fr-ca/docs/v7.1.3/figures/Fig_3_FR.png"/>
                    <pic:cNvPicPr>
                      <a:picLocks noChangeAspect="1" noChangeArrowheads="1"/>
                    </pic:cNvPicPr>
                  </pic:nvPicPr>
                  <pic:blipFill>
                    <a:blip r:embed="rId145"/>
                    <a:stretch>
                      <a:fillRect/>
                    </a:stretch>
                  </pic:blipFill>
                  <pic:spPr bwMode="auto">
                    <a:xfrm>
                      <a:off x="0" y="0"/>
                      <a:ext cx="6858000" cy="4379204"/>
                    </a:xfrm>
                    <a:prstGeom prst="rect">
                      <a:avLst/>
                    </a:prstGeom>
                    <a:noFill/>
                    <a:ln w="9525">
                      <a:noFill/>
                      <a:headEnd/>
                      <a:tailEnd/>
                    </a:ln>
                  </pic:spPr>
                </pic:pic>
              </a:graphicData>
            </a:graphic>
          </wp:inline>
        </w:drawing>
      </w:r>
    </w:p>
    <w:p w14:paraId="4C8A1BF4" w14:textId="77777777" w:rsidR="0084489F" w:rsidRPr="00DE210E" w:rsidRDefault="00110FE6" w:rsidP="246FBB6F">
      <w:pPr>
        <w:pStyle w:val="BodyText"/>
        <w:rPr>
          <w:sz w:val="20"/>
          <w:szCs w:val="20"/>
          <w:lang w:val="fr-FR"/>
        </w:rPr>
      </w:pPr>
      <w:r w:rsidRPr="246FBB6F">
        <w:rPr>
          <w:i/>
          <w:iCs/>
          <w:sz w:val="20"/>
          <w:szCs w:val="20"/>
          <w:lang w:val="fr-FR"/>
        </w:rPr>
        <w:t>Figure 3 : Représentation symbolique de « Winckelmann voyant le Laocoön » en tant qu'évolution dans le temps et l'espace</w:t>
      </w:r>
    </w:p>
    <w:p w14:paraId="695F3A9A" w14:textId="77777777" w:rsidR="0084489F" w:rsidRPr="00DE210E" w:rsidRDefault="00110FE6">
      <w:pPr>
        <w:pStyle w:val="BodyText"/>
        <w:rPr>
          <w:sz w:val="20"/>
          <w:szCs w:val="20"/>
        </w:rPr>
      </w:pPr>
      <w:r w:rsidRPr="00DE210E">
        <w:rPr>
          <w:i/>
          <w:iCs/>
          <w:sz w:val="20"/>
          <w:szCs w:val="20"/>
        </w:rPr>
        <w:t>Mentions de source des figures :</w:t>
      </w:r>
    </w:p>
    <w:p w14:paraId="0558136B" w14:textId="77777777" w:rsidR="0084489F" w:rsidRPr="00DE210E" w:rsidRDefault="00110FE6" w:rsidP="00806324">
      <w:pPr>
        <w:numPr>
          <w:ilvl w:val="0"/>
          <w:numId w:val="33"/>
        </w:numPr>
        <w:spacing w:after="0"/>
        <w:rPr>
          <w:sz w:val="20"/>
          <w:szCs w:val="20"/>
        </w:rPr>
      </w:pPr>
      <w:r w:rsidRPr="00DE210E">
        <w:rPr>
          <w:i/>
          <w:iCs/>
          <w:sz w:val="20"/>
          <w:szCs w:val="20"/>
        </w:rPr>
        <w:t>Bibliothèques logicielles diagrams.net</w:t>
      </w:r>
      <w:r w:rsidRPr="00DE210E">
        <w:rPr>
          <w:sz w:val="20"/>
          <w:szCs w:val="20"/>
        </w:rPr>
        <w:t>, © Réseau canadien d'information sur le patrimoine 2024</w:t>
      </w:r>
    </w:p>
    <w:p w14:paraId="1EEDB1CF" w14:textId="77777777" w:rsidR="0084489F" w:rsidRPr="00DE210E" w:rsidRDefault="00110FE6" w:rsidP="00806324">
      <w:pPr>
        <w:numPr>
          <w:ilvl w:val="0"/>
          <w:numId w:val="33"/>
        </w:numPr>
        <w:spacing w:after="0"/>
        <w:rPr>
          <w:sz w:val="20"/>
          <w:szCs w:val="20"/>
          <w:lang w:val="fr-FR"/>
        </w:rPr>
      </w:pPr>
      <w:r w:rsidRPr="246FBB6F">
        <w:rPr>
          <w:sz w:val="20"/>
          <w:szCs w:val="20"/>
          <w:lang w:val="fr-FR"/>
        </w:rPr>
        <w:t>Icônes de statues par Smashicons - Flaticon, © Freepik Company S.L. 2022</w:t>
      </w:r>
    </w:p>
    <w:p w14:paraId="1FCB260C" w14:textId="77777777" w:rsidR="0084489F" w:rsidRPr="00DE210E" w:rsidRDefault="00110FE6" w:rsidP="00806324">
      <w:pPr>
        <w:numPr>
          <w:ilvl w:val="0"/>
          <w:numId w:val="33"/>
        </w:numPr>
        <w:spacing w:after="0"/>
        <w:rPr>
          <w:sz w:val="20"/>
          <w:szCs w:val="20"/>
          <w:lang w:val="fr-FR"/>
        </w:rPr>
      </w:pPr>
      <w:r w:rsidRPr="246FBB6F">
        <w:rPr>
          <w:sz w:val="20"/>
          <w:szCs w:val="20"/>
          <w:lang w:val="fr-FR"/>
        </w:rPr>
        <w:t>Icône du créateur romain inconnu par Freepik - Flaticon, © Freepik Company S.L. 2022</w:t>
      </w:r>
    </w:p>
    <w:p w14:paraId="4F7F57A6" w14:textId="77777777" w:rsidR="0084489F" w:rsidRPr="00DE210E" w:rsidRDefault="00110FE6" w:rsidP="00806324">
      <w:pPr>
        <w:numPr>
          <w:ilvl w:val="0"/>
          <w:numId w:val="33"/>
        </w:numPr>
        <w:spacing w:after="0"/>
        <w:rPr>
          <w:sz w:val="20"/>
          <w:szCs w:val="20"/>
          <w:lang w:val="en-CA"/>
        </w:rPr>
      </w:pPr>
      <w:r w:rsidRPr="00DE210E">
        <w:rPr>
          <w:sz w:val="20"/>
          <w:szCs w:val="20"/>
          <w:lang w:val="en-CA"/>
        </w:rPr>
        <w:t>Icône de Winckelmann par Freepik - Flaticon, © Freepik Company S.L. 2022</w:t>
      </w:r>
    </w:p>
    <w:p w14:paraId="63526B78" w14:textId="77777777" w:rsidR="0084489F" w:rsidRPr="00DE210E" w:rsidRDefault="00110FE6" w:rsidP="00806324">
      <w:pPr>
        <w:numPr>
          <w:ilvl w:val="0"/>
          <w:numId w:val="33"/>
        </w:numPr>
        <w:rPr>
          <w:sz w:val="20"/>
          <w:szCs w:val="20"/>
          <w:lang w:val="fr-FR"/>
        </w:rPr>
      </w:pPr>
      <w:r w:rsidRPr="246FBB6F">
        <w:rPr>
          <w:sz w:val="20"/>
          <w:szCs w:val="20"/>
          <w:lang w:val="fr-FR"/>
        </w:rPr>
        <w:t>Icône de la mère de Winckelmann par max.icons - Flaticon, © Freepik Company S.L. 2022</w:t>
      </w:r>
    </w:p>
    <w:p w14:paraId="6BF1D792" w14:textId="6AA12D60" w:rsidR="0084489F" w:rsidRDefault="00110FE6">
      <w:pPr>
        <w:pStyle w:val="FirstParagraph"/>
      </w:pPr>
      <w:r>
        <w:t xml:space="preserve">Les sections suivantes présentent un aperçu du système de relations spatiales et temporelles du CIDOC CRM, car ce dernier constitue un outil important pour une documentation précise du passé. La nature complexe de ce système de relations explique la nécessité de l'examiner davantage dans le cadre de la présente synthèse. </w:t>
      </w:r>
    </w:p>
    <w:p w14:paraId="37E7FB58" w14:textId="77777777" w:rsidR="0084489F" w:rsidRDefault="00110FE6">
      <w:pPr>
        <w:pStyle w:val="BlockText"/>
      </w:pPr>
      <w:r>
        <w:rPr>
          <w:b/>
          <w:bCs/>
          <w:i/>
          <w:iCs/>
        </w:rPr>
        <w:t>Note de traduction</w:t>
      </w:r>
    </w:p>
    <w:p w14:paraId="59A229D2" w14:textId="77777777" w:rsidR="0084489F" w:rsidRDefault="00110FE6">
      <w:pPr>
        <w:pStyle w:val="BlockText"/>
      </w:pPr>
      <w:r w:rsidRPr="246FBB6F">
        <w:rPr>
          <w:lang w:val="fr-FR"/>
        </w:rPr>
        <w:t>Les auteurs mentionnent les « </w:t>
      </w:r>
      <w:r w:rsidRPr="246FBB6F">
        <w:rPr>
          <w:i/>
          <w:iCs/>
          <w:lang w:val="fr-FR"/>
        </w:rPr>
        <w:t>termini postquos and antequos</w:t>
      </w:r>
      <w:r w:rsidRPr="246FBB6F">
        <w:rPr>
          <w:lang w:val="fr-FR"/>
        </w:rPr>
        <w:t xml:space="preserve"> » qui réfèrent aux concepts de </w:t>
      </w:r>
      <w:r w:rsidRPr="246FBB6F">
        <w:rPr>
          <w:i/>
          <w:iCs/>
          <w:lang w:val="fr-FR"/>
        </w:rPr>
        <w:t>terminus ante quem</w:t>
      </w:r>
      <w:r w:rsidRPr="246FBB6F">
        <w:rPr>
          <w:lang w:val="fr-FR"/>
        </w:rPr>
        <w:t xml:space="preserve"> (c.-à-d. « date avant laquelle », qui signale la date avant laquelle un événement s'est nécessairement produit) et de </w:t>
      </w:r>
      <w:r w:rsidRPr="246FBB6F">
        <w:rPr>
          <w:i/>
          <w:iCs/>
          <w:lang w:val="fr-FR"/>
        </w:rPr>
        <w:t>terminus post quem</w:t>
      </w:r>
      <w:r w:rsidRPr="246FBB6F">
        <w:rPr>
          <w:lang w:val="fr-FR"/>
        </w:rPr>
        <w:t xml:space="preserve"> (c.-à-d. « date à partir de laquelle », qui signale la date à partir de laquelle un événement s'est nécessairement produit).</w:t>
      </w:r>
    </w:p>
    <w:p w14:paraId="3D2B48BD" w14:textId="77777777" w:rsidR="0084489F" w:rsidRDefault="00110FE6">
      <w:pPr>
        <w:pStyle w:val="BlockText"/>
      </w:pPr>
      <w:r w:rsidRPr="246FBB6F">
        <w:rPr>
          <w:lang w:val="fr-FR"/>
        </w:rPr>
        <w:t xml:space="preserve">La traduction de la citation de Wincklemann « noble simplicity, silent grandeur » (« noble simplicité et une grandeur tranquille, tant dans l’attitude que dans l’expression ») est issue de la traduction par Laure Cahen-Maurel de </w:t>
      </w:r>
      <w:r w:rsidRPr="246FBB6F">
        <w:rPr>
          <w:i/>
          <w:iCs/>
          <w:lang w:val="fr-FR"/>
        </w:rPr>
        <w:t>Pensées sur l’imitation des œuvres grecques en peinture et en sculpture</w:t>
      </w:r>
      <w:r w:rsidRPr="246FBB6F">
        <w:rPr>
          <w:lang w:val="fr-FR"/>
        </w:rPr>
        <w:t>, où Winckelmann utilise cette expression dès 1755.</w:t>
      </w:r>
    </w:p>
    <w:p w14:paraId="40924045" w14:textId="77777777" w:rsidR="0084489F" w:rsidRPr="008C0D99" w:rsidRDefault="00110FE6">
      <w:pPr>
        <w:pStyle w:val="BlockText"/>
        <w:rPr>
          <w:lang w:val="en-CA"/>
        </w:rPr>
      </w:pPr>
      <w:r w:rsidRPr="008C0D99">
        <w:rPr>
          <w:lang w:val="en-CA"/>
        </w:rPr>
        <w:t>Après consultation de la figure 3 à laquelle le texte fait référence, la phrase « Non-animate things use to be stationary if not transferred, whereas people may move around on their own » a été interprétée de la manière suivante : « Non-animate things use dotted lines to illustrate they are stationary if not transferred, whereas people may move around on their own and are using full lines ».</w:t>
      </w:r>
    </w:p>
    <w:p w14:paraId="45B86717" w14:textId="77777777" w:rsidR="0084489F" w:rsidRDefault="00110FE6">
      <w:pPr>
        <w:pStyle w:val="BlockText"/>
      </w:pPr>
      <w:r>
        <w:rPr>
          <w:b/>
          <w:bCs/>
          <w:i/>
          <w:iCs/>
        </w:rPr>
        <w:lastRenderedPageBreak/>
        <w:t>Références</w:t>
      </w:r>
    </w:p>
    <w:p w14:paraId="4E57B6E5" w14:textId="77777777" w:rsidR="0084489F" w:rsidRDefault="00110FE6">
      <w:pPr>
        <w:pStyle w:val="BlockText"/>
      </w:pPr>
      <w:r w:rsidRPr="246FBB6F">
        <w:rPr>
          <w:lang w:val="fr-FR"/>
        </w:rPr>
        <w:t xml:space="preserve">Winckelmann, Johann Joachim. </w:t>
      </w:r>
      <w:r w:rsidRPr="246FBB6F">
        <w:rPr>
          <w:i/>
          <w:iCs/>
          <w:lang w:val="fr-FR"/>
        </w:rPr>
        <w:t>Pensées sur l’imitation des œuvres grecques en peinture et en sculpture</w:t>
      </w:r>
      <w:r w:rsidRPr="246FBB6F">
        <w:rPr>
          <w:lang w:val="fr-FR"/>
        </w:rPr>
        <w:t>. Traduit par Laure Cahen-Maurel. Le dix-huitième siècle – entre les lumières et l’incendie. 1755. Réimpression, Paris, FR-IDF: Allia, 2005.</w:t>
      </w:r>
      <w:hyperlink r:id="rId146">
        <w:r w:rsidRPr="246FBB6F">
          <w:rPr>
            <w:rStyle w:val="Hyperlink"/>
            <w:lang w:val="fr-FR"/>
          </w:rPr>
          <w:t xml:space="preserve"> </w:t>
        </w:r>
      </w:hyperlink>
      <w:hyperlink r:id="rId147">
        <w:r w:rsidRPr="246FBB6F">
          <w:rPr>
            <w:rStyle w:val="Hyperlink"/>
            <w:lang w:val="fr-FR"/>
          </w:rPr>
          <w:t>https://www.editions-allia.com/fr/livre/91/pensees-sur-limitation-des-uvres-grecques-en-peinture-et-en-sculpture</w:t>
        </w:r>
      </w:hyperlink>
      <w:r w:rsidRPr="246FBB6F">
        <w:rPr>
          <w:lang w:val="fr-FR"/>
        </w:rPr>
        <w:t>.</w:t>
      </w:r>
    </w:p>
    <w:p w14:paraId="16104B5B" w14:textId="77777777" w:rsidR="0084489F" w:rsidRDefault="00110FE6">
      <w:pPr>
        <w:pStyle w:val="Heading3"/>
      </w:pPr>
      <w:bookmarkStart w:id="80" w:name="_Toc176864424"/>
      <w:bookmarkStart w:id="81" w:name="des-relations-spatiales"/>
      <w:r>
        <w:t>Des relations spatiales</w:t>
      </w:r>
      <w:bookmarkEnd w:id="80"/>
    </w:p>
    <w:p w14:paraId="0A27A593" w14:textId="77777777" w:rsidR="0084489F" w:rsidRDefault="00110FE6">
      <w:pPr>
        <w:pStyle w:val="FirstParagraph"/>
      </w:pPr>
      <w:r>
        <w:t xml:space="preserve">L'un des axes centraux de la recherche historique et documentaire est le positionnement dans l'espace de ce qui s'est produit ainsi que des entités impliquées, de même que le raisonnement logique associé à ces relations spatiales. La classe essentielle à la modélisation de cette information dans le CIDOC CRM est </w:t>
      </w:r>
      <w:r>
        <w:rPr>
          <w:rStyle w:val="VerbatimChar"/>
        </w:rPr>
        <w:t>E53_Lieu</w:t>
      </w:r>
      <w:r>
        <w:t xml:space="preserve">. Cette dernière est utilisée pour documenter des étendues géométriques dans un espace physique contenant des positions réelles ou possibles de choses ou d'évènements. Les classes et propriétés de haut niveau associées à </w:t>
      </w:r>
      <w:r>
        <w:rPr>
          <w:rStyle w:val="VerbatimChar"/>
        </w:rPr>
        <w:t>E53_Lieu</w:t>
      </w:r>
      <w:r>
        <w:t xml:space="preserve"> permettent de documenter :</w:t>
      </w:r>
    </w:p>
    <w:p w14:paraId="2E079EC4" w14:textId="77777777" w:rsidR="0084489F" w:rsidRDefault="00110FE6" w:rsidP="00806324">
      <w:pPr>
        <w:numPr>
          <w:ilvl w:val="0"/>
          <w:numId w:val="34"/>
        </w:numPr>
      </w:pPr>
      <w:r w:rsidRPr="246FBB6F">
        <w:rPr>
          <w:lang w:val="fr-FR"/>
        </w:rPr>
        <w:t>les relations entre des lieux;</w:t>
      </w:r>
    </w:p>
    <w:p w14:paraId="75629F0A" w14:textId="77777777" w:rsidR="0084489F" w:rsidRDefault="00110FE6" w:rsidP="00806324">
      <w:pPr>
        <w:numPr>
          <w:ilvl w:val="0"/>
          <w:numId w:val="34"/>
        </w:numPr>
      </w:pPr>
      <w:r w:rsidRPr="246FBB6F">
        <w:rPr>
          <w:lang w:val="fr-FR"/>
        </w:rPr>
        <w:t>les expressions géométriques définissant ou approximant un lieu ainsi que de documenter la fonction sémantique de ces expressions;</w:t>
      </w:r>
    </w:p>
    <w:p w14:paraId="637C3AAB" w14:textId="77777777" w:rsidR="0084489F" w:rsidRDefault="00110FE6" w:rsidP="00806324">
      <w:pPr>
        <w:numPr>
          <w:ilvl w:val="0"/>
          <w:numId w:val="34"/>
        </w:numPr>
      </w:pPr>
      <w:r w:rsidRPr="246FBB6F">
        <w:rPr>
          <w:lang w:val="fr-FR"/>
        </w:rPr>
        <w:t>l'historiques des localisations d'un objet physique (traçage);</w:t>
      </w:r>
    </w:p>
    <w:p w14:paraId="2FE38BA9" w14:textId="77777777" w:rsidR="0084489F" w:rsidRDefault="00110FE6" w:rsidP="00806324">
      <w:pPr>
        <w:numPr>
          <w:ilvl w:val="0"/>
          <w:numId w:val="34"/>
        </w:numPr>
      </w:pPr>
      <w:r w:rsidRPr="246FBB6F">
        <w:rPr>
          <w:lang w:val="fr-FR"/>
        </w:rPr>
        <w:t>l'historiques des localisations d'un individu ou d'un groupe;</w:t>
      </w:r>
    </w:p>
    <w:p w14:paraId="4771AE8E" w14:textId="77777777" w:rsidR="0084489F" w:rsidRDefault="00110FE6" w:rsidP="00806324">
      <w:pPr>
        <w:numPr>
          <w:ilvl w:val="0"/>
          <w:numId w:val="34"/>
        </w:numPr>
      </w:pPr>
      <w:r w:rsidRPr="246FBB6F">
        <w:rPr>
          <w:lang w:val="fr-FR"/>
        </w:rPr>
        <w:t>les lieux situés sur un objet physique;</w:t>
      </w:r>
    </w:p>
    <w:p w14:paraId="6F426775" w14:textId="77777777" w:rsidR="0084489F" w:rsidRDefault="00110FE6" w:rsidP="00806324">
      <w:pPr>
        <w:numPr>
          <w:ilvl w:val="0"/>
          <w:numId w:val="34"/>
        </w:numPr>
      </w:pPr>
      <w:r w:rsidRPr="246FBB6F">
        <w:rPr>
          <w:lang w:val="fr-FR"/>
        </w:rPr>
        <w:t>les étendues spatiales de certaines entités temporelles.</w:t>
      </w:r>
    </w:p>
    <w:p w14:paraId="6187E698" w14:textId="77777777" w:rsidR="0084489F" w:rsidRDefault="00110FE6">
      <w:pPr>
        <w:pStyle w:val="FirstParagraph"/>
      </w:pPr>
      <w:r>
        <w:t>Les expressions géométriques des lieux :</w:t>
      </w:r>
    </w:p>
    <w:p w14:paraId="35A62F0F" w14:textId="77777777" w:rsidR="0084489F" w:rsidRDefault="00110FE6">
      <w:pPr>
        <w:pStyle w:val="BodyText"/>
      </w:pPr>
      <w:r>
        <w:t>La documentation contemporaine d'information spatiale bénéficie, d'une part, d'équipements spécialisés pour le recensement précis de lieux et, d'autre part, de bibliothèques d'informations géoréférencées au sujet des lieux. Pour cette raison, la documentation des lieux inclut souvent le recensement de coordonnées précises pour un lieu référencé.</w:t>
      </w:r>
    </w:p>
    <w:p w14:paraId="4368241F" w14:textId="77777777" w:rsidR="0084489F" w:rsidRDefault="00110FE6">
      <w:pPr>
        <w:pStyle w:val="BodyText"/>
      </w:pPr>
      <w:r w:rsidRPr="246FBB6F">
        <w:rPr>
          <w:lang w:val="fr-FR"/>
        </w:rPr>
        <w:t xml:space="preserve">Il est crucial, d'un point de vue sémantique, de comprendre la manière dont l'expression géométrique d'un lieu </w:t>
      </w:r>
      <w:r w:rsidRPr="246FBB6F">
        <w:rPr>
          <w:rStyle w:val="VerbatimChar"/>
          <w:lang w:val="fr-FR"/>
        </w:rPr>
        <w:t>A</w:t>
      </w:r>
      <w:r w:rsidRPr="246FBB6F">
        <w:rPr>
          <w:lang w:val="fr-FR"/>
        </w:rPr>
        <w:t xml:space="preserve"> est liée à un lieu référencé </w:t>
      </w:r>
      <w:r w:rsidRPr="246FBB6F">
        <w:rPr>
          <w:rStyle w:val="VerbatimChar"/>
          <w:lang w:val="fr-FR"/>
        </w:rPr>
        <w:t>B</w:t>
      </w:r>
      <w:r w:rsidRPr="246FBB6F">
        <w:rPr>
          <w:lang w:val="fr-FR"/>
        </w:rPr>
        <w:t xml:space="preserve">. Le regroupement des relations </w:t>
      </w:r>
      <w:r w:rsidRPr="246FBB6F">
        <w:rPr>
          <w:rStyle w:val="VerbatimChar"/>
          <w:lang w:val="fr-FR"/>
        </w:rPr>
        <w:t>P168_lieu_défini_par (définit_le_lieu)</w:t>
      </w:r>
      <w:r w:rsidRPr="246FBB6F">
        <w:rPr>
          <w:lang w:val="fr-FR"/>
        </w:rPr>
        <w:t xml:space="preserve">, </w:t>
      </w:r>
      <w:r w:rsidRPr="246FBB6F">
        <w:rPr>
          <w:rStyle w:val="VerbatimChar"/>
          <w:lang w:val="fr-FR"/>
        </w:rPr>
        <w:t>P171_quelque_part_dans</w:t>
      </w:r>
      <w:r w:rsidRPr="246FBB6F">
        <w:rPr>
          <w:lang w:val="fr-FR"/>
        </w:rPr>
        <w:t xml:space="preserve"> et </w:t>
      </w:r>
      <w:r w:rsidRPr="246FBB6F">
        <w:rPr>
          <w:rStyle w:val="VerbatimChar"/>
          <w:lang w:val="fr-FR"/>
        </w:rPr>
        <w:t>P172_contient</w:t>
      </w:r>
      <w:r w:rsidRPr="246FBB6F">
        <w:rPr>
          <w:lang w:val="fr-FR"/>
        </w:rPr>
        <w:t xml:space="preserve"> permet cela en liant des expressions géométriques de lieux </w:t>
      </w:r>
      <w:r w:rsidRPr="246FBB6F">
        <w:rPr>
          <w:rStyle w:val="VerbatimChar"/>
          <w:lang w:val="fr-FR"/>
        </w:rPr>
        <w:t>A</w:t>
      </w:r>
      <w:r w:rsidRPr="246FBB6F">
        <w:rPr>
          <w:lang w:val="fr-FR"/>
        </w:rPr>
        <w:t xml:space="preserve"> tout en indiquant précisément comment ces expressions sont liées au lieu référencé </w:t>
      </w:r>
      <w:r w:rsidRPr="246FBB6F">
        <w:rPr>
          <w:rStyle w:val="VerbatimChar"/>
          <w:lang w:val="fr-FR"/>
        </w:rPr>
        <w:t>B</w:t>
      </w:r>
      <w:r w:rsidRPr="246FBB6F">
        <w:rPr>
          <w:lang w:val="fr-FR"/>
        </w:rPr>
        <w:t>.</w:t>
      </w:r>
    </w:p>
    <w:p w14:paraId="0D3E92A8" w14:textId="6FDA3844" w:rsidR="0084489F" w:rsidRDefault="00110FE6">
      <w:pPr>
        <w:pStyle w:val="BodyText"/>
      </w:pPr>
      <w:r w:rsidRPr="246FBB6F">
        <w:rPr>
          <w:lang w:val="fr-FR"/>
        </w:rPr>
        <w:t xml:space="preserve">Les expressions géométriques de lieux sont des instances de </w:t>
      </w:r>
      <w:r w:rsidRPr="246FBB6F">
        <w:rPr>
          <w:rStyle w:val="VerbatimChar"/>
          <w:lang w:val="fr-FR"/>
        </w:rPr>
        <w:t>E94_Primitive_spatiale</w:t>
      </w:r>
      <w:r w:rsidRPr="246FBB6F">
        <w:rPr>
          <w:lang w:val="fr-FR"/>
        </w:rPr>
        <w:t>, une classe primitive ayant pour fonction d'exprimer des valeurs dans des systèmes de données qui ne sont pas couverts par le CIDOC CRM. Les propriétés susmentionnées procurent une interface valide pour CRMgeo (Dœrr &amp; Hiebel, 2013) qui mobilise les standards OGC [n.d.t. standards de l'Open Geospatial Consortium qui assurent l'interopérabilité dans les domaines de la géomatique et de l'information].</w:t>
      </w:r>
    </w:p>
    <w:p w14:paraId="348CDEE5" w14:textId="77777777" w:rsidR="0084489F" w:rsidRDefault="00110FE6">
      <w:pPr>
        <w:pStyle w:val="BodyText"/>
      </w:pPr>
      <w:r>
        <w:rPr>
          <w:noProof/>
        </w:rPr>
        <w:lastRenderedPageBreak/>
        <w:drawing>
          <wp:inline distT="0" distB="0" distL="0" distR="0" wp14:anchorId="2091B51A" wp14:editId="10DD7B91">
            <wp:extent cx="6858000" cy="4203842"/>
            <wp:effectExtent l="0" t="0" r="0" b="0"/>
            <wp:docPr id="122" name="Picture" descr="Un diagramme illustre les classes et les propriétés fondamentales servant au raisonnement logique au sujet d'information spatiale. Les classes sont identifiées par des rectangles. Les propriétés sont identifiées par des flèches reliant les classes entre elles. Les liens entre ces classes et propriétés sont décrites dans le texte ci-dessous."/>
            <wp:cNvGraphicFramePr/>
            <a:graphic xmlns:a="http://schemas.openxmlformats.org/drawingml/2006/main">
              <a:graphicData uri="http://schemas.openxmlformats.org/drawingml/2006/picture">
                <pic:pic xmlns:pic="http://schemas.openxmlformats.org/drawingml/2006/picture">
                  <pic:nvPicPr>
                    <pic:cNvPr id="123" name="Picture" descr="/Users/trangdang/Documents/CHIN/Work/documentation/cidoc_crm_fr-ca/docs/v7.1.3/figures/Fig_4_FR.png"/>
                    <pic:cNvPicPr>
                      <a:picLocks noChangeAspect="1" noChangeArrowheads="1"/>
                    </pic:cNvPicPr>
                  </pic:nvPicPr>
                  <pic:blipFill>
                    <a:blip r:embed="rId148"/>
                    <a:stretch>
                      <a:fillRect/>
                    </a:stretch>
                  </pic:blipFill>
                  <pic:spPr bwMode="auto">
                    <a:xfrm>
                      <a:off x="0" y="0"/>
                      <a:ext cx="6858000" cy="4203842"/>
                    </a:xfrm>
                    <a:prstGeom prst="rect">
                      <a:avLst/>
                    </a:prstGeom>
                    <a:noFill/>
                    <a:ln w="9525">
                      <a:noFill/>
                      <a:headEnd/>
                      <a:tailEnd/>
                    </a:ln>
                  </pic:spPr>
                </pic:pic>
              </a:graphicData>
            </a:graphic>
          </wp:inline>
        </w:drawing>
      </w:r>
    </w:p>
    <w:p w14:paraId="1B4FC2F2" w14:textId="77777777" w:rsidR="0084489F" w:rsidRPr="00DE210E" w:rsidRDefault="00110FE6">
      <w:pPr>
        <w:pStyle w:val="BodyText"/>
        <w:rPr>
          <w:sz w:val="20"/>
          <w:szCs w:val="20"/>
        </w:rPr>
      </w:pPr>
      <w:r w:rsidRPr="00DE210E">
        <w:rPr>
          <w:i/>
          <w:iCs/>
          <w:sz w:val="20"/>
          <w:szCs w:val="20"/>
        </w:rPr>
        <w:t>Figure 4 : Propriétés et classes fondamentales pour le raisonnement logique au sujet d'information spatiale</w:t>
      </w:r>
    </w:p>
    <w:p w14:paraId="5DF689E4" w14:textId="12063D0D" w:rsidR="0084489F" w:rsidRPr="00DE210E" w:rsidRDefault="00110FE6">
      <w:pPr>
        <w:pStyle w:val="BodyText"/>
        <w:rPr>
          <w:sz w:val="20"/>
          <w:szCs w:val="20"/>
        </w:rPr>
      </w:pPr>
      <w:r w:rsidRPr="00DE210E">
        <w:rPr>
          <w:i/>
          <w:iCs/>
          <w:sz w:val="20"/>
          <w:szCs w:val="20"/>
        </w:rPr>
        <w:t>Mention de source des figures : Bibliothèques logicielles diagrams.net</w:t>
      </w:r>
      <w:r w:rsidRPr="00DE210E">
        <w:rPr>
          <w:sz w:val="20"/>
          <w:szCs w:val="20"/>
        </w:rPr>
        <w:t>, © Réseau canadien d'information sur le patrimoine 2024</w:t>
      </w:r>
    </w:p>
    <w:p w14:paraId="5614D0B6" w14:textId="77777777" w:rsidR="0084489F" w:rsidRDefault="00110FE6">
      <w:pPr>
        <w:pStyle w:val="BodyText"/>
      </w:pPr>
      <w:r>
        <w:t>Les relations entre les lieux :</w:t>
      </w:r>
    </w:p>
    <w:p w14:paraId="7797AAA2" w14:textId="77777777" w:rsidR="0084489F" w:rsidRDefault="00110FE6">
      <w:pPr>
        <w:pStyle w:val="BodyText"/>
      </w:pPr>
      <w:r w:rsidRPr="246FBB6F">
        <w:rPr>
          <w:lang w:val="fr-FR"/>
        </w:rPr>
        <w:t xml:space="preserve">Le regroupement des relations </w:t>
      </w:r>
      <w:r w:rsidRPr="246FBB6F">
        <w:rPr>
          <w:rStyle w:val="VerbatimChar"/>
          <w:lang w:val="fr-FR"/>
        </w:rPr>
        <w:t>P89_s’insère_dans (contient)</w:t>
      </w:r>
      <w:r w:rsidRPr="246FBB6F">
        <w:rPr>
          <w:lang w:val="fr-FR"/>
        </w:rPr>
        <w:t xml:space="preserve">, </w:t>
      </w:r>
      <w:r w:rsidRPr="246FBB6F">
        <w:rPr>
          <w:rStyle w:val="VerbatimChar"/>
          <w:lang w:val="fr-FR"/>
        </w:rPr>
        <w:t>P121_se_superpose_partiellement_à</w:t>
      </w:r>
      <w:r w:rsidRPr="246FBB6F">
        <w:rPr>
          <w:lang w:val="fr-FR"/>
        </w:rPr>
        <w:t xml:space="preserve">, </w:t>
      </w:r>
      <w:r w:rsidRPr="246FBB6F">
        <w:rPr>
          <w:rStyle w:val="VerbatimChar"/>
          <w:lang w:val="fr-FR"/>
        </w:rPr>
        <w:t>P122_est_limitrophe_de</w:t>
      </w:r>
      <w:r w:rsidRPr="246FBB6F">
        <w:rPr>
          <w:lang w:val="fr-FR"/>
        </w:rPr>
        <w:t xml:space="preserve"> et </w:t>
      </w:r>
      <w:r w:rsidRPr="246FBB6F">
        <w:rPr>
          <w:rStyle w:val="VerbatimChar"/>
          <w:lang w:val="fr-FR"/>
        </w:rPr>
        <w:t>P189_approxime (est_approximé_par)</w:t>
      </w:r>
      <w:r w:rsidRPr="246FBB6F">
        <w:rPr>
          <w:lang w:val="fr-FR"/>
        </w:rPr>
        <w:t xml:space="preserve"> permet d'exprimer des relations relatives entre des lieux. Ces propriétés se situent entre des instances de </w:t>
      </w:r>
      <w:r w:rsidRPr="246FBB6F">
        <w:rPr>
          <w:rStyle w:val="VerbatimChar"/>
          <w:lang w:val="fr-FR"/>
        </w:rPr>
        <w:t>E53_Lieu</w:t>
      </w:r>
      <w:r w:rsidRPr="246FBB6F">
        <w:rPr>
          <w:lang w:val="fr-FR"/>
        </w:rPr>
        <w:t xml:space="preserve"> et permettent d'ordonner de manière interne des lieux en utilisant des concepts méréotopologiques communs.</w:t>
      </w:r>
    </w:p>
    <w:p w14:paraId="107A04DC" w14:textId="77777777" w:rsidR="0084489F" w:rsidRDefault="00110FE6">
      <w:pPr>
        <w:pStyle w:val="BodyText"/>
      </w:pPr>
      <w:r>
        <w:t>L'historique des localisations d'objets physiques :</w:t>
      </w:r>
    </w:p>
    <w:p w14:paraId="34193713" w14:textId="77777777" w:rsidR="0084489F" w:rsidRDefault="00110FE6">
      <w:pPr>
        <w:pStyle w:val="BodyText"/>
      </w:pPr>
      <w:r>
        <w:t xml:space="preserve">Les instances de </w:t>
      </w:r>
      <w:r>
        <w:rPr>
          <w:rStyle w:val="VerbatimChar"/>
        </w:rPr>
        <w:t>E53_Lieu</w:t>
      </w:r>
      <w:r>
        <w:t xml:space="preserve"> sont souvent référencées afin d'enregistrer la localisation d'un objet et, lorsque les déplacements d'un objet à travers le temps sont eux-mêmes pertinents, il est aussi important de pouvoir recenser ces différentes localisations tant de manière spatiale que temporelle. Pour ce faire, le CIDOC CRM propose deux mécanismes de haut niveau permettant de tracer la relation des objets aux lieux.</w:t>
      </w:r>
    </w:p>
    <w:p w14:paraId="4662B4DC" w14:textId="77777777" w:rsidR="0084489F" w:rsidRDefault="00110FE6">
      <w:pPr>
        <w:pStyle w:val="BodyText"/>
      </w:pPr>
      <w:r w:rsidRPr="246FBB6F">
        <w:rPr>
          <w:lang w:val="fr-FR"/>
        </w:rPr>
        <w:t xml:space="preserve">Dans l'éventualité où l'aspect temporel n'est pas d'intérêt ou est inconnu, un objet peut être lié à un lieu grâce aux propriétés </w:t>
      </w:r>
      <w:r w:rsidRPr="246FBB6F">
        <w:rPr>
          <w:rStyle w:val="VerbatimChar"/>
          <w:lang w:val="fr-FR"/>
        </w:rPr>
        <w:t>P53_a_pour_localisation_actuelle_ou_antérieure (est_la_localisation_actuelle_ou_antérieure_de)</w:t>
      </w:r>
      <w:r w:rsidRPr="246FBB6F">
        <w:rPr>
          <w:lang w:val="fr-FR"/>
        </w:rPr>
        <w:t xml:space="preserve"> et </w:t>
      </w:r>
      <w:r w:rsidRPr="246FBB6F">
        <w:rPr>
          <w:rStyle w:val="VerbatimChar"/>
          <w:lang w:val="fr-FR"/>
        </w:rPr>
        <w:t>P55_a_actuellement_pour_localisation (est_actuellement_la_localisation_de)</w:t>
      </w:r>
      <w:r w:rsidRPr="246FBB6F">
        <w:rPr>
          <w:lang w:val="fr-FR"/>
        </w:rPr>
        <w:t>. La première est appropriée pour documenter la relation d'un objet à un lieu lorsque les éléments temporels sont inconnus. La seconde est appropriée lorsque la localisation actuelle est activement suivie.</w:t>
      </w:r>
    </w:p>
    <w:p w14:paraId="53C13769" w14:textId="77777777" w:rsidR="0084489F" w:rsidRDefault="00110FE6">
      <w:pPr>
        <w:pStyle w:val="BodyText"/>
      </w:pPr>
      <w:r w:rsidRPr="246FBB6F">
        <w:rPr>
          <w:lang w:val="fr-FR"/>
        </w:rPr>
        <w:t xml:space="preserve">Lorsqu'un historique précis des aspects temporels de la localisation est disponible, il est préférable d'utiliser la classe temporelle </w:t>
      </w:r>
      <w:r w:rsidRPr="246FBB6F">
        <w:rPr>
          <w:rStyle w:val="VerbatimChar"/>
          <w:lang w:val="fr-FR"/>
        </w:rPr>
        <w:t>E9_Déplacement</w:t>
      </w:r>
      <w:r w:rsidRPr="246FBB6F">
        <w:rPr>
          <w:lang w:val="fr-FR"/>
        </w:rPr>
        <w:t xml:space="preserve"> dont l'instanciation permet de documenter l'origine, la destination, et l'objet d'un évènement de déplacement de concert avec les propriétés </w:t>
      </w:r>
      <w:r w:rsidRPr="246FBB6F">
        <w:rPr>
          <w:rStyle w:val="VerbatimChar"/>
          <w:lang w:val="fr-FR"/>
        </w:rPr>
        <w:t xml:space="preserve">P25_a_déplacé </w:t>
      </w:r>
      <w:r w:rsidRPr="246FBB6F">
        <w:rPr>
          <w:rStyle w:val="VerbatimChar"/>
          <w:lang w:val="fr-FR"/>
        </w:rPr>
        <w:lastRenderedPageBreak/>
        <w:t>(a_été_déplacé_par)</w:t>
      </w:r>
      <w:r w:rsidRPr="246FBB6F">
        <w:rPr>
          <w:lang w:val="fr-FR"/>
        </w:rPr>
        <w:t xml:space="preserve">, </w:t>
      </w:r>
      <w:r w:rsidRPr="246FBB6F">
        <w:rPr>
          <w:rStyle w:val="VerbatimChar"/>
          <w:lang w:val="fr-FR"/>
        </w:rPr>
        <w:t>P26_a_déplacé_vers (a_été_la_destination_de)</w:t>
      </w:r>
      <w:r w:rsidRPr="246FBB6F">
        <w:rPr>
          <w:lang w:val="fr-FR"/>
        </w:rPr>
        <w:t xml:space="preserve"> et </w:t>
      </w:r>
      <w:r w:rsidRPr="246FBB6F">
        <w:rPr>
          <w:rStyle w:val="VerbatimChar"/>
          <w:lang w:val="fr-FR"/>
        </w:rPr>
        <w:t>P27_a_déplacé_depuis (a_été_le_point_de_départ_de)</w:t>
      </w:r>
      <w:r w:rsidRPr="246FBB6F">
        <w:rPr>
          <w:lang w:val="fr-FR"/>
        </w:rPr>
        <w:t xml:space="preserve">. Puisque c'est une classe temporelle, </w:t>
      </w:r>
      <w:r w:rsidRPr="246FBB6F">
        <w:rPr>
          <w:rStyle w:val="VerbatimChar"/>
          <w:lang w:val="fr-FR"/>
        </w:rPr>
        <w:t>E9_Déplacement</w:t>
      </w:r>
      <w:r w:rsidRPr="246FBB6F">
        <w:rPr>
          <w:lang w:val="fr-FR"/>
        </w:rPr>
        <w:t xml:space="preserve"> permet aussi de tracer la temporalité, l'agentivité [n.d.t. d'un actant], etc.</w:t>
      </w:r>
    </w:p>
    <w:p w14:paraId="367788AB" w14:textId="77777777" w:rsidR="0084489F" w:rsidRDefault="00110FE6">
      <w:pPr>
        <w:pStyle w:val="BodyText"/>
      </w:pPr>
      <w:r>
        <w:t>Il est important de prendre en considération que des choses peuvent être déplacées indirectement du fait de leur appartenance à d'autres choses (c.-à-d. parce qu'elles sont des parties d'ensembles ou parce qu'elles sont contenues par une autre chose).</w:t>
      </w:r>
    </w:p>
    <w:p w14:paraId="22C2D393" w14:textId="77777777" w:rsidR="0084489F" w:rsidRDefault="00110FE6">
      <w:pPr>
        <w:pStyle w:val="BodyText"/>
      </w:pPr>
      <w:r>
        <w:t>L'historique des localisations d'actants :</w:t>
      </w:r>
    </w:p>
    <w:p w14:paraId="273B84DF" w14:textId="77777777" w:rsidR="0084489F" w:rsidRDefault="00110FE6">
      <w:pPr>
        <w:pStyle w:val="BodyText"/>
      </w:pPr>
      <w:r w:rsidRPr="246FBB6F">
        <w:rPr>
          <w:lang w:val="fr-FR"/>
        </w:rPr>
        <w:t xml:space="preserve">L'historique des localisations d'actants est comparable à l'historique des localisations d'objets physiques à la différence que dans le CIDOC CRM l'actant est défini comme étant une entité dotée d'agentivité (contrairement à d'autres entités physiques ou objets). L'essence de l'actant n'étant pas physique, celui-ci ne peut pas être le sujet d'instances de </w:t>
      </w:r>
      <w:r w:rsidRPr="246FBB6F">
        <w:rPr>
          <w:rStyle w:val="VerbatimChar"/>
          <w:lang w:val="fr-FR"/>
        </w:rPr>
        <w:t>E9_Déplacement</w:t>
      </w:r>
      <w:r w:rsidRPr="246FBB6F">
        <w:rPr>
          <w:lang w:val="fr-FR"/>
        </w:rPr>
        <w:t xml:space="preserve"> afin de documenter ses relocalisations. Le CIDOC CRM offre donc la notion de résidence (</w:t>
      </w:r>
      <w:r w:rsidRPr="246FBB6F">
        <w:rPr>
          <w:rStyle w:val="VerbatimChar"/>
          <w:lang w:val="fr-FR"/>
        </w:rPr>
        <w:t>P74_a_pour_résidence_actuelle_ou_antérieure (est_la_résidence_actuelle_ou_antérieure_de)</w:t>
      </w:r>
      <w:r w:rsidRPr="246FBB6F">
        <w:rPr>
          <w:lang w:val="fr-FR"/>
        </w:rPr>
        <w:t>) afin de documenter la relation d'une personne ou d'un groupe à une localisation le temps d'une résidence dans un lieu.</w:t>
      </w:r>
    </w:p>
    <w:p w14:paraId="31652A04" w14:textId="77777777" w:rsidR="0084489F" w:rsidRDefault="00110FE6">
      <w:pPr>
        <w:pStyle w:val="BodyText"/>
      </w:pPr>
      <w:r>
        <w:t>Les lieux situés sur des objets physiques :</w:t>
      </w:r>
    </w:p>
    <w:p w14:paraId="1109AE7A" w14:textId="77777777" w:rsidR="0084489F" w:rsidRDefault="00110FE6">
      <w:pPr>
        <w:pStyle w:val="BodyText"/>
      </w:pPr>
      <w:r w:rsidRPr="246FBB6F">
        <w:rPr>
          <w:lang w:val="fr-FR"/>
        </w:rPr>
        <w:t xml:space="preserve">L'enregistrement de données patrimoniales et scientifiques exige souvent le recensement de l'emplacement précis d'un objet, d'une caractéristique, d'un phénomène ou de son observation (p. ex. dans le cas d'objets mobiles comme des bateaux). La propriété </w:t>
      </w:r>
      <w:r w:rsidRPr="246FBB6F">
        <w:rPr>
          <w:rStyle w:val="VerbatimChar"/>
          <w:lang w:val="fr-FR"/>
        </w:rPr>
        <w:t>P59_a_pour_section (se_situe_sur_ou_dans)</w:t>
      </w:r>
      <w:r w:rsidRPr="246FBB6F">
        <w:rPr>
          <w:lang w:val="fr-FR"/>
        </w:rPr>
        <w:t xml:space="preserve"> peut être utilisée dans ce contexte afin de lier l'objet aux lieux qui sont définis sur ou dans celui-ci.</w:t>
      </w:r>
    </w:p>
    <w:p w14:paraId="3B773BB0" w14:textId="77777777" w:rsidR="0084489F" w:rsidRDefault="00110FE6">
      <w:pPr>
        <w:pStyle w:val="BodyText"/>
      </w:pPr>
      <w:r>
        <w:t>Par défaut, c'est la planète Terre qui est désignée comme objet physique sur lequel les lieux sont interreliés. Des relations plus précises grâce à des références aux plaques tectoniques peuvent cependant être nécessaires dans le cadre d'analyses géologiques.</w:t>
      </w:r>
    </w:p>
    <w:p w14:paraId="68399FB5" w14:textId="77777777" w:rsidR="0084489F" w:rsidRDefault="00110FE6">
      <w:pPr>
        <w:pStyle w:val="BodyText"/>
      </w:pPr>
      <w:r>
        <w:t>Les étendues spatiales d'entités temporelles :</w:t>
      </w:r>
    </w:p>
    <w:p w14:paraId="05B0DB9E" w14:textId="77777777" w:rsidR="0084489F" w:rsidRDefault="00110FE6">
      <w:pPr>
        <w:pStyle w:val="BodyText"/>
      </w:pPr>
      <w:r>
        <w:t xml:space="preserve">Le CIDOC CRM offre deux propriétés permettant de définir spatialement l'étendue temporelle de phénomènes (celles-ci s'appliquent à toutes les instances d'entités temporelles relevant de la classe </w:t>
      </w:r>
      <w:r>
        <w:rPr>
          <w:rStyle w:val="VerbatimChar"/>
        </w:rPr>
        <w:t>E4_Période</w:t>
      </w:r>
      <w:r>
        <w:t>) :</w:t>
      </w:r>
    </w:p>
    <w:p w14:paraId="6CE5EF59" w14:textId="77777777" w:rsidR="0084489F" w:rsidRDefault="00110FE6" w:rsidP="00806324">
      <w:pPr>
        <w:numPr>
          <w:ilvl w:val="0"/>
          <w:numId w:val="35"/>
        </w:numPr>
      </w:pPr>
      <w:r w:rsidRPr="246FBB6F">
        <w:rPr>
          <w:rStyle w:val="VerbatimChar"/>
          <w:lang w:val="fr-FR"/>
        </w:rPr>
        <w:t>P7_a_eu_lieu_dans (a_été_témoin_de)</w:t>
      </w:r>
      <w:r w:rsidRPr="246FBB6F">
        <w:rPr>
          <w:lang w:val="fr-FR"/>
        </w:rPr>
        <w:t xml:space="preserve"> permet de relier directement un phénomène temporel à des instances de </w:t>
      </w:r>
      <w:r w:rsidRPr="246FBB6F">
        <w:rPr>
          <w:rStyle w:val="VerbatimChar"/>
          <w:lang w:val="fr-FR"/>
        </w:rPr>
        <w:t>E53_Lieu</w:t>
      </w:r>
      <w:r w:rsidRPr="246FBB6F">
        <w:rPr>
          <w:lang w:val="fr-FR"/>
        </w:rPr>
        <w:t>, fournissant de ce fait le contexte géométrique dans lequel le phénomène a pris place.</w:t>
      </w:r>
    </w:p>
    <w:p w14:paraId="4C1C16F4" w14:textId="77777777" w:rsidR="0084489F" w:rsidRDefault="00110FE6" w:rsidP="00806324">
      <w:pPr>
        <w:numPr>
          <w:ilvl w:val="0"/>
          <w:numId w:val="35"/>
        </w:numPr>
      </w:pPr>
      <w:r w:rsidRPr="246FBB6F">
        <w:rPr>
          <w:rStyle w:val="VerbatimChar"/>
          <w:lang w:val="fr-FR"/>
        </w:rPr>
        <w:t>P8_a_eu_lieu_à (a_été_témoin_de)</w:t>
      </w:r>
      <w:r w:rsidRPr="246FBB6F">
        <w:rPr>
          <w:lang w:val="fr-FR"/>
        </w:rPr>
        <w:t xml:space="preserve"> permet la documentation d'un phénomène temporel par rapport à un objet physique, ce qui est utile pour l'enregistrement d'information où la localisation géométrique n'est pas directement pertinente ou est inconnue (p. ex. l'occurrence d'un évènement sur un bateau en déplacement ou dans l'enceinte d'un conteneur d'entreposage particulier).</w:t>
      </w:r>
    </w:p>
    <w:p w14:paraId="6CA95E96" w14:textId="77777777" w:rsidR="0084489F" w:rsidRDefault="00110FE6">
      <w:pPr>
        <w:pStyle w:val="BlockText"/>
      </w:pPr>
      <w:r>
        <w:rPr>
          <w:b/>
          <w:bCs/>
          <w:i/>
          <w:iCs/>
        </w:rPr>
        <w:t>Note de traduction</w:t>
      </w:r>
    </w:p>
    <w:p w14:paraId="389E996D" w14:textId="77777777" w:rsidR="0084489F" w:rsidRDefault="00110FE6">
      <w:pPr>
        <w:pStyle w:val="BlockText"/>
      </w:pPr>
      <w:r>
        <w:rPr>
          <w:b/>
          <w:bCs/>
          <w:i/>
          <w:iCs/>
        </w:rPr>
        <w:t>Références</w:t>
      </w:r>
    </w:p>
    <w:p w14:paraId="3770CB08" w14:textId="77777777" w:rsidR="0084489F" w:rsidRDefault="0084489F">
      <w:pPr>
        <w:pStyle w:val="BlockText"/>
      </w:pPr>
    </w:p>
    <w:p w14:paraId="7D29C2FA" w14:textId="77777777" w:rsidR="0084489F" w:rsidRDefault="00110FE6">
      <w:pPr>
        <w:pStyle w:val="Heading3"/>
      </w:pPr>
      <w:bookmarkStart w:id="82" w:name="_Toc176864425"/>
      <w:bookmarkStart w:id="83" w:name="des-relations-temporelles"/>
      <w:bookmarkEnd w:id="81"/>
      <w:r>
        <w:t>Des relations temporelles</w:t>
      </w:r>
      <w:bookmarkEnd w:id="82"/>
    </w:p>
    <w:p w14:paraId="4629DF31" w14:textId="77777777" w:rsidR="0084489F" w:rsidRDefault="00110FE6">
      <w:pPr>
        <w:pStyle w:val="FirstParagraph"/>
      </w:pPr>
      <w:r>
        <w:t xml:space="preserve">Le discours historique et scientifique au sujet du passé concerne plusieurs niveaux de savoirs concernant des évènements et leur ordonnancement temporel tel qu'il s'inscrit dans une chronologie. Cette chronologie est fondamentale à la compréhension de l'histoire sociale et naturelle ainsi qu'à </w:t>
      </w:r>
      <w:r>
        <w:lastRenderedPageBreak/>
        <w:t>l'établissement de raisonnement logique au sujet des relations temporelles et de la causalité qui y sont directement rattachées. Une grande quantité d'observations physiques permet des inférences temporelles et vice versa. Il est important de pouvoir documenter la temporalité en ce qui a trait aux dates connues ainsi qu'en termes de positionnement relatif dans une ligne du temps historique. Les propriétés de haut niveau du CIDOC CRM qui sont liées à des entités temporelles supportent la documentation de :</w:t>
      </w:r>
    </w:p>
    <w:p w14:paraId="4F6423B5" w14:textId="77777777" w:rsidR="0084489F" w:rsidRDefault="00110FE6" w:rsidP="00806324">
      <w:pPr>
        <w:numPr>
          <w:ilvl w:val="0"/>
          <w:numId w:val="36"/>
        </w:numPr>
      </w:pPr>
      <w:r w:rsidRPr="246FBB6F">
        <w:rPr>
          <w:lang w:val="fr-FR"/>
        </w:rPr>
        <w:t>dates en tant qu'intervalles temporels ou que dimensions temporelles;</w:t>
      </w:r>
    </w:p>
    <w:p w14:paraId="4FBAA67A" w14:textId="77777777" w:rsidR="0084489F" w:rsidRDefault="00110FE6" w:rsidP="00806324">
      <w:pPr>
        <w:numPr>
          <w:ilvl w:val="0"/>
          <w:numId w:val="36"/>
        </w:numPr>
      </w:pPr>
      <w:r w:rsidRPr="246FBB6F">
        <w:rPr>
          <w:lang w:val="fr-FR"/>
        </w:rPr>
        <w:t>relations méréologiques entre des entités temporelles;</w:t>
      </w:r>
    </w:p>
    <w:p w14:paraId="46917A59" w14:textId="77777777" w:rsidR="0084489F" w:rsidRDefault="00110FE6" w:rsidP="00806324">
      <w:pPr>
        <w:numPr>
          <w:ilvl w:val="0"/>
          <w:numId w:val="36"/>
        </w:numPr>
      </w:pPr>
      <w:r w:rsidRPr="246FBB6F">
        <w:rPr>
          <w:lang w:val="fr-FR"/>
        </w:rPr>
        <w:t>relations topologiques formant une suite complète.</w:t>
      </w:r>
    </w:p>
    <w:p w14:paraId="560F94FA" w14:textId="77777777" w:rsidR="0084489F" w:rsidRDefault="00110FE6">
      <w:pPr>
        <w:pStyle w:val="FirstParagraph"/>
      </w:pPr>
      <w:r>
        <w:t>Les dates et les durées :</w:t>
      </w:r>
    </w:p>
    <w:p w14:paraId="2ED32332" w14:textId="77777777" w:rsidR="0084489F" w:rsidRDefault="00110FE6">
      <w:pPr>
        <w:pStyle w:val="BodyText"/>
      </w:pPr>
      <w:r w:rsidRPr="246FBB6F">
        <w:rPr>
          <w:lang w:val="fr-FR"/>
        </w:rPr>
        <w:t xml:space="preserve">Lorsque des dates absolues limitant une entité temporelle sont connues, une instanciation de la propriété </w:t>
      </w:r>
      <w:r w:rsidRPr="246FBB6F">
        <w:rPr>
          <w:rStyle w:val="VerbatimChar"/>
          <w:lang w:val="fr-FR"/>
        </w:rPr>
        <w:t>P4_a_pour_intervalle_temporel (est_l’intervalle_temporel_de)</w:t>
      </w:r>
      <w:r w:rsidRPr="246FBB6F">
        <w:rPr>
          <w:lang w:val="fr-FR"/>
        </w:rPr>
        <w:t xml:space="preserve"> et la création d'une instance de </w:t>
      </w:r>
      <w:r w:rsidRPr="246FBB6F">
        <w:rPr>
          <w:rStyle w:val="VerbatimChar"/>
          <w:lang w:val="fr-FR"/>
        </w:rPr>
        <w:t>E52_Intervalle_temporel</w:t>
      </w:r>
      <w:r w:rsidRPr="246FBB6F">
        <w:rPr>
          <w:lang w:val="fr-FR"/>
        </w:rPr>
        <w:t xml:space="preserve"> sont recommandées. Ces dates devraient aussi être enregistrées comme instances de </w:t>
      </w:r>
      <w:r w:rsidRPr="246FBB6F">
        <w:rPr>
          <w:rStyle w:val="VerbatimChar"/>
          <w:lang w:val="fr-FR"/>
        </w:rPr>
        <w:t>E61_Primitive_temporelle</w:t>
      </w:r>
      <w:r w:rsidRPr="246FBB6F">
        <w:rPr>
          <w:lang w:val="fr-FR"/>
        </w:rPr>
        <w:t xml:space="preserve"> et reliées à l'intervalle temporel par les propriétés </w:t>
      </w:r>
      <w:r w:rsidRPr="246FBB6F">
        <w:rPr>
          <w:rStyle w:val="VerbatimChar"/>
          <w:lang w:val="fr-FR"/>
        </w:rPr>
        <w:t>P81_a_couvert</w:t>
      </w:r>
      <w:r w:rsidRPr="246FBB6F">
        <w:rPr>
          <w:lang w:val="fr-FR"/>
        </w:rPr>
        <w:t xml:space="preserve"> et </w:t>
      </w:r>
      <w:r w:rsidRPr="246FBB6F">
        <w:rPr>
          <w:rStyle w:val="VerbatimChar"/>
          <w:lang w:val="fr-FR"/>
        </w:rPr>
        <w:t>P82_a_eu_lieu_durant</w:t>
      </w:r>
      <w:r w:rsidRPr="246FBB6F">
        <w:rPr>
          <w:lang w:val="fr-FR"/>
        </w:rPr>
        <w:t xml:space="preserve">. Puisque dans le CIDOC CRM le temps est enregistré à travers des intervalles (plutôt qu'à travers des instants), le choix de la propriété </w:t>
      </w:r>
      <w:r w:rsidRPr="246FBB6F">
        <w:rPr>
          <w:rStyle w:val="VerbatimChar"/>
          <w:lang w:val="fr-FR"/>
        </w:rPr>
        <w:t>P81_a_couvert</w:t>
      </w:r>
      <w:r w:rsidRPr="246FBB6F">
        <w:rPr>
          <w:lang w:val="fr-FR"/>
        </w:rPr>
        <w:t xml:space="preserve"> permet de documenter le fait qu'un phénomène temporel avait lieu à tout le moins durant tous les instants d'un intervalle temporel connu. La propriété </w:t>
      </w:r>
      <w:r w:rsidRPr="246FBB6F">
        <w:rPr>
          <w:rStyle w:val="VerbatimChar"/>
          <w:lang w:val="fr-FR"/>
        </w:rPr>
        <w:t>P82_a_eu_lieu_durant</w:t>
      </w:r>
      <w:r w:rsidRPr="246FBB6F">
        <w:rPr>
          <w:lang w:val="fr-FR"/>
        </w:rPr>
        <w:t xml:space="preserve"> permet d'affirmer moins précisément qu'un phénomène s'est produit à l'intérieur d'un intervalle temporel particulier sans pour autant indiquer précisément à quel moment. Cette dernière approche est la plus utilisée dans le cas de dates historiques où une année peut être indiquée bien que la durée de l'évènement ait certainement été moindre. Le mode d'encodage des dates lors du processus de documentation ne relève pas du CIDOC CRM qui le définit par le biais d'une classe primitive (</w:t>
      </w:r>
      <w:r w:rsidRPr="246FBB6F">
        <w:rPr>
          <w:rStyle w:val="VerbatimChar"/>
          <w:lang w:val="fr-FR"/>
        </w:rPr>
        <w:t>E61_Primitive_temporelle</w:t>
      </w:r>
      <w:r w:rsidRPr="246FBB6F">
        <w:rPr>
          <w:lang w:val="fr-FR"/>
        </w:rPr>
        <w:t xml:space="preserve">). Finalement, la propriété </w:t>
      </w:r>
      <w:r w:rsidRPr="246FBB6F">
        <w:rPr>
          <w:rStyle w:val="VerbatimChar"/>
          <w:lang w:val="fr-FR"/>
        </w:rPr>
        <w:t>P191_a_eu_pour_durée (était_la_durée_de)</w:t>
      </w:r>
      <w:r w:rsidRPr="246FBB6F">
        <w:rPr>
          <w:lang w:val="fr-FR"/>
        </w:rPr>
        <w:t xml:space="preserve"> peut être déployée afin de documenter un phénomène temporel dont la durée est déterminée sans que son positionnement temporel ne soit pour autant connu. Par exemple, la documentation d'une naissance pourrait indiquer que l'accouchement a duré 3 heures et a eu lieu une année précise.</w:t>
      </w:r>
    </w:p>
    <w:p w14:paraId="74FA0FF9" w14:textId="77777777" w:rsidR="0084489F" w:rsidRDefault="00110FE6">
      <w:pPr>
        <w:pStyle w:val="BodyText"/>
      </w:pPr>
      <w:r w:rsidRPr="246FBB6F">
        <w:rPr>
          <w:lang w:val="fr-FR"/>
        </w:rPr>
        <w:t xml:space="preserve">Pour documenter des intervalles temporels précis qui résultent de déclarations plutôt que d'observations, l'usage de la propriété </w:t>
      </w:r>
      <w:r w:rsidRPr="246FBB6F">
        <w:rPr>
          <w:rStyle w:val="VerbatimChar"/>
          <w:lang w:val="fr-FR"/>
        </w:rPr>
        <w:t>P170_définit_le_temps (temps_défini_par)</w:t>
      </w:r>
      <w:r w:rsidRPr="246FBB6F">
        <w:rPr>
          <w:lang w:val="fr-FR"/>
        </w:rPr>
        <w:t xml:space="preserve"> est recommandé. Cela serait par exemple pertinent pour représenter un intervalle temporel dans lequel de multiples évènements s'inscrivent car cette propriété permet de spécifier un intervalle temporel uniquement à l'aide d'une primitive temporelle plutôt que par l'usage plus alambiqué de </w:t>
      </w:r>
      <w:r w:rsidRPr="246FBB6F">
        <w:rPr>
          <w:rStyle w:val="VerbatimChar"/>
          <w:lang w:val="fr-FR"/>
        </w:rPr>
        <w:t>P81_a_couvert</w:t>
      </w:r>
      <w:r w:rsidRPr="246FBB6F">
        <w:rPr>
          <w:lang w:val="fr-FR"/>
        </w:rPr>
        <w:t xml:space="preserve"> et </w:t>
      </w:r>
      <w:r w:rsidRPr="246FBB6F">
        <w:rPr>
          <w:rStyle w:val="VerbatimChar"/>
          <w:lang w:val="fr-FR"/>
        </w:rPr>
        <w:t>P82_a_eu_lieu_durant</w:t>
      </w:r>
      <w:r w:rsidRPr="246FBB6F">
        <w:rPr>
          <w:lang w:val="fr-FR"/>
        </w:rPr>
        <w:t xml:space="preserve"> faisant usage d'une primitive temporelle identique.</w:t>
      </w:r>
    </w:p>
    <w:p w14:paraId="3843C95B" w14:textId="77777777" w:rsidR="0084489F" w:rsidRDefault="00110FE6">
      <w:pPr>
        <w:pStyle w:val="BodyText"/>
      </w:pPr>
      <w:r>
        <w:rPr>
          <w:noProof/>
        </w:rPr>
        <w:lastRenderedPageBreak/>
        <w:drawing>
          <wp:inline distT="0" distB="0" distL="0" distR="0" wp14:anchorId="1BDA2A57" wp14:editId="1B971C15">
            <wp:extent cx="6858000" cy="3910826"/>
            <wp:effectExtent l="0" t="0" r="0" b="0"/>
            <wp:docPr id="126" name="Picture" descr="Un diagramme illustre les classes et les propriétés fondamentales servant au raisonnement logique au sujet d'information temporelle. Les classes sont identifiées par des rectangles. Les propriétés sont identifiées par des flèches reliant les classes entre elles. Les liens entre ces classes et propriétés sont décrites dans le texte ci-dessous."/>
            <wp:cNvGraphicFramePr/>
            <a:graphic xmlns:a="http://schemas.openxmlformats.org/drawingml/2006/main">
              <a:graphicData uri="http://schemas.openxmlformats.org/drawingml/2006/picture">
                <pic:pic xmlns:pic="http://schemas.openxmlformats.org/drawingml/2006/picture">
                  <pic:nvPicPr>
                    <pic:cNvPr id="127" name="Picture" descr="/Users/trangdang/Documents/CHIN/Work/documentation/cidoc_crm_fr-ca/docs/v7.1.3/figures/Fig_5_FR.png"/>
                    <pic:cNvPicPr>
                      <a:picLocks noChangeAspect="1" noChangeArrowheads="1"/>
                    </pic:cNvPicPr>
                  </pic:nvPicPr>
                  <pic:blipFill>
                    <a:blip r:embed="rId149"/>
                    <a:stretch>
                      <a:fillRect/>
                    </a:stretch>
                  </pic:blipFill>
                  <pic:spPr bwMode="auto">
                    <a:xfrm>
                      <a:off x="0" y="0"/>
                      <a:ext cx="6858000" cy="3910826"/>
                    </a:xfrm>
                    <a:prstGeom prst="rect">
                      <a:avLst/>
                    </a:prstGeom>
                    <a:noFill/>
                    <a:ln w="9525">
                      <a:noFill/>
                      <a:headEnd/>
                      <a:tailEnd/>
                    </a:ln>
                  </pic:spPr>
                </pic:pic>
              </a:graphicData>
            </a:graphic>
          </wp:inline>
        </w:drawing>
      </w:r>
    </w:p>
    <w:p w14:paraId="1B907251" w14:textId="77777777" w:rsidR="0084489F" w:rsidRPr="00BC5C04" w:rsidRDefault="00110FE6">
      <w:pPr>
        <w:pStyle w:val="BodyText"/>
        <w:rPr>
          <w:sz w:val="20"/>
          <w:szCs w:val="20"/>
        </w:rPr>
      </w:pPr>
      <w:r w:rsidRPr="00BC5C04">
        <w:rPr>
          <w:i/>
          <w:iCs/>
          <w:sz w:val="20"/>
          <w:szCs w:val="20"/>
        </w:rPr>
        <w:t>Figure 5 : Propriétés et classes fondamentales pour le raisonnement logique au sujet d'information temporelle</w:t>
      </w:r>
    </w:p>
    <w:p w14:paraId="0F7E4121" w14:textId="1E5AEDA1" w:rsidR="0084489F" w:rsidRPr="00BC5C04" w:rsidRDefault="00110FE6">
      <w:pPr>
        <w:pStyle w:val="BodyText"/>
        <w:rPr>
          <w:sz w:val="20"/>
          <w:szCs w:val="20"/>
        </w:rPr>
      </w:pPr>
      <w:r w:rsidRPr="00BC5C04">
        <w:rPr>
          <w:i/>
          <w:iCs/>
          <w:sz w:val="20"/>
          <w:szCs w:val="20"/>
        </w:rPr>
        <w:t>Mention de source des figures : Bibliothèques logicielles diagrams.net</w:t>
      </w:r>
      <w:r w:rsidRPr="00BC5C04">
        <w:rPr>
          <w:sz w:val="20"/>
          <w:szCs w:val="20"/>
        </w:rPr>
        <w:t>, © Réseau canadien d'information sur le patrimoine 2024</w:t>
      </w:r>
    </w:p>
    <w:p w14:paraId="79954F33" w14:textId="77777777" w:rsidR="0084489F" w:rsidRDefault="00110FE6">
      <w:pPr>
        <w:pStyle w:val="BodyText"/>
      </w:pPr>
      <w:r w:rsidRPr="246FBB6F">
        <w:rPr>
          <w:lang w:val="fr-FR"/>
        </w:rPr>
        <w:t>Les relations méréologiques :</w:t>
      </w:r>
    </w:p>
    <w:p w14:paraId="700C4AEA" w14:textId="77777777" w:rsidR="0084489F" w:rsidRDefault="00110FE6">
      <w:pPr>
        <w:pStyle w:val="BodyText"/>
      </w:pPr>
      <w:r>
        <w:t>La documentation d'une relation partie-tout associée à un phénomène temporel est essentielle au raisonnement historique. Le CIDOC CRM distingue deux spécialisations immédiates des entités temporelles :</w:t>
      </w:r>
    </w:p>
    <w:p w14:paraId="22A2E8B9" w14:textId="77777777" w:rsidR="0084489F" w:rsidRDefault="00110FE6" w:rsidP="00806324">
      <w:pPr>
        <w:numPr>
          <w:ilvl w:val="0"/>
          <w:numId w:val="37"/>
        </w:numPr>
      </w:pPr>
      <w:r>
        <w:rPr>
          <w:rStyle w:val="VerbatimChar"/>
        </w:rPr>
        <w:t>E4_Période</w:t>
      </w:r>
      <w:r>
        <w:t xml:space="preserve"> est un concept de haut niveau pour la documentation de phénomènes temporels portant sur des changements ou des interactions dans l'espace et dans le temps. Cela inclut des périodes historiques (p. ex. Ming, Romaine) sans pour autant s'y limiter. </w:t>
      </w:r>
      <w:r>
        <w:rPr>
          <w:rStyle w:val="VerbatimChar"/>
        </w:rPr>
        <w:t>E4_Période</w:t>
      </w:r>
      <w:r>
        <w:t xml:space="preserve"> est l'objet de davantage de spécialisation grâce à une riche hiérarchie de processus et d'activités plus spécifiques.</w:t>
      </w:r>
    </w:p>
    <w:p w14:paraId="5EC6C278" w14:textId="77777777" w:rsidR="0084489F" w:rsidRDefault="00110FE6" w:rsidP="00806324">
      <w:pPr>
        <w:numPr>
          <w:ilvl w:val="0"/>
          <w:numId w:val="37"/>
        </w:numPr>
      </w:pPr>
      <w:r>
        <w:rPr>
          <w:rStyle w:val="VerbatimChar"/>
        </w:rPr>
        <w:t>E3_État_matériel</w:t>
      </w:r>
      <w:r>
        <w:t xml:space="preserve"> est une classe spécifique pour la documentation de phases statiques de choses physiques. Le CIDOC CRM ne décrit pas à l'heure actuelle de classe de haut niveau pour les phases statiques car ces dernières constituent la plupart du temps des déductions issues de multiples observations, sont souvent problématiques en termes d'intégration de l'information, et sont vulnérables à la révision non monotone.</w:t>
      </w:r>
    </w:p>
    <w:p w14:paraId="0A1F5774" w14:textId="77777777" w:rsidR="0084489F" w:rsidRDefault="00110FE6">
      <w:pPr>
        <w:pStyle w:val="FirstParagraph"/>
      </w:pPr>
      <w:r w:rsidRPr="246FBB6F">
        <w:rPr>
          <w:lang w:val="fr-FR"/>
        </w:rPr>
        <w:t>Pour ces deux classes deux relations méréologiques sont articulées par le CIDOC CRM :</w:t>
      </w:r>
    </w:p>
    <w:p w14:paraId="6F6AB928" w14:textId="77777777" w:rsidR="0084489F" w:rsidRDefault="00110FE6" w:rsidP="00806324">
      <w:pPr>
        <w:numPr>
          <w:ilvl w:val="0"/>
          <w:numId w:val="38"/>
        </w:numPr>
      </w:pPr>
      <w:r w:rsidRPr="246FBB6F">
        <w:rPr>
          <w:i/>
          <w:iCs/>
          <w:lang w:val="fr-FR"/>
        </w:rPr>
        <w:t>Des relations de partie-tout</w:t>
      </w:r>
      <w:r w:rsidRPr="246FBB6F">
        <w:rPr>
          <w:lang w:val="fr-FR"/>
        </w:rPr>
        <w:t xml:space="preserve"> documentées entre des instances de </w:t>
      </w:r>
      <w:r w:rsidRPr="246FBB6F">
        <w:rPr>
          <w:rStyle w:val="VerbatimChar"/>
          <w:lang w:val="fr-FR"/>
        </w:rPr>
        <w:t>E3_État_matériel</w:t>
      </w:r>
      <w:r w:rsidRPr="246FBB6F">
        <w:rPr>
          <w:lang w:val="fr-FR"/>
        </w:rPr>
        <w:t xml:space="preserve"> grâce à la propriété </w:t>
      </w:r>
      <w:r w:rsidRPr="246FBB6F">
        <w:rPr>
          <w:rStyle w:val="VerbatimChar"/>
          <w:lang w:val="fr-FR"/>
        </w:rPr>
        <w:t>P5_comprend (fait_partie_de)</w:t>
      </w:r>
      <w:r w:rsidRPr="246FBB6F">
        <w:rPr>
          <w:lang w:val="fr-FR"/>
        </w:rPr>
        <w:t xml:space="preserve">, et documentées entre des instances de </w:t>
      </w:r>
      <w:r w:rsidRPr="246FBB6F">
        <w:rPr>
          <w:rStyle w:val="VerbatimChar"/>
          <w:lang w:val="fr-FR"/>
        </w:rPr>
        <w:t>E4_Période</w:t>
      </w:r>
      <w:r w:rsidRPr="246FBB6F">
        <w:rPr>
          <w:lang w:val="fr-FR"/>
        </w:rPr>
        <w:t xml:space="preserve"> grâce à la propriété </w:t>
      </w:r>
      <w:r w:rsidRPr="246FBB6F">
        <w:rPr>
          <w:rStyle w:val="VerbatimChar"/>
          <w:lang w:val="fr-FR"/>
        </w:rPr>
        <w:t>P9_comprend (fait_partie_de)</w:t>
      </w:r>
      <w:r w:rsidRPr="246FBB6F">
        <w:rPr>
          <w:lang w:val="fr-FR"/>
        </w:rPr>
        <w:t xml:space="preserve"> (c.-à-d. pour décrire comment les phénomènes constituant l'instance de </w:t>
      </w:r>
      <w:r w:rsidRPr="246FBB6F">
        <w:rPr>
          <w:rStyle w:val="VerbatimChar"/>
          <w:lang w:val="fr-FR"/>
        </w:rPr>
        <w:t>E4_Période</w:t>
      </w:r>
      <w:r w:rsidRPr="246FBB6F">
        <w:rPr>
          <w:lang w:val="fr-FR"/>
        </w:rPr>
        <w:t xml:space="preserve"> peuvent être causalement sous-divisés en des phénomènes plus délimités);</w:t>
      </w:r>
    </w:p>
    <w:p w14:paraId="6C4E2053" w14:textId="77777777" w:rsidR="0084489F" w:rsidRDefault="00110FE6" w:rsidP="00806324">
      <w:pPr>
        <w:numPr>
          <w:ilvl w:val="0"/>
          <w:numId w:val="38"/>
        </w:numPr>
      </w:pPr>
      <w:r>
        <w:rPr>
          <w:i/>
          <w:iCs/>
        </w:rPr>
        <w:lastRenderedPageBreak/>
        <w:t>Des relations de cooccurrence non causale dans une même étendue spatio-temporelle</w:t>
      </w:r>
      <w:r>
        <w:t xml:space="preserve"> documentées grâce à la propriété </w:t>
      </w:r>
      <w:r>
        <w:rPr>
          <w:rStyle w:val="VerbatimChar"/>
        </w:rPr>
        <w:t>P10_s’insère_dans (contient)</w:t>
      </w:r>
      <w:r>
        <w:t xml:space="preserve"> [n.d.t. qui ne peut être utilisée dans ce contexte qu'avec des instances de </w:t>
      </w:r>
      <w:r>
        <w:rPr>
          <w:rStyle w:val="VerbatimChar"/>
        </w:rPr>
        <w:t>E4_Période</w:t>
      </w:r>
      <w:r>
        <w:t xml:space="preserve">] (cette propriété est examinée davantage dans la section </w:t>
      </w:r>
      <w:hyperlink w:anchor="des-relations-spatio-temporelles">
        <w:r>
          <w:rPr>
            <w:rStyle w:val="Hyperlink"/>
          </w:rPr>
          <w:t>Des relations spatio-temporelles</w:t>
        </w:r>
      </w:hyperlink>
      <w:r>
        <w:t>).</w:t>
      </w:r>
    </w:p>
    <w:p w14:paraId="0C3B0678" w14:textId="77777777" w:rsidR="0084489F" w:rsidRDefault="00110FE6">
      <w:pPr>
        <w:pStyle w:val="FirstParagraph"/>
      </w:pPr>
      <w:r>
        <w:t>Les relations topologiques :</w:t>
      </w:r>
    </w:p>
    <w:p w14:paraId="4F73D5E0" w14:textId="77777777" w:rsidR="0084489F" w:rsidRDefault="00110FE6">
      <w:pPr>
        <w:pStyle w:val="BodyText"/>
      </w:pPr>
      <w:r>
        <w:t>Plusieurs relations sémantiques ont une incidence sur l'ordonnancement temporel d'entités temporelles (p. ex. le fait de rencontrer quelqu'un ne peut survenir qu'après la naissance et avant la mort des personnes impliquées, de l'information ne peut être transmise qu'après avoir été apprise). De plus, de l'information directe sur l'ordonnancement temporel d'entités peut avoir une incidence sur leurs relations sémantiques possibles ou impossibles. Ce type de raisonnement est d'une grande importance pour la recherche au sujet du passé.</w:t>
      </w:r>
    </w:p>
    <w:p w14:paraId="29E0D9A1" w14:textId="21AD7AE5" w:rsidR="0084489F" w:rsidRDefault="00110FE6">
      <w:pPr>
        <w:pStyle w:val="BodyText"/>
      </w:pPr>
      <w:r w:rsidRPr="246FBB6F">
        <w:rPr>
          <w:lang w:val="fr-FR"/>
        </w:rPr>
        <w:t xml:space="preserve">Les relations temporelles définies dans « Maintaining knowledge about temporal intervals » (Allen 1983) et mobilisées dans les versions précédentes du CIDOC CRM ne permettent cependant pas de décrire adéquatement des inférences issues de relations sémantiques (voir la section </w:t>
      </w:r>
      <w:hyperlink w:anchor="X6d72a89fa54b9010b0e3c47640f19595c3e80f8">
        <w:r w:rsidRPr="246FBB6F">
          <w:rPr>
            <w:rStyle w:val="Hyperlink"/>
            <w:lang w:val="fr-FR"/>
          </w:rPr>
          <w:t>Des relations temporelles primitives fondées sur des frontières floues</w:t>
        </w:r>
      </w:hyperlink>
      <w:r w:rsidRPr="246FBB6F">
        <w:rPr>
          <w:lang w:val="fr-FR"/>
        </w:rPr>
        <w:t>). Le CIDOC CRM introduit donc ici une théorie des frontières floues dans un contexte temporel, ce qui permet l'inter-positionnement d'entités temporelles tout en prenant en compte l'aspect flou inhérent à ces entités. Ce modèle subsume les relations précédentes de Allen qui peuvent néanmoins toujours être utilisées dans les extensions du CIDOC CRM.</w:t>
      </w:r>
    </w:p>
    <w:p w14:paraId="3209B481" w14:textId="77777777" w:rsidR="0084489F" w:rsidRDefault="00110FE6">
      <w:pPr>
        <w:pStyle w:val="BlockText"/>
      </w:pPr>
      <w:r>
        <w:rPr>
          <w:b/>
          <w:bCs/>
          <w:i/>
          <w:iCs/>
        </w:rPr>
        <w:t>Note de traduction</w:t>
      </w:r>
    </w:p>
    <w:p w14:paraId="395E897D" w14:textId="77777777" w:rsidR="0084489F" w:rsidRDefault="00110FE6">
      <w:pPr>
        <w:pStyle w:val="BlockText"/>
      </w:pPr>
      <w:r>
        <w:rPr>
          <w:b/>
          <w:bCs/>
          <w:i/>
          <w:iCs/>
        </w:rPr>
        <w:t>Références</w:t>
      </w:r>
    </w:p>
    <w:p w14:paraId="7ACD44F7" w14:textId="77777777" w:rsidR="0084489F" w:rsidRDefault="0084489F">
      <w:pPr>
        <w:pStyle w:val="BlockText"/>
      </w:pPr>
    </w:p>
    <w:p w14:paraId="2FDBBFA7" w14:textId="77777777" w:rsidR="0084489F" w:rsidRDefault="00110FE6">
      <w:pPr>
        <w:pStyle w:val="Heading3"/>
      </w:pPr>
      <w:bookmarkStart w:id="84" w:name="_Toc176864426"/>
      <w:bookmarkStart w:id="85" w:name="des-relations-spatio-temporelles"/>
      <w:bookmarkEnd w:id="83"/>
      <w:r>
        <w:t>Des relations spatio-temporelles</w:t>
      </w:r>
      <w:bookmarkEnd w:id="84"/>
    </w:p>
    <w:p w14:paraId="1C543054" w14:textId="77777777" w:rsidR="0084489F" w:rsidRDefault="00110FE6">
      <w:pPr>
        <w:pStyle w:val="FirstParagraph"/>
      </w:pPr>
      <w:r>
        <w:t>La plupart du temps, il est adéquat de traiter le temps et l'espace comme des entités distinctes lors de la description d'évènements et des lieux où ils se produisent. Une documentation et un raisonnement plus précis sont parfois requis afin de décrire des phénomènes se produisant dans la durée (p. ex. l'âge du bronze, un établissement, une nation, des cadres de référence pour les mouvements de bateaux, des choses étant entreposées dans des conteneurs puis déplacées, des constructions étant partiellement détruites, reconstruites ou altérées, etc.). L'espace et le temps doivent alors être conceptualisés sur un continuum cohérent : l'espace-temps.</w:t>
      </w:r>
    </w:p>
    <w:p w14:paraId="64CEC501" w14:textId="77777777" w:rsidR="0084489F" w:rsidRDefault="00110FE6">
      <w:pPr>
        <w:pStyle w:val="BodyText"/>
      </w:pPr>
      <w:r w:rsidRPr="246FBB6F">
        <w:rPr>
          <w:lang w:val="fr-FR"/>
        </w:rPr>
        <w:t>Le modèle du CIDOC CRM est une interface valide pour CRMgeo (Doerr &amp; Hiebel, 2013) qui mobilise les standards OGC [n.d.t. standards de l'Open Geospatial Consortium qui assurent l'interopérabilité dans les domaines de la géomatique et de l'information] qui sont essentiels à l'utilisation de systèmes d'information géographiques (applications SIG).</w:t>
      </w:r>
    </w:p>
    <w:p w14:paraId="6B68A3EF" w14:textId="77777777" w:rsidR="0084489F" w:rsidRDefault="00110FE6">
      <w:pPr>
        <w:pStyle w:val="BodyText"/>
      </w:pPr>
      <w:r>
        <w:t xml:space="preserve">La classe clé qu'offre le CIDOC CRM pour la modélisation de telles informations est </w:t>
      </w:r>
      <w:r>
        <w:rPr>
          <w:rStyle w:val="VerbatimChar"/>
        </w:rPr>
        <w:t>E92_Volume_spatio-temporel</w:t>
      </w:r>
      <w:r>
        <w:t xml:space="preserve"> qui documente des étendues géométriques, situées dans l'espace-temps physique, qui contiennent des positions d'évènements ou de choses réelles ou possibles. </w:t>
      </w:r>
      <w:r>
        <w:rPr>
          <w:rStyle w:val="VerbatimChar"/>
        </w:rPr>
        <w:t>E92_Volume_spatio-temporel</w:t>
      </w:r>
      <w:r>
        <w:t xml:space="preserve"> est particulièrement utilisé dans des changements de lieux documentés ne peuvent pas être réduits à des évènements distincts en raison d'une étendue spatiale en changement (p. ex. dans la description d'index géographiques). Les classes et propriétés de haut niveau qui s'articulent autour de </w:t>
      </w:r>
      <w:r>
        <w:rPr>
          <w:rStyle w:val="VerbatimChar"/>
        </w:rPr>
        <w:t>E92_Volume_spatio-temporel</w:t>
      </w:r>
      <w:r>
        <w:t xml:space="preserve"> permettent de documenter :</w:t>
      </w:r>
    </w:p>
    <w:p w14:paraId="2865E93C" w14:textId="77777777" w:rsidR="0084489F" w:rsidRDefault="00110FE6" w:rsidP="00806324">
      <w:pPr>
        <w:numPr>
          <w:ilvl w:val="0"/>
          <w:numId w:val="39"/>
        </w:numPr>
      </w:pPr>
      <w:r w:rsidRPr="246FBB6F">
        <w:rPr>
          <w:lang w:val="fr-FR"/>
        </w:rPr>
        <w:t>les relations entre des espaces-temps;</w:t>
      </w:r>
    </w:p>
    <w:p w14:paraId="68B15B5E" w14:textId="77777777" w:rsidR="0084489F" w:rsidRDefault="00110FE6" w:rsidP="00806324">
      <w:pPr>
        <w:numPr>
          <w:ilvl w:val="0"/>
          <w:numId w:val="39"/>
        </w:numPr>
      </w:pPr>
      <w:r w:rsidRPr="246FBB6F">
        <w:rPr>
          <w:lang w:val="fr-FR"/>
        </w:rPr>
        <w:t>les relations à l'espace et au temps en tant qu'entités distinctes;</w:t>
      </w:r>
    </w:p>
    <w:p w14:paraId="770B044E" w14:textId="77777777" w:rsidR="0084489F" w:rsidRDefault="00110FE6" w:rsidP="00806324">
      <w:pPr>
        <w:numPr>
          <w:ilvl w:val="0"/>
          <w:numId w:val="39"/>
        </w:numPr>
      </w:pPr>
      <w:r w:rsidRPr="246FBB6F">
        <w:rPr>
          <w:lang w:val="fr-FR"/>
        </w:rPr>
        <w:lastRenderedPageBreak/>
        <w:t>le traitement de l'étendue exacte de choses physiques et de périodes dans l'espace à tout moment de leur existence en tant que volume spatio-temporel.</w:t>
      </w:r>
    </w:p>
    <w:p w14:paraId="7CB11866" w14:textId="77777777" w:rsidR="0084489F" w:rsidRDefault="00110FE6">
      <w:pPr>
        <w:pStyle w:val="FirstParagraph"/>
      </w:pPr>
      <w:r>
        <w:rPr>
          <w:i/>
          <w:iCs/>
        </w:rPr>
        <w:t>Définition d'un volume spatio-temporel</w:t>
      </w:r>
    </w:p>
    <w:p w14:paraId="3101E8D5" w14:textId="77777777" w:rsidR="0084489F" w:rsidRDefault="00110FE6">
      <w:pPr>
        <w:pStyle w:val="BodyText"/>
      </w:pPr>
      <w:r>
        <w:t>Il y a trois manières de définir un volume spatio-temporel :</w:t>
      </w:r>
    </w:p>
    <w:p w14:paraId="314DFCE3" w14:textId="77777777" w:rsidR="0084489F" w:rsidRDefault="00110FE6" w:rsidP="00806324">
      <w:pPr>
        <w:numPr>
          <w:ilvl w:val="0"/>
          <w:numId w:val="40"/>
        </w:numPr>
      </w:pPr>
      <w:r w:rsidRPr="246FBB6F">
        <w:rPr>
          <w:lang w:val="fr-FR"/>
        </w:rPr>
        <w:t xml:space="preserve">La propriété </w:t>
      </w:r>
      <w:r w:rsidRPr="246FBB6F">
        <w:rPr>
          <w:rStyle w:val="VerbatimChar"/>
          <w:lang w:val="fr-FR"/>
        </w:rPr>
        <w:t>P169_définit_le_volume_spatio-temporel (volume_spatio-temporel_défini_par)</w:t>
      </w:r>
      <w:r w:rsidRPr="246FBB6F">
        <w:rPr>
          <w:lang w:val="fr-FR"/>
        </w:rPr>
        <w:t xml:space="preserve"> déclare un contenant spatio-temporel pour un évènement ou une chose. Ce contenant est défini en termes de coordonnées spatiales qui peuvent varier à travers le temps, variation qui peut être représentée par des étapes distinctes ou de manière continue à l'aide d'expression de l'espace-temps qui prennent alors la forme d'instances de </w:t>
      </w:r>
      <w:r w:rsidRPr="246FBB6F">
        <w:rPr>
          <w:rStyle w:val="VerbatimChar"/>
          <w:lang w:val="fr-FR"/>
        </w:rPr>
        <w:t>E95_Primitive_spatio-temporelle</w:t>
      </w:r>
      <w:r w:rsidRPr="246FBB6F">
        <w:rPr>
          <w:lang w:val="fr-FR"/>
        </w:rPr>
        <w:t xml:space="preserve"> (une classe primitive pour l'expression de valeurs dans un système de données ne faisant pas l'objet d'analyses supplémentaires par le CIDOC CRM ).</w:t>
      </w:r>
    </w:p>
    <w:p w14:paraId="17EB4B36" w14:textId="77777777" w:rsidR="0084489F" w:rsidRDefault="00110FE6" w:rsidP="00806324">
      <w:pPr>
        <w:numPr>
          <w:ilvl w:val="0"/>
          <w:numId w:val="40"/>
        </w:numPr>
      </w:pPr>
      <w:r>
        <w:t xml:space="preserve">Les instances de </w:t>
      </w:r>
      <w:r>
        <w:rPr>
          <w:rStyle w:val="VerbatimChar"/>
        </w:rPr>
        <w:t>E4_Période</w:t>
      </w:r>
      <w:r>
        <w:t xml:space="preserve">, instances spécialisées de </w:t>
      </w:r>
      <w:r>
        <w:rPr>
          <w:rStyle w:val="VerbatimChar"/>
        </w:rPr>
        <w:t>E92_Volume_spatio-temporel</w:t>
      </w:r>
      <w:r>
        <w:t xml:space="preserve"> qui sont floues tout en étant observables, forment un phénomène englobant qui prend lui aussi la forme d'une instance de </w:t>
      </w:r>
      <w:r>
        <w:rPr>
          <w:rStyle w:val="VerbatimChar"/>
        </w:rPr>
        <w:t>E4_Période</w:t>
      </w:r>
      <w:r>
        <w:t>.</w:t>
      </w:r>
    </w:p>
    <w:p w14:paraId="38B119AE" w14:textId="77777777" w:rsidR="0084489F" w:rsidRDefault="00110FE6" w:rsidP="00806324">
      <w:pPr>
        <w:numPr>
          <w:ilvl w:val="0"/>
          <w:numId w:val="40"/>
        </w:numPr>
      </w:pPr>
      <w:r w:rsidRPr="246FBB6F">
        <w:rPr>
          <w:lang w:val="fr-FR"/>
        </w:rPr>
        <w:t xml:space="preserve">Une instance de </w:t>
      </w:r>
      <w:r w:rsidRPr="246FBB6F">
        <w:rPr>
          <w:rStyle w:val="VerbatimChar"/>
          <w:lang w:val="fr-FR"/>
        </w:rPr>
        <w:t>E18_Chose_matérielle</w:t>
      </w:r>
      <w:r w:rsidRPr="246FBB6F">
        <w:rPr>
          <w:lang w:val="fr-FR"/>
        </w:rPr>
        <w:t xml:space="preserve"> (en tant que séquence continue d'étendue spatiale occupée à travers le temps par la matière) définit un volume spatio-temporel unique du début à la fin de son existence, ce qui peut aussi être considéré comme sa trajectoire dans l'univers. La propriété </w:t>
      </w:r>
      <w:r w:rsidRPr="246FBB6F">
        <w:rPr>
          <w:rStyle w:val="VerbatimChar"/>
          <w:lang w:val="fr-FR"/>
        </w:rPr>
        <w:t>P169_définit_le_volume_spatio-temporel (volume_spatio-temporel_défini_par)</w:t>
      </w:r>
      <w:r w:rsidRPr="246FBB6F">
        <w:rPr>
          <w:lang w:val="fr-FR"/>
        </w:rPr>
        <w:t xml:space="preserve"> permet de référer à ce volume spatio-temporel afin d'en documenter des attributs supplémentaires. Ce volume spatio-temporel est donc flou tout en étant observable et, bien qu'il ne soit pas aisé de visualiser mentalement le volume spatio-temporel d'une chose physique, cela simplifie grandement le raisonnement logique au sujet des lieux où se sont trouvé des choses.</w:t>
      </w:r>
    </w:p>
    <w:p w14:paraId="7D32F17D" w14:textId="77777777" w:rsidR="0084489F" w:rsidRDefault="00110FE6">
      <w:pPr>
        <w:pStyle w:val="FirstParagraph"/>
      </w:pPr>
      <w:r>
        <w:rPr>
          <w:noProof/>
        </w:rPr>
        <w:lastRenderedPageBreak/>
        <w:drawing>
          <wp:inline distT="0" distB="0" distL="0" distR="0" wp14:anchorId="0F1D0841" wp14:editId="67D2690C">
            <wp:extent cx="6858000" cy="4899722"/>
            <wp:effectExtent l="0" t="0" r="0" b="0"/>
            <wp:docPr id="130" name="Picture" descr="Un diagramme illustre les classes et les propriétés fondamentales servant au raisonnement logique avec les volumes spatio-temporels. Les classes sont identifiées par des rectangles. Les propriétés sont identifiées par des flèches reliant les classes entre elles. Les liens entre ces classes et propriétés sont décrites dans le texte ci-dessous."/>
            <wp:cNvGraphicFramePr/>
            <a:graphic xmlns:a="http://schemas.openxmlformats.org/drawingml/2006/main">
              <a:graphicData uri="http://schemas.openxmlformats.org/drawingml/2006/picture">
                <pic:pic xmlns:pic="http://schemas.openxmlformats.org/drawingml/2006/picture">
                  <pic:nvPicPr>
                    <pic:cNvPr id="131" name="Picture" descr="/Users/trangdang/Documents/CHIN/Work/documentation/cidoc_crm_fr-ca/docs/v7.1.3/figures/Fig_6_FR.png"/>
                    <pic:cNvPicPr>
                      <a:picLocks noChangeAspect="1" noChangeArrowheads="1"/>
                    </pic:cNvPicPr>
                  </pic:nvPicPr>
                  <pic:blipFill>
                    <a:blip r:embed="rId150"/>
                    <a:stretch>
                      <a:fillRect/>
                    </a:stretch>
                  </pic:blipFill>
                  <pic:spPr bwMode="auto">
                    <a:xfrm>
                      <a:off x="0" y="0"/>
                      <a:ext cx="6858000" cy="4899722"/>
                    </a:xfrm>
                    <a:prstGeom prst="rect">
                      <a:avLst/>
                    </a:prstGeom>
                    <a:noFill/>
                    <a:ln w="9525">
                      <a:noFill/>
                      <a:headEnd/>
                      <a:tailEnd/>
                    </a:ln>
                  </pic:spPr>
                </pic:pic>
              </a:graphicData>
            </a:graphic>
          </wp:inline>
        </w:drawing>
      </w:r>
    </w:p>
    <w:p w14:paraId="26673AFA" w14:textId="77777777" w:rsidR="0084489F" w:rsidRPr="00BC5C04" w:rsidRDefault="00110FE6">
      <w:pPr>
        <w:pStyle w:val="BodyText"/>
        <w:rPr>
          <w:sz w:val="20"/>
          <w:szCs w:val="20"/>
        </w:rPr>
      </w:pPr>
      <w:r w:rsidRPr="00BC5C04">
        <w:rPr>
          <w:i/>
          <w:iCs/>
          <w:sz w:val="20"/>
          <w:szCs w:val="20"/>
        </w:rPr>
        <w:t>Figure 6 : Propriétés et classes fondamentales pour le raisonnement logique avec les volumes spatio-temporels</w:t>
      </w:r>
    </w:p>
    <w:p w14:paraId="614E5851" w14:textId="4A8AC10F" w:rsidR="0084489F" w:rsidRPr="00BC5C04" w:rsidRDefault="00110FE6">
      <w:pPr>
        <w:pStyle w:val="BodyText"/>
        <w:rPr>
          <w:sz w:val="20"/>
          <w:szCs w:val="20"/>
        </w:rPr>
      </w:pPr>
      <w:r w:rsidRPr="00BC5C04">
        <w:rPr>
          <w:i/>
          <w:iCs/>
          <w:sz w:val="20"/>
          <w:szCs w:val="20"/>
        </w:rPr>
        <w:t>Mention de source des figures : Bibliothèques logicielles diagrams.net</w:t>
      </w:r>
      <w:r w:rsidRPr="00BC5C04">
        <w:rPr>
          <w:sz w:val="20"/>
          <w:szCs w:val="20"/>
        </w:rPr>
        <w:t>, © Réseau canadien d'information sur le patrimoine 2024</w:t>
      </w:r>
    </w:p>
    <w:p w14:paraId="159F10EB" w14:textId="77777777" w:rsidR="0084489F" w:rsidRDefault="00110FE6">
      <w:pPr>
        <w:pStyle w:val="BodyText"/>
      </w:pPr>
      <w:r>
        <w:rPr>
          <w:i/>
          <w:iCs/>
        </w:rPr>
        <w:t>Relations d'un volume spatio-temporel à des lieux ou à des choses physiques</w:t>
      </w:r>
    </w:p>
    <w:p w14:paraId="1258B3A8" w14:textId="77777777" w:rsidR="0084489F" w:rsidRDefault="00110FE6">
      <w:pPr>
        <w:pStyle w:val="BodyText"/>
      </w:pPr>
      <w:r w:rsidRPr="246FBB6F">
        <w:rPr>
          <w:lang w:val="fr-FR"/>
        </w:rPr>
        <w:t xml:space="preserve">La propriété </w:t>
      </w:r>
      <w:r w:rsidRPr="246FBB6F">
        <w:rPr>
          <w:rStyle w:val="VerbatimChar"/>
          <w:lang w:val="fr-FR"/>
        </w:rPr>
        <w:t>P161_a_pour_projection_spatiale (est_la_projection_spatiale_de)</w:t>
      </w:r>
      <w:r w:rsidRPr="246FBB6F">
        <w:rPr>
          <w:lang w:val="fr-FR"/>
        </w:rPr>
        <w:t xml:space="preserve"> associe un volume spatio-temporel à l'étendue spatiale qu'il a occupé durant l'intervalle temporel de la définition. En raison de la relativité de l'espace, la définition d'instances de </w:t>
      </w:r>
      <w:r w:rsidRPr="246FBB6F">
        <w:rPr>
          <w:rStyle w:val="VerbatimChar"/>
          <w:lang w:val="fr-FR"/>
        </w:rPr>
        <w:t>E53_Lieu</w:t>
      </w:r>
      <w:r w:rsidRPr="246FBB6F">
        <w:rPr>
          <w:lang w:val="fr-FR"/>
        </w:rPr>
        <w:t xml:space="preserve"> doit être relative à une chose physique utilisée comme référence géométrique, une relation documentée par la propriété </w:t>
      </w:r>
      <w:r w:rsidRPr="246FBB6F">
        <w:rPr>
          <w:rStyle w:val="VerbatimChar"/>
          <w:lang w:val="fr-FR"/>
        </w:rPr>
        <w:t>P157_est_à_l’arrêt_par_rapport_à (procure_l'espace_de_référence_pour)</w:t>
      </w:r>
      <w:r w:rsidRPr="246FBB6F">
        <w:rPr>
          <w:lang w:val="fr-FR"/>
        </w:rPr>
        <w:t>. Si l'emplacement d'une chose à un certain moment est disponible pour de multiples espaces relatifs de référence en mouvement (p. ex. dans le cas d'un bateau par rapport au sol marin), ces espaces définis différemment peuvent éventuellement s'éloigner ou se disjoindre les uns des autres. Ainsi, un volume spatio-temporel, même s'il est défini de manière unique, peut avoir de nombreuses projections spatiales qui dépendent de l'espace de référence.</w:t>
      </w:r>
    </w:p>
    <w:p w14:paraId="6FF0F4EB" w14:textId="77777777" w:rsidR="0084489F" w:rsidRDefault="00110FE6">
      <w:pPr>
        <w:pStyle w:val="BodyText"/>
      </w:pPr>
      <w:r w:rsidRPr="246FBB6F">
        <w:rPr>
          <w:lang w:val="fr-FR"/>
        </w:rPr>
        <w:t xml:space="preserve">Les systèmes de géo-positionnement satellite (GPS) actuels définissent par défaut la surface de la Terre comme espace de référence. Dans le cas de descriptions d'objets mobiles dont la forme est fixe, comme dans le contexte de conservation d'art, il est parfois utile de désigner l'endroit précis d'une chose physique par rapport à elle-même en l'utilisant comme espace de référence de concert avec la propriété </w:t>
      </w:r>
      <w:r w:rsidRPr="246FBB6F">
        <w:rPr>
          <w:rStyle w:val="VerbatimChar"/>
          <w:lang w:val="fr-FR"/>
        </w:rPr>
        <w:t>P156_occupe (est_occupé_par)</w:t>
      </w:r>
      <w:r w:rsidRPr="246FBB6F">
        <w:rPr>
          <w:lang w:val="fr-FR"/>
        </w:rPr>
        <w:t xml:space="preserve">. Cette dernière constitue une projection particulière du volume spatio-temporel de la chose en question. Elle se distingue de </w:t>
      </w:r>
      <w:r w:rsidRPr="246FBB6F">
        <w:rPr>
          <w:rStyle w:val="VerbatimChar"/>
          <w:lang w:val="fr-FR"/>
        </w:rPr>
        <w:t xml:space="preserve">P53_a_pour_localisation_actuelle_ou_antérieure </w:t>
      </w:r>
      <w:r w:rsidRPr="246FBB6F">
        <w:rPr>
          <w:rStyle w:val="VerbatimChar"/>
          <w:lang w:val="fr-FR"/>
        </w:rPr>
        <w:lastRenderedPageBreak/>
        <w:t>(est_la_localisation_actuelle_ou_antérieure_de)</w:t>
      </w:r>
      <w:r w:rsidRPr="246FBB6F">
        <w:rPr>
          <w:lang w:val="fr-FR"/>
        </w:rPr>
        <w:t xml:space="preserve"> qui ne décrit que le fait qu'une chose se trouvait dans un lieu spécifique par rapport à une référence spatiale sans précision temporelle.</w:t>
      </w:r>
    </w:p>
    <w:p w14:paraId="09F0C0C1" w14:textId="77777777" w:rsidR="0084489F" w:rsidRDefault="00110FE6">
      <w:pPr>
        <w:pStyle w:val="BodyText"/>
      </w:pPr>
      <w:r>
        <w:rPr>
          <w:i/>
          <w:iCs/>
        </w:rPr>
        <w:t>Relations d'un volume spatio-temporel à des intervalles temporels et à des périodes</w:t>
      </w:r>
    </w:p>
    <w:p w14:paraId="741F5672" w14:textId="5B7983D0" w:rsidR="0084489F" w:rsidRDefault="00110FE6">
      <w:pPr>
        <w:pStyle w:val="BodyText"/>
      </w:pPr>
      <w:r w:rsidRPr="246FBB6F">
        <w:rPr>
          <w:lang w:val="fr-FR"/>
        </w:rPr>
        <w:t xml:space="preserve">La propriété </w:t>
      </w:r>
      <w:r w:rsidRPr="246FBB6F">
        <w:rPr>
          <w:rStyle w:val="VerbatimChar"/>
          <w:lang w:val="fr-FR"/>
        </w:rPr>
        <w:t>P160_a_pour_projection_temporelle (est_la_projection_temporelle_de)</w:t>
      </w:r>
      <w:r w:rsidRPr="246FBB6F">
        <w:rPr>
          <w:lang w:val="fr-FR"/>
        </w:rPr>
        <w:t xml:space="preserve"> associe un volume spatio-temporel à l'étendue temporelle complète que ce volume a recoupé, y compris tous les lieux de sa définition. Contrairement aux lieux [n.d.t. dont les coordonnées de référence peuvent changer à travers le temps], le système de référence temporel est unique</w:t>
      </w:r>
      <w:r w:rsidR="005E2D08" w:rsidRPr="246FBB6F">
        <w:rPr>
          <w:rStyle w:val="FootnoteReference"/>
          <w:lang w:val="fr-FR"/>
        </w:rPr>
        <w:footnoteReference w:id="9"/>
      </w:r>
      <w:r w:rsidRPr="246FBB6F">
        <w:rPr>
          <w:lang w:val="fr-FR"/>
        </w:rPr>
        <w:t xml:space="preserve"> à l'exception du choix d'origine.</w:t>
      </w:r>
    </w:p>
    <w:p w14:paraId="7144454D" w14:textId="77777777" w:rsidR="0084489F" w:rsidRDefault="00110FE6">
      <w:pPr>
        <w:pStyle w:val="BodyText"/>
      </w:pPr>
      <w:r w:rsidRPr="246FBB6F">
        <w:rPr>
          <w:lang w:val="fr-FR"/>
        </w:rPr>
        <w:t xml:space="preserve">Comme les sous-classes de </w:t>
      </w:r>
      <w:r w:rsidRPr="246FBB6F">
        <w:rPr>
          <w:rStyle w:val="VerbatimChar"/>
          <w:lang w:val="fr-FR"/>
        </w:rPr>
        <w:t>E2_Entité_temporelle</w:t>
      </w:r>
      <w:r w:rsidRPr="246FBB6F">
        <w:rPr>
          <w:lang w:val="fr-FR"/>
        </w:rPr>
        <w:t xml:space="preserve"> héritent de la propriété </w:t>
      </w:r>
      <w:r w:rsidRPr="246FBB6F">
        <w:rPr>
          <w:rStyle w:val="VerbatimChar"/>
          <w:lang w:val="fr-FR"/>
        </w:rPr>
        <w:t>P4_a_pour_intervalle_temporel (est_l’intervalle_temporel_de)</w:t>
      </w:r>
      <w:r w:rsidRPr="246FBB6F">
        <w:rPr>
          <w:lang w:val="fr-FR"/>
        </w:rPr>
        <w:t xml:space="preserve">, les instances de </w:t>
      </w:r>
      <w:r w:rsidRPr="246FBB6F">
        <w:rPr>
          <w:rStyle w:val="VerbatimChar"/>
          <w:lang w:val="fr-FR"/>
        </w:rPr>
        <w:t>E4_Période</w:t>
      </w:r>
      <w:r w:rsidRPr="246FBB6F">
        <w:rPr>
          <w:lang w:val="fr-FR"/>
        </w:rPr>
        <w:t xml:space="preserve"> et de ses sous-classes héritent de la propriété </w:t>
      </w:r>
      <w:r w:rsidRPr="246FBB6F">
        <w:rPr>
          <w:rStyle w:val="VerbatimChar"/>
          <w:lang w:val="fr-FR"/>
        </w:rPr>
        <w:t>P160_a_pour_projection_temporelle (est_la_projection_temporelle_de)</w:t>
      </w:r>
      <w:r w:rsidRPr="246FBB6F">
        <w:rPr>
          <w:lang w:val="fr-FR"/>
        </w:rPr>
        <w:t xml:space="preserve"> qui lui est équivalente car elles décrivent toutes deux l'étendue temporelle du phénomène qui constitue une instance de </w:t>
      </w:r>
      <w:r w:rsidRPr="246FBB6F">
        <w:rPr>
          <w:rStyle w:val="VerbatimChar"/>
          <w:lang w:val="fr-FR"/>
        </w:rPr>
        <w:t>E4_Période</w:t>
      </w:r>
      <w:r w:rsidRPr="246FBB6F">
        <w:rPr>
          <w:lang w:val="fr-FR"/>
        </w:rPr>
        <w:t xml:space="preserve">. Il est recommandé d'utiliser </w:t>
      </w:r>
      <w:r w:rsidRPr="246FBB6F">
        <w:rPr>
          <w:rStyle w:val="VerbatimChar"/>
          <w:lang w:val="fr-FR"/>
        </w:rPr>
        <w:t>P4_a_pour_intervalle_temporel (est_l’intervalle_temporel_de)</w:t>
      </w:r>
      <w:r w:rsidRPr="246FBB6F">
        <w:rPr>
          <w:lang w:val="fr-FR"/>
        </w:rPr>
        <w:t xml:space="preserve"> de concert avec des instances de </w:t>
      </w:r>
      <w:r w:rsidRPr="246FBB6F">
        <w:rPr>
          <w:rStyle w:val="VerbatimChar"/>
          <w:lang w:val="fr-FR"/>
        </w:rPr>
        <w:t>E4_Période</w:t>
      </w:r>
      <w:r w:rsidRPr="246FBB6F">
        <w:rPr>
          <w:lang w:val="fr-FR"/>
        </w:rPr>
        <w:t xml:space="preserve"> et de ses sous-classes plutôt que d'utiliser </w:t>
      </w:r>
      <w:r w:rsidRPr="246FBB6F">
        <w:rPr>
          <w:rStyle w:val="VerbatimChar"/>
          <w:lang w:val="fr-FR"/>
        </w:rPr>
        <w:t>P160_a_pour_projection_temporelle (est_la_projection_temporelle_de)</w:t>
      </w:r>
      <w:r w:rsidRPr="246FBB6F">
        <w:rPr>
          <w:lang w:val="fr-FR"/>
        </w:rPr>
        <w:t>.</w:t>
      </w:r>
    </w:p>
    <w:p w14:paraId="63239EC5" w14:textId="77777777" w:rsidR="0084489F" w:rsidRDefault="00110FE6">
      <w:pPr>
        <w:pStyle w:val="BodyText"/>
      </w:pPr>
      <w:r>
        <w:rPr>
          <w:i/>
          <w:iCs/>
        </w:rPr>
        <w:t>Relations de présence</w:t>
      </w:r>
    </w:p>
    <w:p w14:paraId="688ED8E2" w14:textId="77777777" w:rsidR="0084489F" w:rsidRDefault="00110FE6">
      <w:pPr>
        <w:pStyle w:val="BodyText"/>
      </w:pPr>
      <w:r w:rsidRPr="246FBB6F">
        <w:rPr>
          <w:lang w:val="fr-FR"/>
        </w:rPr>
        <w:t xml:space="preserve">Les instances de </w:t>
      </w:r>
      <w:r w:rsidRPr="246FBB6F">
        <w:rPr>
          <w:rStyle w:val="VerbatimChar"/>
          <w:lang w:val="fr-FR"/>
        </w:rPr>
        <w:t>E93_Présence</w:t>
      </w:r>
      <w:r w:rsidRPr="246FBB6F">
        <w:rPr>
          <w:lang w:val="fr-FR"/>
        </w:rPr>
        <w:t xml:space="preserve"> sont des instances spécialisées de </w:t>
      </w:r>
      <w:r w:rsidRPr="246FBB6F">
        <w:rPr>
          <w:rStyle w:val="VerbatimChar"/>
          <w:lang w:val="fr-FR"/>
        </w:rPr>
        <w:t>E92_Volume_spatio-temporel</w:t>
      </w:r>
      <w:r w:rsidRPr="246FBB6F">
        <w:rPr>
          <w:lang w:val="fr-FR"/>
        </w:rPr>
        <w:t xml:space="preserve"> qui sont identiques à l'évolution spatiale d'un volume spatio-temporel plus large spécifié par la propriété </w:t>
      </w:r>
      <w:r w:rsidRPr="246FBB6F">
        <w:rPr>
          <w:rStyle w:val="VerbatimChar"/>
          <w:lang w:val="fr-FR"/>
        </w:rPr>
        <w:t>P166_a_été_une_présence_de (a_eu_pour_présence)</w:t>
      </w:r>
      <w:r w:rsidRPr="246FBB6F">
        <w:rPr>
          <w:lang w:val="fr-FR"/>
        </w:rPr>
        <w:t xml:space="preserve">, mais délimité par un intervalle temporel généralement court par la propriété </w:t>
      </w:r>
      <w:r w:rsidRPr="246FBB6F">
        <w:rPr>
          <w:rStyle w:val="VerbatimChar"/>
          <w:lang w:val="fr-FR"/>
        </w:rPr>
        <w:t>P164_est_temporellement_spécifié_par (spécifie_temporellement)</w:t>
      </w:r>
      <w:r w:rsidRPr="246FBB6F">
        <w:rPr>
          <w:lang w:val="fr-FR"/>
        </w:rPr>
        <w:t xml:space="preserve">. Il s'agit donc d'instantanés ou de « tranches » temporelles d'un autre volume spatio-temporel (p. ex. l'étendue de l'empire romain durant l'année 30 EC). Les instances de </w:t>
      </w:r>
      <w:r w:rsidRPr="246FBB6F">
        <w:rPr>
          <w:rStyle w:val="VerbatimChar"/>
          <w:lang w:val="fr-FR"/>
        </w:rPr>
        <w:t>E93_Présence</w:t>
      </w:r>
      <w:r w:rsidRPr="246FBB6F">
        <w:rPr>
          <w:lang w:val="fr-FR"/>
        </w:rPr>
        <w:t xml:space="preserve"> sont donc des construits spécifiques de modélisation qui décrivent précisément où une chose s'est produite ou s'est trouvée à un moment ou interval temporel particulier, et ce grâce à la propriété </w:t>
      </w:r>
      <w:r w:rsidRPr="246FBB6F">
        <w:rPr>
          <w:rStyle w:val="VerbatimChar"/>
          <w:lang w:val="fr-FR"/>
        </w:rPr>
        <w:t>P161_a_pour_projection_spatiale (est_la_projection_spatiale_de)</w:t>
      </w:r>
      <w:r w:rsidRPr="246FBB6F">
        <w:rPr>
          <w:lang w:val="fr-FR"/>
        </w:rPr>
        <w:t xml:space="preserve">. Ce construit particulier permet de décrire les emplacements d'objets mobiles à différentes étapes (p. ex. l'os d'un saint qui s'est trouvé dans une réserve muséale, dans un palace, dans le sol, ou transporté dans un conteneur). Aux fins de simplicité, un raccourci pour </w:t>
      </w:r>
      <w:r w:rsidRPr="246FBB6F">
        <w:rPr>
          <w:rStyle w:val="VerbatimChar"/>
          <w:lang w:val="fr-FR"/>
        </w:rPr>
        <w:t>E18_Chose_matérielle</w:t>
      </w:r>
      <w:r w:rsidRPr="246FBB6F">
        <w:rPr>
          <w:lang w:val="fr-FR"/>
        </w:rPr>
        <w:t xml:space="preserve"> est défini directement à travers l'usage de la propriété </w:t>
      </w:r>
      <w:r w:rsidRPr="246FBB6F">
        <w:rPr>
          <w:rStyle w:val="VerbatimChar"/>
          <w:lang w:val="fr-FR"/>
        </w:rPr>
        <w:t>P195_a_été_une_présence_de (a_eu_pour_présence)</w:t>
      </w:r>
      <w:r w:rsidRPr="246FBB6F">
        <w:rPr>
          <w:lang w:val="fr-FR"/>
        </w:rPr>
        <w:t>, ce qui permet d'outrepasser la définition de son volume spatio-temporel.</w:t>
      </w:r>
    </w:p>
    <w:p w14:paraId="4B2356D4" w14:textId="77777777" w:rsidR="0084489F" w:rsidRDefault="00110FE6">
      <w:pPr>
        <w:pStyle w:val="BodyText"/>
      </w:pPr>
      <w:r>
        <w:rPr>
          <w:i/>
          <w:iCs/>
        </w:rPr>
        <w:t>Relations topologiques</w:t>
      </w:r>
    </w:p>
    <w:p w14:paraId="4AAB0C8B" w14:textId="1AA20772" w:rsidR="0084489F" w:rsidRDefault="00110FE6" w:rsidP="003A1237">
      <w:pPr>
        <w:pStyle w:val="BodyText"/>
      </w:pPr>
      <w:r w:rsidRPr="246FBB6F">
        <w:rPr>
          <w:lang w:val="fr-FR"/>
        </w:rPr>
        <w:t xml:space="preserve">Finalement, le modèle définit des relations topologiques spatio-temporelles grâce à l'usage de la propriété </w:t>
      </w:r>
      <w:r w:rsidRPr="246FBB6F">
        <w:rPr>
          <w:rStyle w:val="VerbatimChar"/>
          <w:lang w:val="fr-FR"/>
        </w:rPr>
        <w:t>P10_s’insère_dans (contient)</w:t>
      </w:r>
      <w:r w:rsidRPr="246FBB6F">
        <w:rPr>
          <w:lang w:val="fr-FR"/>
        </w:rPr>
        <w:t xml:space="preserve"> qui inclut entièrement un volume spatio-temporel dans un autre. Cela n'équivaut cependant pas à l'inclusion de projections temporelles et spatiales qui peuvent être de plus grande ampleur (p. ex. en 14 EC, la mésopotamie n'était pas dans l'empire romain). En outre, la propriété </w:t>
      </w:r>
      <w:r w:rsidRPr="246FBB6F">
        <w:rPr>
          <w:rStyle w:val="VerbatimChar"/>
          <w:lang w:val="fr-FR"/>
        </w:rPr>
        <w:t>P132_recoupe_spatio-temporellement</w:t>
      </w:r>
      <w:r w:rsidRPr="246FBB6F">
        <w:rPr>
          <w:lang w:val="fr-FR"/>
        </w:rPr>
        <w:t xml:space="preserve"> et sa négation </w:t>
      </w:r>
      <w:r w:rsidRPr="246FBB6F">
        <w:rPr>
          <w:rStyle w:val="VerbatimChar"/>
          <w:lang w:val="fr-FR"/>
        </w:rPr>
        <w:t>P133_est_distinct_spatio-temporellement_de</w:t>
      </w:r>
      <w:r w:rsidRPr="246FBB6F">
        <w:rPr>
          <w:lang w:val="fr-FR"/>
        </w:rPr>
        <w:t xml:space="preserve"> sont fondamentales lorsqu'il est question de continuité possible, de relation partie-tout, etc.</w:t>
      </w:r>
    </w:p>
    <w:p w14:paraId="1F0D09F6" w14:textId="77777777" w:rsidR="0084489F" w:rsidRDefault="00110FE6">
      <w:pPr>
        <w:pStyle w:val="BlockText"/>
      </w:pPr>
      <w:r>
        <w:rPr>
          <w:b/>
          <w:bCs/>
          <w:i/>
          <w:iCs/>
        </w:rPr>
        <w:t>Note de traduction</w:t>
      </w:r>
    </w:p>
    <w:p w14:paraId="5243F78F" w14:textId="77777777" w:rsidR="0084489F" w:rsidRDefault="00110FE6">
      <w:pPr>
        <w:pStyle w:val="BlockText"/>
      </w:pPr>
      <w:r>
        <w:rPr>
          <w:b/>
          <w:bCs/>
          <w:i/>
          <w:iCs/>
        </w:rPr>
        <w:t>Références</w:t>
      </w:r>
    </w:p>
    <w:p w14:paraId="147D16F2" w14:textId="77777777" w:rsidR="0084489F" w:rsidRDefault="0084489F">
      <w:pPr>
        <w:pStyle w:val="BlockText"/>
      </w:pPr>
    </w:p>
    <w:p w14:paraId="1DE60E45" w14:textId="77777777" w:rsidR="0084489F" w:rsidRDefault="00110FE6">
      <w:pPr>
        <w:pStyle w:val="Heading2"/>
      </w:pPr>
      <w:bookmarkStart w:id="86" w:name="_Toc176864427"/>
      <w:bookmarkStart w:id="87" w:name="construits-specifiques-de-modelisation"/>
      <w:bookmarkEnd w:id="79"/>
      <w:bookmarkEnd w:id="85"/>
      <w:r>
        <w:lastRenderedPageBreak/>
        <w:t>Construits spécifiques de modélisation</w:t>
      </w:r>
      <w:bookmarkEnd w:id="86"/>
    </w:p>
    <w:p w14:paraId="1DBE2411" w14:textId="77777777" w:rsidR="0084489F" w:rsidRDefault="00110FE6">
      <w:pPr>
        <w:pStyle w:val="Heading3"/>
      </w:pPr>
      <w:bookmarkStart w:id="88" w:name="_Toc176864428"/>
      <w:bookmarkStart w:id="89" w:name="des-types"/>
      <w:r>
        <w:t>Des types</w:t>
      </w:r>
      <w:bookmarkEnd w:id="88"/>
    </w:p>
    <w:p w14:paraId="227A6017" w14:textId="17507624" w:rsidR="0084489F" w:rsidRDefault="00110FE6">
      <w:pPr>
        <w:pStyle w:val="FirstParagraph"/>
      </w:pPr>
      <w:r>
        <w:t xml:space="preserve">La plupart des descriptions structurées d'objets muséaux sont initiées par la création d'un identifiant et d'information au sujet du type de cet objet, information qui est recensée dans des champs tels que « classification », « catégorie », « type d'objet », « nom d'objet », etc. Ces champs sont utilisés afin de recenser des termes qui déclarent que l'objet appartient à une catégorie particulière. Dans le CIDOC CRM, la classe </w:t>
      </w:r>
      <w:r>
        <w:rPr>
          <w:rStyle w:val="VerbatimChar"/>
        </w:rPr>
        <w:t>E55_Type</w:t>
      </w:r>
      <w:r>
        <w:t xml:space="preserve"> accommode des concepts désignés par des termes. Ces instances de </w:t>
      </w:r>
      <w:r>
        <w:rPr>
          <w:rStyle w:val="VerbatimChar"/>
        </w:rPr>
        <w:t>E55_Type</w:t>
      </w:r>
      <w:r>
        <w:t xml:space="preserve"> représentent des concepts (universaux) qui se distinguent d'instances de </w:t>
      </w:r>
      <w:r>
        <w:rPr>
          <w:rStyle w:val="VerbatimChar"/>
        </w:rPr>
        <w:t>E41_Appellation</w:t>
      </w:r>
      <w:r>
        <w:t xml:space="preserve"> qui sont utilisées pour nommer les instances de classes du CIDOC CRM.</w:t>
      </w:r>
    </w:p>
    <w:p w14:paraId="4BC529DF" w14:textId="77777777" w:rsidR="0084489F" w:rsidRDefault="00110FE6">
      <w:pPr>
        <w:pStyle w:val="BodyText"/>
      </w:pPr>
      <w:r>
        <w:t>Le CIDOC CRM offre à cette fin deux propriétés de base qui décrivent une classification terminologique et qui correspondent aux pratiques courantes de la majorité des systèmes d'information :</w:t>
      </w:r>
    </w:p>
    <w:p w14:paraId="65E42FD8" w14:textId="77777777" w:rsidR="0084489F" w:rsidRDefault="00110FE6" w:rsidP="00806324">
      <w:pPr>
        <w:numPr>
          <w:ilvl w:val="0"/>
          <w:numId w:val="41"/>
        </w:numPr>
      </w:pPr>
      <w:r w:rsidRPr="246FBB6F">
        <w:rPr>
          <w:lang w:val="fr-FR"/>
        </w:rPr>
        <w:t xml:space="preserve">La propriété </w:t>
      </w:r>
      <w:r w:rsidRPr="246FBB6F">
        <w:rPr>
          <w:rStyle w:val="VerbatimChar"/>
          <w:lang w:val="fr-FR"/>
        </w:rPr>
        <w:t>P2_a_pour_type (est_le_type_de)</w:t>
      </w:r>
      <w:r w:rsidRPr="246FBB6F">
        <w:rPr>
          <w:lang w:val="fr-FR"/>
        </w:rPr>
        <w:t xml:space="preserve"> qui a pour domaine la classe </w:t>
      </w:r>
      <w:r w:rsidRPr="246FBB6F">
        <w:rPr>
          <w:rStyle w:val="VerbatimChar"/>
          <w:lang w:val="fr-FR"/>
        </w:rPr>
        <w:t>E1_Entité_CRM</w:t>
      </w:r>
      <w:r w:rsidRPr="246FBB6F">
        <w:rPr>
          <w:lang w:val="fr-FR"/>
        </w:rPr>
        <w:t xml:space="preserve"> et pour portée la classe </w:t>
      </w:r>
      <w:r w:rsidRPr="246FBB6F">
        <w:rPr>
          <w:rStyle w:val="VerbatimChar"/>
          <w:lang w:val="fr-FR"/>
        </w:rPr>
        <w:t>E55_Type</w:t>
      </w:r>
      <w:r w:rsidRPr="246FBB6F">
        <w:rPr>
          <w:lang w:val="fr-FR"/>
        </w:rPr>
        <w:t xml:space="preserve">. Ainsi, chaque classe du CIDOC CRM à l'exception de </w:t>
      </w:r>
      <w:r w:rsidRPr="246FBB6F">
        <w:rPr>
          <w:rStyle w:val="VerbatimChar"/>
          <w:lang w:val="fr-FR"/>
        </w:rPr>
        <w:t>E59_Valeur_primitive</w:t>
      </w:r>
      <w:r w:rsidRPr="246FBB6F">
        <w:rPr>
          <w:lang w:val="fr-FR"/>
        </w:rPr>
        <w:t xml:space="preserve"> hérite la propriété </w:t>
      </w:r>
      <w:r w:rsidRPr="246FBB6F">
        <w:rPr>
          <w:rStyle w:val="VerbatimChar"/>
          <w:lang w:val="fr-FR"/>
        </w:rPr>
        <w:t>P2_a_pour_type (est_le_type_de)</w:t>
      </w:r>
      <w:r w:rsidRPr="246FBB6F">
        <w:rPr>
          <w:lang w:val="fr-FR"/>
        </w:rPr>
        <w:t>. Cela offre un mécanisme alternatif à la spécialisation de la classification des instances du CIDOC CRM à des niveaux de détails divers en pointant plutôt vers des sources externes sous la forme de vocabulaires, de thésauri, de schèmes de classification ou d'ontologies.</w:t>
      </w:r>
    </w:p>
    <w:p w14:paraId="7E0C5785" w14:textId="44569B69" w:rsidR="0084489F" w:rsidRDefault="00110FE6" w:rsidP="00806324">
      <w:pPr>
        <w:numPr>
          <w:ilvl w:val="0"/>
          <w:numId w:val="41"/>
        </w:numPr>
      </w:pPr>
      <w:r w:rsidRPr="246FBB6F">
        <w:rPr>
          <w:lang w:val="fr-FR"/>
        </w:rPr>
        <w:t xml:space="preserve">Certaines propriétés du CIDOC CRM sont supplémentées d'une fonction analogue à </w:t>
      </w:r>
      <w:r w:rsidRPr="246FBB6F">
        <w:rPr>
          <w:rStyle w:val="VerbatimChar"/>
          <w:lang w:val="fr-FR"/>
        </w:rPr>
        <w:t>P2_a_pour_type (est_le_type_de)</w:t>
      </w:r>
      <w:r w:rsidRPr="246FBB6F">
        <w:rPr>
          <w:lang w:val="fr-FR"/>
        </w:rPr>
        <w:t xml:space="preserve"> et identifiées par le suffixe « </w:t>
      </w:r>
      <w:r w:rsidRPr="246FBB6F">
        <w:rPr>
          <w:rStyle w:val="VerbatimChar"/>
          <w:lang w:val="fr-FR"/>
        </w:rPr>
        <w:t>.1</w:t>
      </w:r>
      <w:r w:rsidRPr="246FBB6F">
        <w:rPr>
          <w:lang w:val="fr-FR"/>
        </w:rPr>
        <w:t xml:space="preserve"> ». La fonction d'une propriété de propriété est d'offrir un mécanisme alternatif à la spécialisation du domaine d'une propriété par l'usage de sous-types déclarés sous forme d'instances de </w:t>
      </w:r>
      <w:r w:rsidRPr="246FBB6F">
        <w:rPr>
          <w:rStyle w:val="VerbatimChar"/>
          <w:lang w:val="fr-FR"/>
        </w:rPr>
        <w:t>E55_Type</w:t>
      </w:r>
      <w:r w:rsidRPr="246FBB6F">
        <w:rPr>
          <w:lang w:val="fr-FR"/>
        </w:rPr>
        <w:t>. ces propriétés « </w:t>
      </w:r>
      <w:r w:rsidRPr="246FBB6F">
        <w:rPr>
          <w:rStyle w:val="VerbatimChar"/>
          <w:lang w:val="fr-FR"/>
        </w:rPr>
        <w:t>.1</w:t>
      </w:r>
      <w:r w:rsidRPr="246FBB6F">
        <w:rPr>
          <w:lang w:val="fr-FR"/>
        </w:rPr>
        <w:t xml:space="preserve"> » n'apparaissent pas dans la </w:t>
      </w:r>
      <w:hyperlink w:anchor="Xe7732bbdc4c06cb3595859192ee3d388e81634c">
        <w:r w:rsidRPr="246FBB6F">
          <w:rPr>
            <w:rStyle w:val="Hyperlink"/>
            <w:lang w:val="fr-FR"/>
          </w:rPr>
          <w:t xml:space="preserve">Liste hiérarchisée des propriétés du </w:t>
        </w:r>
      </w:hyperlink>
      <w:hyperlink w:anchor="Xe7732bbdc4c06cb3595859192ee3d388e81634c">
        <w:r w:rsidRPr="246FBB6F">
          <w:rPr>
            <w:rStyle w:val="Hyperlink"/>
            <w:lang w:val="fr-FR"/>
          </w:rPr>
          <w:t>CIDOC CRM</w:t>
        </w:r>
      </w:hyperlink>
      <w:r w:rsidRPr="246FBB6F">
        <w:rPr>
          <w:lang w:val="fr-FR"/>
        </w:rPr>
        <w:t xml:space="preserve">, mais elles sont incluses dans les déclarations de </w:t>
      </w:r>
      <w:hyperlink w:anchor="terminologie-classe">
        <w:r w:rsidRPr="246FBB6F">
          <w:rPr>
            <w:rStyle w:val="Hyperlink"/>
            <w:lang w:val="fr-FR"/>
          </w:rPr>
          <w:t>classes</w:t>
        </w:r>
      </w:hyperlink>
      <w:r w:rsidRPr="246FBB6F">
        <w:rPr>
          <w:lang w:val="fr-FR"/>
        </w:rPr>
        <w:t xml:space="preserve"> et de </w:t>
      </w:r>
      <w:hyperlink w:anchor="terminologie-propriete">
        <w:r w:rsidRPr="246FBB6F">
          <w:rPr>
            <w:rStyle w:val="Hyperlink"/>
            <w:lang w:val="fr-FR"/>
          </w:rPr>
          <w:t>propriétés</w:t>
        </w:r>
      </w:hyperlink>
      <w:r w:rsidRPr="246FBB6F">
        <w:rPr>
          <w:lang w:val="fr-FR"/>
        </w:rPr>
        <w:t xml:space="preserve">. Par exemple, </w:t>
      </w:r>
      <w:r w:rsidRPr="246FBB6F">
        <w:rPr>
          <w:rStyle w:val="VerbatimChar"/>
          <w:lang w:val="fr-FR"/>
        </w:rPr>
        <w:t>P62.1_mode_d'illustration</w:t>
      </w:r>
      <w:r w:rsidRPr="246FBB6F">
        <w:rPr>
          <w:lang w:val="fr-FR"/>
        </w:rPr>
        <w:t xml:space="preserve"> : </w:t>
      </w:r>
      <w:r w:rsidRPr="246FBB6F">
        <w:rPr>
          <w:rStyle w:val="VerbatimChar"/>
          <w:lang w:val="fr-FR"/>
        </w:rPr>
        <w:t>E55_Type</w:t>
      </w:r>
      <w:r w:rsidRPr="246FBB6F">
        <w:rPr>
          <w:lang w:val="fr-FR"/>
        </w:rPr>
        <w:t xml:space="preserve"> est associé avec </w:t>
      </w:r>
      <w:r w:rsidRPr="246FBB6F">
        <w:rPr>
          <w:rStyle w:val="VerbatimChar"/>
          <w:lang w:val="fr-FR"/>
        </w:rPr>
        <w:t>E24_Chose_matérielle_élaborée_par_l’humain</w:t>
      </w:r>
      <w:r w:rsidRPr="246FBB6F">
        <w:rPr>
          <w:lang w:val="fr-FR"/>
        </w:rPr>
        <w:t xml:space="preserve">. </w:t>
      </w:r>
      <w:r w:rsidRPr="246FBB6F">
        <w:rPr>
          <w:rStyle w:val="VerbatimChar"/>
          <w:lang w:val="fr-FR"/>
        </w:rPr>
        <w:t>P62_illustre (est_illustré_par)</w:t>
      </w:r>
      <w:r w:rsidRPr="246FBB6F">
        <w:rPr>
          <w:lang w:val="fr-FR"/>
        </w:rPr>
        <w:t xml:space="preserve"> : </w:t>
      </w:r>
      <w:r w:rsidRPr="246FBB6F">
        <w:rPr>
          <w:rStyle w:val="VerbatimChar"/>
          <w:lang w:val="fr-FR"/>
        </w:rPr>
        <w:t>E1_Entité_CRM</w:t>
      </w:r>
      <w:r w:rsidRPr="246FBB6F">
        <w:rPr>
          <w:lang w:val="fr-FR"/>
        </w:rPr>
        <w:t>.</w:t>
      </w:r>
    </w:p>
    <w:p w14:paraId="3A86724B" w14:textId="77777777" w:rsidR="0084489F" w:rsidRDefault="00110FE6">
      <w:pPr>
        <w:pStyle w:val="FirstParagraph"/>
      </w:pPr>
      <w:r w:rsidRPr="246FBB6F">
        <w:rPr>
          <w:lang w:val="fr-FR"/>
        </w:rPr>
        <w:t xml:space="preserve">La classe </w:t>
      </w:r>
      <w:r w:rsidRPr="246FBB6F">
        <w:rPr>
          <w:rStyle w:val="VerbatimChar"/>
          <w:lang w:val="fr-FR"/>
        </w:rPr>
        <w:t>E55_Type</w:t>
      </w:r>
      <w:r w:rsidRPr="246FBB6F">
        <w:rPr>
          <w:lang w:val="fr-FR"/>
        </w:rPr>
        <w:t xml:space="preserve"> est la portée des propriétés qui portent sur des savoirs catégorisés fréquemment présents dans la documentation patrimoniale. Par exemple, la propriété </w:t>
      </w:r>
      <w:r w:rsidRPr="246FBB6F">
        <w:rPr>
          <w:rStyle w:val="VerbatimChar"/>
          <w:lang w:val="fr-FR"/>
        </w:rPr>
        <w:t>P125_a_mobilisé_l'objet_du_type (a_été_le_type_d’objet_employé_pour)</w:t>
      </w:r>
      <w:r w:rsidRPr="246FBB6F">
        <w:rPr>
          <w:lang w:val="fr-FR"/>
        </w:rPr>
        <w:t xml:space="preserve"> permet au CIDOC CRM d'exprimer des énoncés tels que « ce moulage a été produit grâce à un moule », ce qui veut dire qu'un objet inconnu ou non mentionné (le moule spécifique) a été utilisé. Cela permet à l'instance spécifique du moulage d'être associée à des types d'appareils manufacturiers, les moules. De plus, les objets de type « moule » peuvent être reliés à ce terme par la propriété </w:t>
      </w:r>
      <w:r w:rsidRPr="246FBB6F">
        <w:rPr>
          <w:rStyle w:val="VerbatimChar"/>
          <w:lang w:val="fr-FR"/>
        </w:rPr>
        <w:t>P2_a_pour_type (est_le_type_de)</w:t>
      </w:r>
      <w:r w:rsidRPr="246FBB6F">
        <w:rPr>
          <w:lang w:val="fr-FR"/>
        </w:rPr>
        <w:t xml:space="preserve">. Cette relation indirecte soutient la détection d'objets inconnus dans un environnement intégré. D'autre part, certains moulages peuvent référer directement à un moule particulier par l'entremise de la propriété </w:t>
      </w:r>
      <w:r w:rsidRPr="246FBB6F">
        <w:rPr>
          <w:rStyle w:val="VerbatimChar"/>
          <w:lang w:val="fr-FR"/>
        </w:rPr>
        <w:t>P16_a_mobilisé_l’objet_spécifique (a_été_mobilisé_pour)</w:t>
      </w:r>
      <w:r w:rsidRPr="246FBB6F">
        <w:rPr>
          <w:lang w:val="fr-FR"/>
        </w:rPr>
        <w:t xml:space="preserve"> de telle sorte qu'une interrogation statistique quant au nombre d'objets d'une collection issus de moules pourrait être résolue correctement grâce à deux chemins : </w:t>
      </w:r>
      <w:r w:rsidRPr="246FBB6F">
        <w:rPr>
          <w:rStyle w:val="VerbatimChar"/>
          <w:lang w:val="fr-FR"/>
        </w:rPr>
        <w:t>P16_a_mobilisé_l’objet_spécifique (a_été_mobilisé_pour)</w:t>
      </w:r>
      <w:r w:rsidRPr="246FBB6F">
        <w:rPr>
          <w:lang w:val="fr-FR"/>
        </w:rPr>
        <w:t xml:space="preserve"> - </w:t>
      </w:r>
      <w:r w:rsidRPr="246FBB6F">
        <w:rPr>
          <w:rStyle w:val="VerbatimChar"/>
          <w:lang w:val="fr-FR"/>
        </w:rPr>
        <w:t>P2_a_pour_type (est_le_type_de)</w:t>
      </w:r>
      <w:r w:rsidRPr="246FBB6F">
        <w:rPr>
          <w:lang w:val="fr-FR"/>
        </w:rPr>
        <w:t xml:space="preserve"> et </w:t>
      </w:r>
      <w:r w:rsidRPr="246FBB6F">
        <w:rPr>
          <w:rStyle w:val="VerbatimChar"/>
          <w:lang w:val="fr-FR"/>
        </w:rPr>
        <w:t>P125_a_mobilisé_l'objet_du_type (a_été_le_type_d’objet_employé_pour)</w:t>
      </w:r>
      <w:r w:rsidRPr="246FBB6F">
        <w:rPr>
          <w:lang w:val="fr-FR"/>
        </w:rPr>
        <w:t>. Ce traitement cohérent de l'information catégorisée accroît la capacité du CIDOC CRM d'intégrer de l'information culturelle.</w:t>
      </w:r>
    </w:p>
    <w:p w14:paraId="52DB6D27" w14:textId="77777777" w:rsidR="0084489F" w:rsidRDefault="00110FE6">
      <w:pPr>
        <w:pStyle w:val="BodyText"/>
      </w:pPr>
      <w:r w:rsidRPr="246FBB6F">
        <w:rPr>
          <w:lang w:val="fr-FR"/>
        </w:rPr>
        <w:t xml:space="preserve">Les instances de </w:t>
      </w:r>
      <w:r w:rsidRPr="246FBB6F">
        <w:rPr>
          <w:rStyle w:val="VerbatimChar"/>
          <w:lang w:val="fr-FR"/>
        </w:rPr>
        <w:t>E55_Type</w:t>
      </w:r>
      <w:r w:rsidRPr="246FBB6F">
        <w:rPr>
          <w:lang w:val="fr-FR"/>
        </w:rPr>
        <w:t xml:space="preserve"> et de ses sous-classes peuvent être utilisées pour caractériser les instances de classe du CIDOC CRM de manière à en affiner la définition. Un type « artiste » peut être utilisé pour caractériser une personne grâce à la propriété </w:t>
      </w:r>
      <w:r w:rsidRPr="246FBB6F">
        <w:rPr>
          <w:rStyle w:val="VerbatimChar"/>
          <w:lang w:val="fr-FR"/>
        </w:rPr>
        <w:t>P2_a_pour_type (est_le_type_de)</w:t>
      </w:r>
      <w:r w:rsidRPr="246FBB6F">
        <w:rPr>
          <w:lang w:val="fr-FR"/>
        </w:rPr>
        <w:t xml:space="preserve">, par exemple. Mais il serait aussi possible, dans le contexte de l'histoire de l'art, d'étendre la classe </w:t>
      </w:r>
      <w:r w:rsidRPr="246FBB6F">
        <w:rPr>
          <w:rStyle w:val="VerbatimChar"/>
          <w:lang w:val="fr-FR"/>
        </w:rPr>
        <w:t>E21_Personne</w:t>
      </w:r>
      <w:r w:rsidRPr="246FBB6F">
        <w:rPr>
          <w:lang w:val="fr-FR"/>
        </w:rPr>
        <w:t xml:space="preserve"> avec une </w:t>
      </w:r>
      <w:r w:rsidRPr="246FBB6F">
        <w:rPr>
          <w:lang w:val="fr-FR"/>
        </w:rPr>
        <w:lastRenderedPageBreak/>
        <w:t xml:space="preserve">sous-classe </w:t>
      </w:r>
      <w:r w:rsidRPr="246FBB6F">
        <w:rPr>
          <w:rStyle w:val="VerbatimChar"/>
          <w:lang w:val="fr-FR"/>
        </w:rPr>
        <w:t>E21.xx_Artiste</w:t>
      </w:r>
      <w:r w:rsidRPr="246FBB6F">
        <w:rPr>
          <w:lang w:val="fr-FR"/>
        </w:rPr>
        <w:t xml:space="preserve">. D'un point de vue conceptuel, il n'y a pas de différence notable entre le type « artiste » et la classe Artiste car tous deux dénotent le concept « artiste » et identifient le même ensemble de personnes. Dans ce contexte, un type pourrait être envisagé comme une classe et une classe de types pourrait être considérée comme une métaclasse. Cependant, puisque les systèmes actuels ne permettent pas un contrôle adéquat de métaclasses définies par des utilisateurs, le CIDOC CRM préfère modéliser des instances de </w:t>
      </w:r>
      <w:r w:rsidRPr="246FBB6F">
        <w:rPr>
          <w:rStyle w:val="VerbatimChar"/>
          <w:lang w:val="fr-FR"/>
        </w:rPr>
        <w:t>E55_Type</w:t>
      </w:r>
      <w:r w:rsidRPr="246FBB6F">
        <w:rPr>
          <w:lang w:val="fr-FR"/>
        </w:rPr>
        <w:t xml:space="preserve"> comme si elles étaient des particuliers, et ce grâce aux relations décrites dans les paragraphes précédents.</w:t>
      </w:r>
    </w:p>
    <w:p w14:paraId="46F75D11" w14:textId="04D0F97B" w:rsidR="0084489F" w:rsidRDefault="00110FE6">
      <w:pPr>
        <w:pStyle w:val="BodyText"/>
      </w:pPr>
      <w:r>
        <w:t xml:space="preserve">Les utilisateurs peuvent choisir d'implémenter un concept en tant qu'instance de </w:t>
      </w:r>
      <w:r>
        <w:rPr>
          <w:rStyle w:val="VerbatimChar"/>
        </w:rPr>
        <w:t>E55_Type</w:t>
      </w:r>
      <w:r>
        <w:t xml:space="preserve"> ou en tant que sous-classe étendant le système de classes du CIDOC CRM. Cette dernière option ne devrait être privilégiée que si le concept qu'elle représente est suffisamment stable et associé à des propriétés additionnelles qui lui sont spécifiques et qui sont explicitement modelées (sans quoi l'usage de </w:t>
      </w:r>
      <w:r>
        <w:rPr>
          <w:rStyle w:val="VerbatimChar"/>
        </w:rPr>
        <w:t>E55_Type</w:t>
      </w:r>
      <w:r>
        <w:t xml:space="preserve"> est préférable). Il est aussi possible que des utilisateurs souhaitent décrire un discours en étendant un concept du CIDOC CRM et en décrivant l'histoire de ce concept : ils peuvent alors modéliser ce même concept à la fois en tant que sous-classe et en tant qu'instance de </w:t>
      </w:r>
      <w:r>
        <w:rPr>
          <w:rStyle w:val="VerbatimChar"/>
        </w:rPr>
        <w:t>E55_Type</w:t>
      </w:r>
      <w:r>
        <w:t xml:space="preserve"> du même nom. Il est de même recommandé d'entrevoir pour chaque hiérarchie de termes affinant une classe de CIDOC CRM un terme englobant équivalent à cette classe (p. ex. une hiérarchie de termes pour des instances de </w:t>
      </w:r>
      <w:r>
        <w:rPr>
          <w:rStyle w:val="VerbatimChar"/>
        </w:rPr>
        <w:t>E21_Personne</w:t>
      </w:r>
      <w:r>
        <w:t xml:space="preserve"> pourrait débuter avec « personne »).</w:t>
      </w:r>
    </w:p>
    <w:p w14:paraId="1ABA1E3C" w14:textId="77777777" w:rsidR="0084489F" w:rsidRDefault="00110FE6">
      <w:pPr>
        <w:pStyle w:val="BodyText"/>
      </w:pPr>
      <w:r w:rsidRPr="246FBB6F">
        <w:rPr>
          <w:rStyle w:val="VerbatimChar"/>
          <w:lang w:val="fr-FR"/>
        </w:rPr>
        <w:t>E55_Type</w:t>
      </w:r>
      <w:r w:rsidRPr="246FBB6F">
        <w:rPr>
          <w:lang w:val="fr-FR"/>
        </w:rPr>
        <w:t xml:space="preserve"> agit comme une interface entre le CIDOC CRM et les domaines spécifiques d'ontologies, de thésauri, et de systèmes terminologiques moins formels. De tels ensembles de concepts peuvent être représentés dans le CIDOC CRM comme des sous-classes de </w:t>
      </w:r>
      <w:r w:rsidRPr="246FBB6F">
        <w:rPr>
          <w:rStyle w:val="VerbatimChar"/>
          <w:lang w:val="fr-FR"/>
        </w:rPr>
        <w:t>E55_Type</w:t>
      </w:r>
      <w:r w:rsidRPr="246FBB6F">
        <w:rPr>
          <w:lang w:val="fr-FR"/>
        </w:rPr>
        <w:t xml:space="preserve"> afin de former des hiérarchies de termes (c.-à-d. des instances de </w:t>
      </w:r>
      <w:r w:rsidRPr="246FBB6F">
        <w:rPr>
          <w:rStyle w:val="VerbatimChar"/>
          <w:lang w:val="fr-FR"/>
        </w:rPr>
        <w:t>E55_Type</w:t>
      </w:r>
      <w:r w:rsidRPr="246FBB6F">
        <w:rPr>
          <w:lang w:val="fr-FR"/>
        </w:rPr>
        <w:t xml:space="preserve"> liées par l'entremise de </w:t>
      </w:r>
      <w:r w:rsidRPr="246FBB6F">
        <w:rPr>
          <w:rStyle w:val="VerbatimChar"/>
          <w:lang w:val="fr-FR"/>
        </w:rPr>
        <w:t>P127_a_pour_terme_général (a_pour_terme_spécifique)</w:t>
      </w:r>
      <w:r w:rsidRPr="246FBB6F">
        <w:rPr>
          <w:lang w:val="fr-FR"/>
        </w:rPr>
        <w:t xml:space="preserve">). De telles hiérarchies peuvent en outre être supplémentées de propriétés. D'autres standards peuvent aussi être utilisés afin de décrire des systèmes terminologiques du moment que ces modèles sont sémantiquement compatibles avec le CIDOC CRM : il faut alors déclarer leurs classes conceptuelles comme équivalentes à </w:t>
      </w:r>
      <w:r w:rsidRPr="246FBB6F">
        <w:rPr>
          <w:rStyle w:val="VerbatimChar"/>
          <w:lang w:val="fr-FR"/>
        </w:rPr>
        <w:t>E55_Type</w:t>
      </w:r>
      <w:r w:rsidRPr="246FBB6F">
        <w:rPr>
          <w:lang w:val="fr-FR"/>
        </w:rPr>
        <w:t xml:space="preserve"> et leurs relations de généralité-spécificité comme équivalentes à </w:t>
      </w:r>
      <w:r w:rsidRPr="246FBB6F">
        <w:rPr>
          <w:rStyle w:val="VerbatimChar"/>
          <w:lang w:val="fr-FR"/>
        </w:rPr>
        <w:t>P127_a_pour_terme_général (a_pour_terme_spécifique)</w:t>
      </w:r>
      <w:r w:rsidRPr="246FBB6F">
        <w:rPr>
          <w:lang w:val="fr-FR"/>
        </w:rPr>
        <w:t>.</w:t>
      </w:r>
    </w:p>
    <w:p w14:paraId="71269B17" w14:textId="77777777" w:rsidR="0084489F" w:rsidRDefault="00110FE6">
      <w:pPr>
        <w:pStyle w:val="BodyText"/>
      </w:pPr>
      <w:r>
        <w:t xml:space="preserve">Dans certains cas, en particulier en archéologie ou en sciences de la vie, </w:t>
      </w:r>
      <w:r>
        <w:rPr>
          <w:rStyle w:val="VerbatimChar"/>
        </w:rPr>
        <w:t>E83_Création_de_type</w:t>
      </w:r>
      <w:r>
        <w:t xml:space="preserve"> nécessite l’identification d’un spécimen de référence et la publication de la définition de son type dans un forum de discussion scientifique approprié. L’activité modélisée comme une instance de </w:t>
      </w:r>
      <w:r>
        <w:rPr>
          <w:rStyle w:val="VerbatimChar"/>
        </w:rPr>
        <w:t>E83_Création_de_type</w:t>
      </w:r>
      <w:r>
        <w:t xml:space="preserve"> est essentielle à la recherche en sciences de la vie. Dans ce domaine, le « taxon » fait référence au type, le « protologue » à la description du type et le « type original » ou « holotype » aux spécimens de référence.</w:t>
      </w:r>
    </w:p>
    <w:p w14:paraId="7118C381" w14:textId="77777777" w:rsidR="0084489F" w:rsidRDefault="00110FE6">
      <w:pPr>
        <w:pStyle w:val="BodyText"/>
      </w:pPr>
      <w:r w:rsidRPr="246FBB6F">
        <w:rPr>
          <w:lang w:val="fr-FR"/>
        </w:rPr>
        <w:t xml:space="preserve">Finalement, des instances de </w:t>
      </w:r>
      <w:r w:rsidRPr="246FBB6F">
        <w:rPr>
          <w:rStyle w:val="VerbatimChar"/>
          <w:lang w:val="fr-FR"/>
        </w:rPr>
        <w:t>E55_Type</w:t>
      </w:r>
      <w:r w:rsidRPr="246FBB6F">
        <w:rPr>
          <w:lang w:val="fr-FR"/>
        </w:rPr>
        <w:t xml:space="preserve"> ou de ses sous-classes peuvent décrire des éléments universaux depuis des systèmes de catégorisation qui ne prennent pas la forme d'ontologies ou de thésauri, comme c'est le cas de types et de noms de produits industriels qui sont définis et publiés par leurs producteurs pour chaque nouveau produit ou dérivé.</w:t>
      </w:r>
    </w:p>
    <w:p w14:paraId="5E111955" w14:textId="77777777" w:rsidR="0084489F" w:rsidRDefault="00110FE6">
      <w:pPr>
        <w:pStyle w:val="BlockText"/>
      </w:pPr>
      <w:r>
        <w:rPr>
          <w:b/>
          <w:bCs/>
          <w:i/>
          <w:iCs/>
        </w:rPr>
        <w:t>Note de traduction</w:t>
      </w:r>
    </w:p>
    <w:p w14:paraId="5105BA41" w14:textId="77777777" w:rsidR="0084489F" w:rsidRDefault="00110FE6">
      <w:pPr>
        <w:pStyle w:val="BlockText"/>
      </w:pPr>
      <w:r>
        <w:rPr>
          <w:b/>
          <w:bCs/>
          <w:i/>
          <w:iCs/>
        </w:rPr>
        <w:t>Références</w:t>
      </w:r>
    </w:p>
    <w:p w14:paraId="63C72A6D" w14:textId="77777777" w:rsidR="0084489F" w:rsidRDefault="00110FE6">
      <w:pPr>
        <w:pStyle w:val="Heading3"/>
      </w:pPr>
      <w:bookmarkStart w:id="90" w:name="_Toc176864429"/>
      <w:bookmarkStart w:id="91" w:name="X6d72a89fa54b9010b0e3c47640f19595c3e80f8"/>
      <w:bookmarkEnd w:id="89"/>
      <w:r>
        <w:t>Des relations temporelles primitives fondées sur des frontières floues</w:t>
      </w:r>
      <w:bookmarkEnd w:id="90"/>
    </w:p>
    <w:p w14:paraId="6AB37721" w14:textId="77777777" w:rsidR="0084489F" w:rsidRDefault="00110FE6">
      <w:pPr>
        <w:pStyle w:val="FirstParagraph"/>
      </w:pPr>
      <w:r w:rsidRPr="246FBB6F">
        <w:rPr>
          <w:lang w:val="fr-FR"/>
        </w:rPr>
        <w:t xml:space="preserve">Il est fréquent que des sciences traitant du passé, comme l'histoire, l'archéologie ou la géologie, dérivent des relations topologiques depuis des stratigraphies, d'autres observations ou des causalités entre des évènements. La version 3.3 du CIDOC CRM a donc intégré des ensembles de relations temporelles basés sur la logique de Allen (les propriétés maintenant dépréciées </w:t>
      </w:r>
      <w:r w:rsidRPr="246FBB6F">
        <w:rPr>
          <w:rStyle w:val="VerbatimChar"/>
          <w:lang w:val="fr-FR"/>
        </w:rPr>
        <w:t>P114_est_temporellement_équivalent_à</w:t>
      </w:r>
      <w:r w:rsidRPr="246FBB6F">
        <w:rPr>
          <w:lang w:val="fr-FR"/>
        </w:rPr>
        <w:t xml:space="preserve">, </w:t>
      </w:r>
      <w:r w:rsidRPr="246FBB6F">
        <w:rPr>
          <w:rStyle w:val="VerbatimChar"/>
          <w:lang w:val="fr-FR"/>
        </w:rPr>
        <w:t>P115_termine (est_terminé_par)</w:t>
      </w:r>
      <w:r w:rsidRPr="246FBB6F">
        <w:rPr>
          <w:lang w:val="fr-FR"/>
        </w:rPr>
        <w:t xml:space="preserve">, </w:t>
      </w:r>
      <w:r w:rsidRPr="246FBB6F">
        <w:rPr>
          <w:rStyle w:val="VerbatimChar"/>
          <w:lang w:val="fr-FR"/>
        </w:rPr>
        <w:t>P116_commence (est_commencé_par)</w:t>
      </w:r>
      <w:r w:rsidRPr="246FBB6F">
        <w:rPr>
          <w:lang w:val="fr-FR"/>
        </w:rPr>
        <w:t xml:space="preserve">, </w:t>
      </w:r>
      <w:r w:rsidRPr="246FBB6F">
        <w:rPr>
          <w:rStyle w:val="VerbatimChar"/>
          <w:lang w:val="fr-FR"/>
        </w:rPr>
        <w:t>P117_se_produit_durant (inclut)</w:t>
      </w:r>
      <w:r w:rsidRPr="246FBB6F">
        <w:rPr>
          <w:lang w:val="fr-FR"/>
        </w:rPr>
        <w:t xml:space="preserve">, </w:t>
      </w:r>
      <w:r w:rsidRPr="246FBB6F">
        <w:rPr>
          <w:rStyle w:val="VerbatimChar"/>
          <w:lang w:val="fr-FR"/>
        </w:rPr>
        <w:t>P118_recoupe_temporellement (est_recoupé_temporellement_par)</w:t>
      </w:r>
      <w:r w:rsidRPr="246FBB6F">
        <w:rPr>
          <w:lang w:val="fr-FR"/>
        </w:rPr>
        <w:t xml:space="preserve">, </w:t>
      </w:r>
      <w:r w:rsidRPr="246FBB6F">
        <w:rPr>
          <w:rStyle w:val="VerbatimChar"/>
          <w:lang w:val="fr-FR"/>
        </w:rPr>
        <w:t>P119_rencontre_temporellement (est_rencontré_temporellement_par)</w:t>
      </w:r>
      <w:r w:rsidRPr="246FBB6F">
        <w:rPr>
          <w:lang w:val="fr-FR"/>
        </w:rPr>
        <w:t xml:space="preserve"> et </w:t>
      </w:r>
      <w:r w:rsidRPr="246FBB6F">
        <w:rPr>
          <w:rStyle w:val="VerbatimChar"/>
          <w:lang w:val="fr-FR"/>
        </w:rPr>
        <w:t>P120_se_produit_avant (se_produit_après)</w:t>
      </w:r>
      <w:r w:rsidRPr="246FBB6F">
        <w:rPr>
          <w:lang w:val="fr-FR"/>
        </w:rPr>
        <w:t xml:space="preserve">) qui était à l'époque la théorie la plus exhaustive et adéquate pour traiter de </w:t>
      </w:r>
      <w:r w:rsidRPr="246FBB6F">
        <w:rPr>
          <w:lang w:val="fr-FR"/>
        </w:rPr>
        <w:lastRenderedPageBreak/>
        <w:t>relations topologiques ayant égard à des phénomènes spatio-temporels de nature historique et culturelle. La logique temporelle de Allen émane de l'idée que les frontières d'intervalles temporels sont connues et décrites par un ensemble exhaustif de relations mutuellement exclusives.</w:t>
      </w:r>
    </w:p>
    <w:p w14:paraId="01EE1D89" w14:textId="77777777" w:rsidR="0084489F" w:rsidRDefault="00110FE6">
      <w:pPr>
        <w:pStyle w:val="BodyText"/>
      </w:pPr>
      <w:r w:rsidRPr="246FBB6F">
        <w:rPr>
          <w:lang w:val="fr-FR"/>
        </w:rPr>
        <w:t xml:space="preserve">Néanmoins, plusieurs relations temporelles peuvent être induites de faits (p. ex. la naissance d'une personne précède nécessairement son interaction intentionnelle avec une autre) ou d'observations effectuées sur des éléments matériels dont la temporalité absolue est inconnue. C'est la raison pour laquelle les relations temporelles du CIDOC CRM s'articulent autour des entités </w:t>
      </w:r>
      <w:r w:rsidRPr="246FBB6F">
        <w:rPr>
          <w:rStyle w:val="VerbatimChar"/>
          <w:lang w:val="fr-FR"/>
        </w:rPr>
        <w:t>E2_Entité_temporelle</w:t>
      </w:r>
      <w:r w:rsidRPr="246FBB6F">
        <w:rPr>
          <w:lang w:val="fr-FR"/>
        </w:rPr>
        <w:t xml:space="preserve"> et non des entités </w:t>
      </w:r>
      <w:r w:rsidRPr="246FBB6F">
        <w:rPr>
          <w:rStyle w:val="VerbatimChar"/>
          <w:lang w:val="fr-FR"/>
        </w:rPr>
        <w:t>E52_Intervalle_temporel</w:t>
      </w:r>
      <w:r w:rsidRPr="246FBB6F">
        <w:rPr>
          <w:lang w:val="fr-FR"/>
        </w:rPr>
        <w:t>, lesquelles nécessitent la connaissance d'une temporalité absolue. Dans l'éventualité où une temporalité absolue est connue, la déduction des relations de Allen relève de calculs automatisés plutôt que de considérations scientifiques (ces dernières constituant le cœur du CIDOC CRM ). Cependant, l'application de ces calculs est problématique pour deux raisons :</w:t>
      </w:r>
    </w:p>
    <w:p w14:paraId="26EFBD81" w14:textId="77777777" w:rsidR="0084489F" w:rsidRDefault="00110FE6">
      <w:pPr>
        <w:pStyle w:val="BodyText"/>
      </w:pPr>
      <w:r w:rsidRPr="246FBB6F">
        <w:rPr>
          <w:lang w:val="fr-FR"/>
        </w:rPr>
        <w:t xml:space="preserve">En premier lieu, les faits de causalité pertinents à des relations temporelles résultent fréquemment en des expressions qui nécessitent une disjonction (condition logique « ou ») des relations d'Allen. Par exemple, un enfant peut être mort-né. En faisant fi des étapes de la grossesse comme c'est souvent le cas dans les sources historiques, la naissance peut être considérée soit comme un évènement égal à la mort, soit comme une rencontre avec la mort, soit comme un évènement qui précède la mort. La représentation formelle choisie ne doit cependant </w:t>
      </w:r>
      <w:r w:rsidRPr="246FBB6F">
        <w:rPr>
          <w:b/>
          <w:bCs/>
          <w:lang w:val="fr-FR"/>
        </w:rPr>
        <w:t>pas</w:t>
      </w:r>
      <w:r w:rsidRPr="246FBB6F">
        <w:rPr>
          <w:lang w:val="fr-FR"/>
        </w:rPr>
        <w:t xml:space="preserve"> permettre de spécifier des </w:t>
      </w:r>
      <w:r w:rsidRPr="246FBB6F">
        <w:rPr>
          <w:b/>
          <w:bCs/>
          <w:lang w:val="fr-FR"/>
        </w:rPr>
        <w:t>disjonctions</w:t>
      </w:r>
      <w:r w:rsidRPr="246FBB6F">
        <w:rPr>
          <w:lang w:val="fr-FR"/>
        </w:rPr>
        <w:t xml:space="preserve"> sauf dans le cadre de requêtes. Par conséquent, de simples propriétés du CIDOC CRM qui impliquent un ordre temporel, comme </w:t>
      </w:r>
      <w:r w:rsidRPr="246FBB6F">
        <w:rPr>
          <w:rStyle w:val="VerbatimChar"/>
          <w:lang w:val="fr-FR"/>
        </w:rPr>
        <w:t>P134_a_continué (a_été_continué_par)</w:t>
      </w:r>
      <w:r w:rsidRPr="246FBB6F">
        <w:rPr>
          <w:lang w:val="fr-FR"/>
        </w:rPr>
        <w:t xml:space="preserve">, ne peuvent pas être déclarées sous-propriétés de relations temporelles qu'elles impliquent, ce qui équivaudrait à « se déroule avant, rencontre, chevauche, démarre, démarré par, contient, finit, fini par, est égal à, durant ou chevauché par » (voir </w:t>
      </w:r>
      <w:r w:rsidRPr="246FBB6F">
        <w:rPr>
          <w:rStyle w:val="VerbatimChar"/>
          <w:lang w:val="fr-FR"/>
        </w:rPr>
        <w:t>P174_commence_avant_la_fin_de (se_termine_après_le_début_de)</w:t>
      </w:r>
      <w:r w:rsidRPr="246FBB6F">
        <w:rPr>
          <w:lang w:val="fr-FR"/>
        </w:rPr>
        <w:t>).</w:t>
      </w:r>
    </w:p>
    <w:p w14:paraId="5645C233" w14:textId="77777777" w:rsidR="0084489F" w:rsidRDefault="00110FE6">
      <w:pPr>
        <w:pStyle w:val="BodyText"/>
      </w:pPr>
      <w:r>
        <w:t>En second lieu, il n'est pas naturellement possible d'observer l'égalité de points temporels, un fait qui peut être interprété de trois manières qui impliquent toutes des frontières floues et qui sont toutes cohérentes avec la version actuelle du CIDOC CRM :</w:t>
      </w:r>
    </w:p>
    <w:p w14:paraId="4D38022E" w14:textId="77777777" w:rsidR="0084489F" w:rsidRDefault="00110FE6" w:rsidP="00806324">
      <w:pPr>
        <w:numPr>
          <w:ilvl w:val="0"/>
          <w:numId w:val="42"/>
        </w:numPr>
      </w:pPr>
      <w:r w:rsidRPr="246FBB6F">
        <w:rPr>
          <w:lang w:val="fr-FR"/>
        </w:rPr>
        <w:t xml:space="preserve">Tout phénomène observable qui peut être daté a une </w:t>
      </w:r>
      <w:r w:rsidRPr="246FBB6F">
        <w:rPr>
          <w:b/>
          <w:bCs/>
          <w:lang w:val="fr-FR"/>
        </w:rPr>
        <w:t>étendue temporelle naturelle</w:t>
      </w:r>
      <w:r w:rsidRPr="246FBB6F">
        <w:rPr>
          <w:lang w:val="fr-FR"/>
        </w:rPr>
        <w:t xml:space="preserve"> marquée par des </w:t>
      </w:r>
      <w:r w:rsidRPr="246FBB6F">
        <w:rPr>
          <w:b/>
          <w:bCs/>
          <w:lang w:val="fr-FR"/>
        </w:rPr>
        <w:t>frontières floues</w:t>
      </w:r>
      <w:r w:rsidRPr="246FBB6F">
        <w:rPr>
          <w:lang w:val="fr-FR"/>
        </w:rPr>
        <w:t xml:space="preserve"> qui établissent une </w:t>
      </w:r>
      <w:r w:rsidRPr="246FBB6F">
        <w:rPr>
          <w:b/>
          <w:bCs/>
          <w:lang w:val="fr-FR"/>
        </w:rPr>
        <w:t>transition graduelle</w:t>
      </w:r>
      <w:r w:rsidRPr="246FBB6F">
        <w:rPr>
          <w:lang w:val="fr-FR"/>
        </w:rPr>
        <w:t xml:space="preserve"> depuis un état de non-existence vers un état d'existence établie suivie d'un état d'existence révolue.</w:t>
      </w:r>
    </w:p>
    <w:p w14:paraId="78B88EE0" w14:textId="77777777" w:rsidR="0084489F" w:rsidRDefault="00110FE6" w:rsidP="00806324">
      <w:pPr>
        <w:numPr>
          <w:ilvl w:val="0"/>
          <w:numId w:val="42"/>
        </w:numPr>
      </w:pPr>
      <w:r>
        <w:t>Ces frontières floues peuvent aussi être interprétées comme des intervalles temporels au sujet desquels des experts peuvent être en désaccord quant à l'état (déjà en cours ou non, toujours en cours ou non), et ce même s'ils ont une connaissance complète d'un phénomène en question.</w:t>
      </w:r>
    </w:p>
    <w:p w14:paraId="5B4E245B" w14:textId="77777777" w:rsidR="0084489F" w:rsidRDefault="00110FE6" w:rsidP="00806324">
      <w:pPr>
        <w:numPr>
          <w:ilvl w:val="0"/>
          <w:numId w:val="42"/>
        </w:numPr>
      </w:pPr>
      <w:r>
        <w:t xml:space="preserve">Le fait qu'une instance de </w:t>
      </w:r>
      <w:r>
        <w:rPr>
          <w:rStyle w:val="VerbatimChar"/>
        </w:rPr>
        <w:t>E2_Entité_temporelle</w:t>
      </w:r>
      <w:r>
        <w:t xml:space="preserve"> soit en cours n'est </w:t>
      </w:r>
      <w:r>
        <w:rPr>
          <w:b/>
          <w:bCs/>
        </w:rPr>
        <w:t>pas observable</w:t>
      </w:r>
      <w:r>
        <w:t xml:space="preserve"> durant ces frontières temporelles floues.</w:t>
      </w:r>
    </w:p>
    <w:p w14:paraId="5FD58FFF" w14:textId="77777777" w:rsidR="0084489F" w:rsidRDefault="00110FE6">
      <w:pPr>
        <w:pStyle w:val="FirstParagraph"/>
      </w:pPr>
      <w:r>
        <w:t>Par exemple :</w:t>
      </w:r>
    </w:p>
    <w:p w14:paraId="1F021AC8" w14:textId="77777777" w:rsidR="0084489F" w:rsidRDefault="00110FE6" w:rsidP="00806324">
      <w:pPr>
        <w:numPr>
          <w:ilvl w:val="0"/>
          <w:numId w:val="43"/>
        </w:numPr>
      </w:pPr>
      <w:r>
        <w:t>Un accouchement a une durée limitée et non négligeable de plusieurs heures durant laquelle l'évènement commence et se termine graduellement.</w:t>
      </w:r>
    </w:p>
    <w:p w14:paraId="2ECA28C6" w14:textId="77777777" w:rsidR="0084489F" w:rsidRDefault="00110FE6" w:rsidP="00806324">
      <w:pPr>
        <w:numPr>
          <w:ilvl w:val="0"/>
          <w:numId w:val="43"/>
        </w:numPr>
      </w:pPr>
      <w:r>
        <w:t>Son début et sa fin peuvent être qualifiés de définitions scientifiques déterminant leurs points temporels.</w:t>
      </w:r>
    </w:p>
    <w:p w14:paraId="1C8AFDA9" w14:textId="77777777" w:rsidR="0084489F" w:rsidRDefault="00110FE6" w:rsidP="00806324">
      <w:pPr>
        <w:numPr>
          <w:ilvl w:val="0"/>
          <w:numId w:val="43"/>
        </w:numPr>
      </w:pPr>
      <w:r>
        <w:t>Ni l'un ni l'autre de ces points temporels ne peut être déterminé plus précisément qu'à l'échelle des minutes.</w:t>
      </w:r>
    </w:p>
    <w:p w14:paraId="1B320C0C" w14:textId="77777777" w:rsidR="0084489F" w:rsidRDefault="00110FE6">
      <w:pPr>
        <w:pStyle w:val="FirstParagraph"/>
      </w:pPr>
      <w:r w:rsidRPr="246FBB6F">
        <w:rPr>
          <w:lang w:val="fr-FR"/>
        </w:rPr>
        <w:t xml:space="preserve">Les frontières floues ne décrivent </w:t>
      </w:r>
      <w:r w:rsidRPr="246FBB6F">
        <w:rPr>
          <w:b/>
          <w:bCs/>
          <w:lang w:val="fr-FR"/>
        </w:rPr>
        <w:t>pas</w:t>
      </w:r>
      <w:r w:rsidRPr="246FBB6F">
        <w:rPr>
          <w:lang w:val="fr-FR"/>
        </w:rPr>
        <w:t xml:space="preserve"> la relation entre la réalité et des connaissances incomplètes ou imprécises et adopter une granularité temporelle inférieure ne résout pas ce problème puisque l'étendue floue pertinente varie grandement en fonction du phénomène considéré, y compris dans le contexte </w:t>
      </w:r>
      <w:r w:rsidRPr="246FBB6F">
        <w:rPr>
          <w:lang w:val="fr-FR"/>
        </w:rPr>
        <w:lastRenderedPageBreak/>
        <w:t>culturel. La seule équivalence exacte est entre des intervalles temporels déclarés arbitrairement (p. ex. la fin d'une année étant le début de la suivante, la fin du minœn ancien étant le début du minœn moyen peu importe le moment où celui-ci a commencé). Conséquemment, un nouvel ensemble de relations temporelles primitives est doté des caractéristiques suivantes :</w:t>
      </w:r>
    </w:p>
    <w:p w14:paraId="6A04DF0E" w14:textId="77777777" w:rsidR="0084489F" w:rsidRDefault="00110FE6" w:rsidP="00806324">
      <w:pPr>
        <w:numPr>
          <w:ilvl w:val="0"/>
          <w:numId w:val="44"/>
        </w:numPr>
      </w:pPr>
      <w:r>
        <w:t>Cet ensemble minimal de propriétés permet de spécifier toutes les relations possibles entre deux intervalles temporels tels qu'ils sont définis par leur point de début et de fin, que ce soit directement ou par conjonction (condition logique « et »).</w:t>
      </w:r>
    </w:p>
    <w:p w14:paraId="57EE0CDA" w14:textId="77777777" w:rsidR="0084489F" w:rsidRDefault="00110FE6" w:rsidP="00806324">
      <w:pPr>
        <w:numPr>
          <w:ilvl w:val="0"/>
          <w:numId w:val="44"/>
        </w:numPr>
      </w:pPr>
      <w:r>
        <w:t>Les points de début et de fin sont interprétés comme des frontières floues « épaisses ».</w:t>
      </w:r>
    </w:p>
    <w:p w14:paraId="626FEF32" w14:textId="77777777" w:rsidR="0084489F" w:rsidRDefault="00110FE6" w:rsidP="00806324">
      <w:pPr>
        <w:numPr>
          <w:ilvl w:val="0"/>
          <w:numId w:val="44"/>
        </w:numPr>
      </w:pPr>
      <w:r>
        <w:t xml:space="preserve">Les conditions d'égalité des points temporels externes sont étendues au point où les frontières floues se </w:t>
      </w:r>
      <w:r>
        <w:rPr>
          <w:b/>
          <w:bCs/>
        </w:rPr>
        <w:t>recouvrent</w:t>
      </w:r>
      <w:r>
        <w:t xml:space="preserve"> de sorte que la connaissance de la forme de la fonction floue n'est </w:t>
      </w:r>
      <w:r>
        <w:rPr>
          <w:b/>
          <w:bCs/>
        </w:rPr>
        <w:t>pas</w:t>
      </w:r>
      <w:r>
        <w:t xml:space="preserve"> nécessaire.</w:t>
      </w:r>
    </w:p>
    <w:p w14:paraId="7B382F7F" w14:textId="77777777" w:rsidR="0084489F" w:rsidRDefault="00110FE6" w:rsidP="00806324">
      <w:pPr>
        <w:numPr>
          <w:ilvl w:val="0"/>
          <w:numId w:val="44"/>
        </w:numPr>
      </w:pPr>
      <w:r>
        <w:t>Toutes les relations d'Allen peuvent être exprimées directement ou par conjonction des propriétés concernées.</w:t>
      </w:r>
    </w:p>
    <w:p w14:paraId="35830F47" w14:textId="77777777" w:rsidR="0084489F" w:rsidRDefault="00110FE6" w:rsidP="00806324">
      <w:pPr>
        <w:numPr>
          <w:ilvl w:val="0"/>
          <w:numId w:val="44"/>
        </w:numPr>
      </w:pPr>
      <w:r>
        <w:t>Dans le cas des intervalles temporels n'ayant pas de frontières floues courtes ou n'en ayant que des négligeables, toutes les relations de Allen peuvent être décrites par des conjonctions adéquates des propriétés concernées.</w:t>
      </w:r>
    </w:p>
    <w:p w14:paraId="7FEDDF3F" w14:textId="77777777" w:rsidR="0084489F" w:rsidRDefault="00110FE6" w:rsidP="00806324">
      <w:pPr>
        <w:numPr>
          <w:ilvl w:val="0"/>
          <w:numId w:val="44"/>
        </w:numPr>
      </w:pPr>
      <w:r w:rsidRPr="246FBB6F">
        <w:rPr>
          <w:lang w:val="fr-FR"/>
        </w:rPr>
        <w:t>Aucune relation n'est l'équivalent de l'inverse d'une autre de sorte que les inverses sont plutôt spécifiées par l'inversion du domaine et de la portée.</w:t>
      </w:r>
    </w:p>
    <w:p w14:paraId="639A6686" w14:textId="77777777" w:rsidR="0084489F" w:rsidRDefault="00110FE6">
      <w:pPr>
        <w:pStyle w:val="BlockText"/>
      </w:pPr>
      <w:r>
        <w:rPr>
          <w:b/>
          <w:bCs/>
          <w:i/>
          <w:iCs/>
        </w:rPr>
        <w:t>Note de traduction</w:t>
      </w:r>
    </w:p>
    <w:p w14:paraId="355C1F96" w14:textId="77777777" w:rsidR="0084489F" w:rsidRDefault="00110FE6">
      <w:pPr>
        <w:pStyle w:val="BlockText"/>
      </w:pPr>
      <w:r w:rsidRPr="246FBB6F">
        <w:rPr>
          <w:lang w:val="fr-FR"/>
        </w:rPr>
        <w:t>La traduction des propriétés dépréciées (</w:t>
      </w:r>
      <w:r w:rsidRPr="246FBB6F">
        <w:rPr>
          <w:rStyle w:val="VerbatimChar"/>
          <w:lang w:val="fr-FR"/>
        </w:rPr>
        <w:t>P114_est_temporellement_équivalent_à</w:t>
      </w:r>
      <w:r w:rsidRPr="246FBB6F">
        <w:rPr>
          <w:lang w:val="fr-FR"/>
        </w:rPr>
        <w:t xml:space="preserve">, </w:t>
      </w:r>
      <w:r w:rsidRPr="246FBB6F">
        <w:rPr>
          <w:rStyle w:val="VerbatimChar"/>
          <w:lang w:val="fr-FR"/>
        </w:rPr>
        <w:t>P115_termine (est_terminé_par)</w:t>
      </w:r>
      <w:r w:rsidRPr="246FBB6F">
        <w:rPr>
          <w:lang w:val="fr-FR"/>
        </w:rPr>
        <w:t xml:space="preserve">, </w:t>
      </w:r>
      <w:r w:rsidRPr="246FBB6F">
        <w:rPr>
          <w:rStyle w:val="VerbatimChar"/>
          <w:lang w:val="fr-FR"/>
        </w:rPr>
        <w:t>P116_commence (est_commencé_par)</w:t>
      </w:r>
      <w:r w:rsidRPr="246FBB6F">
        <w:rPr>
          <w:lang w:val="fr-FR"/>
        </w:rPr>
        <w:t xml:space="preserve">, </w:t>
      </w:r>
      <w:r w:rsidRPr="246FBB6F">
        <w:rPr>
          <w:rStyle w:val="VerbatimChar"/>
          <w:lang w:val="fr-FR"/>
        </w:rPr>
        <w:t>P117_se_produit_durant (inclut)</w:t>
      </w:r>
      <w:r w:rsidRPr="246FBB6F">
        <w:rPr>
          <w:lang w:val="fr-FR"/>
        </w:rPr>
        <w:t xml:space="preserve">, </w:t>
      </w:r>
      <w:r w:rsidRPr="246FBB6F">
        <w:rPr>
          <w:rStyle w:val="VerbatimChar"/>
          <w:lang w:val="fr-FR"/>
        </w:rPr>
        <w:t>P118_recoupe_temporellement (est_recoupé_temporellement_par)</w:t>
      </w:r>
      <w:r w:rsidRPr="246FBB6F">
        <w:rPr>
          <w:lang w:val="fr-FR"/>
        </w:rPr>
        <w:t xml:space="preserve">, </w:t>
      </w:r>
      <w:r w:rsidRPr="246FBB6F">
        <w:rPr>
          <w:rStyle w:val="VerbatimChar"/>
          <w:lang w:val="fr-FR"/>
        </w:rPr>
        <w:t>P119_rencontre_temporellement (est_rencontré_temporellement_par)</w:t>
      </w:r>
      <w:r w:rsidRPr="246FBB6F">
        <w:rPr>
          <w:lang w:val="fr-FR"/>
        </w:rPr>
        <w:t xml:space="preserve"> et </w:t>
      </w:r>
      <w:r w:rsidRPr="246FBB6F">
        <w:rPr>
          <w:rStyle w:val="VerbatimChar"/>
          <w:lang w:val="fr-FR"/>
        </w:rPr>
        <w:t>P120_se_produit_avant (se_produit_après)</w:t>
      </w:r>
      <w:r w:rsidRPr="246FBB6F">
        <w:rPr>
          <w:lang w:val="fr-FR"/>
        </w:rPr>
        <w:t>) est basée sur les libellés originaux de la version 6.2.</w:t>
      </w:r>
    </w:p>
    <w:p w14:paraId="2A348F77" w14:textId="77777777" w:rsidR="0084489F" w:rsidRPr="008C0D99" w:rsidRDefault="00110FE6">
      <w:pPr>
        <w:pStyle w:val="BlockText"/>
        <w:rPr>
          <w:lang w:val="en-CA"/>
        </w:rPr>
      </w:pPr>
      <w:r w:rsidRPr="008C0D99">
        <w:rPr>
          <w:b/>
          <w:bCs/>
          <w:i/>
          <w:iCs/>
          <w:lang w:val="en-CA"/>
        </w:rPr>
        <w:t>Références</w:t>
      </w:r>
    </w:p>
    <w:p w14:paraId="3D709721" w14:textId="77777777" w:rsidR="0084489F" w:rsidRDefault="00110FE6">
      <w:pPr>
        <w:pStyle w:val="BlockText"/>
        <w:rPr>
          <w:lang w:val="en-CA"/>
        </w:rPr>
      </w:pPr>
      <w:r w:rsidRPr="008C0D99">
        <w:rPr>
          <w:lang w:val="en-CA"/>
        </w:rPr>
        <w:t>« Definition of the CIDOC Conceptual Reference Model ». Modèle. Paris, FR-IDF: CIDOC CRM Special Interest Group, mai 2015.</w:t>
      </w:r>
      <w:hyperlink r:id="rId151">
        <w:r w:rsidRPr="008C0D99">
          <w:rPr>
            <w:rStyle w:val="Hyperlink"/>
            <w:lang w:val="en-CA"/>
          </w:rPr>
          <w:t xml:space="preserve"> </w:t>
        </w:r>
      </w:hyperlink>
      <w:hyperlink r:id="rId152">
        <w:r w:rsidRPr="008C0D99">
          <w:rPr>
            <w:rStyle w:val="Hyperlink"/>
            <w:lang w:val="en-CA"/>
          </w:rPr>
          <w:t>https://cidoc-crm.org/sites/default/files/cidoc_crm_version_6.2.pdf</w:t>
        </w:r>
      </w:hyperlink>
      <w:r w:rsidRPr="008C0D99">
        <w:rPr>
          <w:lang w:val="en-CA"/>
        </w:rPr>
        <w:t>.</w:t>
      </w:r>
    </w:p>
    <w:p w14:paraId="4E2F881F" w14:textId="77777777" w:rsidR="004B7BCB" w:rsidRPr="004B7BCB" w:rsidRDefault="004B7BCB" w:rsidP="004B7BCB">
      <w:pPr>
        <w:pStyle w:val="BodyText"/>
        <w:rPr>
          <w:lang w:val="en-CA"/>
        </w:rPr>
      </w:pPr>
    </w:p>
    <w:p w14:paraId="2362B118" w14:textId="77777777" w:rsidR="0084489F" w:rsidRDefault="00110FE6">
      <w:pPr>
        <w:pStyle w:val="Heading4"/>
      </w:pPr>
      <w:bookmarkStart w:id="92" w:name="notation"/>
      <w:r>
        <w:t>Notation</w:t>
      </w:r>
    </w:p>
    <w:p w14:paraId="1C30B2F9" w14:textId="77777777" w:rsidR="0084489F" w:rsidRDefault="00110FE6">
      <w:pPr>
        <w:pStyle w:val="FirstParagraph"/>
      </w:pPr>
      <w:r w:rsidRPr="246FBB6F">
        <w:rPr>
          <w:lang w:val="fr-FR"/>
        </w:rPr>
        <w:t xml:space="preserve">Lors de la comparaison de deux instances de </w:t>
      </w:r>
      <w:r w:rsidRPr="246FBB6F">
        <w:rPr>
          <w:rStyle w:val="VerbatimChar"/>
          <w:lang w:val="fr-FR"/>
        </w:rPr>
        <w:t>E2_Entité_temporelle</w:t>
      </w:r>
      <w:r w:rsidRPr="246FBB6F">
        <w:rPr>
          <w:lang w:val="fr-FR"/>
        </w:rPr>
        <w:t xml:space="preserve"> l'une est identifiée par une lettre majuscule suivie de ses début et fin (flous) indiqués en exposants (A</w:t>
      </w:r>
      <w:r w:rsidRPr="246FBB6F">
        <w:rPr>
          <w:vertAlign w:val="superscript"/>
          <w:lang w:val="fr-FR"/>
        </w:rPr>
        <w:t>début</w:t>
      </w:r>
      <w:r w:rsidRPr="246FBB6F">
        <w:rPr>
          <w:lang w:val="fr-FR"/>
        </w:rPr>
        <w:t>, A</w:t>
      </w:r>
      <w:r w:rsidRPr="246FBB6F">
        <w:rPr>
          <w:vertAlign w:val="superscript"/>
          <w:lang w:val="fr-FR"/>
        </w:rPr>
        <w:t>fin</w:t>
      </w:r>
      <w:r w:rsidRPr="246FBB6F">
        <w:rPr>
          <w:lang w:val="fr-FR"/>
        </w:rPr>
        <w:t>) de telle sorte que A = [A</w:t>
      </w:r>
      <w:r w:rsidRPr="246FBB6F">
        <w:rPr>
          <w:vertAlign w:val="superscript"/>
          <w:lang w:val="fr-FR"/>
        </w:rPr>
        <w:t>début</w:t>
      </w:r>
      <w:r w:rsidRPr="246FBB6F">
        <w:rPr>
          <w:lang w:val="fr-FR"/>
        </w:rPr>
        <w:t>, A</w:t>
      </w:r>
      <w:r w:rsidRPr="246FBB6F">
        <w:rPr>
          <w:vertAlign w:val="superscript"/>
          <w:lang w:val="fr-FR"/>
        </w:rPr>
        <w:t>fin</w:t>
      </w:r>
      <w:r w:rsidRPr="246FBB6F">
        <w:rPr>
          <w:lang w:val="fr-FR"/>
        </w:rPr>
        <w:t>] et B = [B</w:t>
      </w:r>
      <w:r w:rsidRPr="246FBB6F">
        <w:rPr>
          <w:vertAlign w:val="superscript"/>
          <w:lang w:val="fr-FR"/>
        </w:rPr>
        <w:t>début</w:t>
      </w:r>
      <w:r w:rsidRPr="246FBB6F">
        <w:rPr>
          <w:lang w:val="fr-FR"/>
        </w:rPr>
        <w:t>, B</w:t>
      </w:r>
      <w:r w:rsidRPr="246FBB6F">
        <w:rPr>
          <w:vertAlign w:val="superscript"/>
          <w:lang w:val="fr-FR"/>
        </w:rPr>
        <w:t>fin</w:t>
      </w:r>
      <w:r w:rsidRPr="246FBB6F">
        <w:rPr>
          <w:lang w:val="fr-FR"/>
        </w:rPr>
        <w:t>].</w:t>
      </w:r>
    </w:p>
    <w:p w14:paraId="134EB85A" w14:textId="77777777" w:rsidR="0084489F" w:rsidRDefault="00110FE6">
      <w:pPr>
        <w:pStyle w:val="BodyText"/>
      </w:pPr>
      <w:r>
        <w:t>La relation temporelle est identifiée à l'aide d'un prédicat nommé (libellé) défini par une ou plusieurs expressions d'(in)égalité entre les points terminaux de telle sorte que :</w:t>
      </w:r>
    </w:p>
    <w:p w14:paraId="4E030985" w14:textId="77777777" w:rsidR="0084489F" w:rsidRDefault="00110FE6">
      <w:pPr>
        <w:pStyle w:val="BodyText"/>
      </w:pPr>
      <w:r w:rsidRPr="246FBB6F">
        <w:rPr>
          <w:lang w:val="fr-FR"/>
        </w:rPr>
        <w:t xml:space="preserve">A </w:t>
      </w:r>
      <w:r w:rsidRPr="246FBB6F">
        <w:rPr>
          <w:i/>
          <w:iCs/>
          <w:lang w:val="fr-FR"/>
        </w:rPr>
        <w:t>commence avant la fin de</w:t>
      </w:r>
      <w:r w:rsidRPr="246FBB6F">
        <w:rPr>
          <w:lang w:val="fr-FR"/>
        </w:rPr>
        <w:t xml:space="preserve"> B si et seulement si (⇔) A</w:t>
      </w:r>
      <w:r w:rsidRPr="246FBB6F">
        <w:rPr>
          <w:vertAlign w:val="superscript"/>
          <w:lang w:val="fr-FR"/>
        </w:rPr>
        <w:t>début</w:t>
      </w:r>
      <w:r w:rsidRPr="246FBB6F">
        <w:rPr>
          <w:lang w:val="fr-FR"/>
        </w:rPr>
        <w:t xml:space="preserve"> &lt; B</w:t>
      </w:r>
      <w:r w:rsidRPr="246FBB6F">
        <w:rPr>
          <w:vertAlign w:val="superscript"/>
          <w:lang w:val="fr-FR"/>
        </w:rPr>
        <w:t>fin</w:t>
      </w:r>
    </w:p>
    <w:p w14:paraId="65910F54" w14:textId="77777777" w:rsidR="0084489F" w:rsidRDefault="00110FE6">
      <w:pPr>
        <w:pStyle w:val="BodyText"/>
      </w:pPr>
      <w:r>
        <w:t xml:space="preserve">Les relations temporelles symbolisant les étendues temporelles de deux instances de </w:t>
      </w:r>
      <w:r>
        <w:rPr>
          <w:rStyle w:val="VerbatimChar"/>
        </w:rPr>
        <w:t>E2_Entité_temporelle</w:t>
      </w:r>
      <w:r>
        <w:t xml:space="preserve"> A et B sont illustrées à l'aide de barres horizontales conçues comme une ligne du temps horizontale se lisant depuis la gauche vers la droite. Les frontières floues sont illustrées par une saturation de couleur croissante ou décroissante.</w:t>
      </w:r>
    </w:p>
    <w:p w14:paraId="0905E575" w14:textId="77777777" w:rsidR="0084489F" w:rsidRDefault="00110FE6">
      <w:pPr>
        <w:pStyle w:val="BodyText"/>
      </w:pPr>
      <w:r>
        <w:lastRenderedPageBreak/>
        <w:t>Les différentes options d'ordonnancement relatif que permet la relation sont illustrés par deux positions extrêmes de l'instance A par rapport à l'instance B connectées par des flèches. Cela pourrait par exemple représenter les positions relatives d'un train A approchant une station B.</w:t>
      </w:r>
    </w:p>
    <w:p w14:paraId="4240681C" w14:textId="77777777" w:rsidR="0084489F" w:rsidRDefault="00110FE6">
      <w:pPr>
        <w:pStyle w:val="BodyText"/>
      </w:pPr>
      <w:r>
        <w:t>Dans l'éventualité où la longueur de A eu égard à B est d'intérêt, deux diagrammes sont disponibles dans lesquels :</w:t>
      </w:r>
    </w:p>
    <w:p w14:paraId="3BE6D343" w14:textId="77777777" w:rsidR="0084489F" w:rsidRDefault="00110FE6" w:rsidP="00806324">
      <w:pPr>
        <w:numPr>
          <w:ilvl w:val="0"/>
          <w:numId w:val="45"/>
        </w:numPr>
      </w:pPr>
      <w:r w:rsidRPr="246FBB6F">
        <w:rPr>
          <w:lang w:val="fr-FR"/>
        </w:rPr>
        <w:t>l'intérieur [n.d.t. les zones centrales foncées] désigne les points temporels où l'entité temporelle décrite est définitivement en cours;</w:t>
      </w:r>
    </w:p>
    <w:p w14:paraId="21438A0F" w14:textId="77777777" w:rsidR="0084489F" w:rsidRDefault="00110FE6" w:rsidP="00806324">
      <w:pPr>
        <w:numPr>
          <w:ilvl w:val="0"/>
          <w:numId w:val="45"/>
        </w:numPr>
      </w:pPr>
      <w:r w:rsidRPr="246FBB6F">
        <w:rPr>
          <w:lang w:val="fr-FR"/>
        </w:rPr>
        <w:t>les frontières [n.d.t. les zones périphériques claires] désignent les zones de transition floue où l'entité temporelle décrite est en cours de développement ou de disparition;</w:t>
      </w:r>
    </w:p>
    <w:p w14:paraId="37141753" w14:textId="77777777" w:rsidR="0084489F" w:rsidRDefault="00110FE6" w:rsidP="00806324">
      <w:pPr>
        <w:numPr>
          <w:ilvl w:val="0"/>
          <w:numId w:val="45"/>
        </w:numPr>
      </w:pPr>
      <w:r>
        <w:t>A commence avant la fin de B.</w:t>
      </w:r>
    </w:p>
    <w:p w14:paraId="18CF95A2" w14:textId="77777777" w:rsidR="0084489F" w:rsidRDefault="00110FE6">
      <w:pPr>
        <w:pStyle w:val="FirstParagraph"/>
      </w:pPr>
      <w:r>
        <w:rPr>
          <w:noProof/>
        </w:rPr>
        <w:drawing>
          <wp:inline distT="0" distB="0" distL="0" distR="0" wp14:anchorId="518195A5" wp14:editId="7356AC3C">
            <wp:extent cx="6858000" cy="6515711"/>
            <wp:effectExtent l="0" t="0" r="0" b="0"/>
            <wp:docPr id="137" name="Picture" descr="Un diagramme illustre le fonctionnement de la propriété P174_commence_avant_la fin_de (se_termin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wp:cNvGraphicFramePr/>
            <a:graphic xmlns:a="http://schemas.openxmlformats.org/drawingml/2006/main">
              <a:graphicData uri="http://schemas.openxmlformats.org/drawingml/2006/picture">
                <pic:pic xmlns:pic="http://schemas.openxmlformats.org/drawingml/2006/picture">
                  <pic:nvPicPr>
                    <pic:cNvPr id="138" name="Picture" descr="/Users/trangdang/Documents/CHIN/Work/documentation/cidoc_crm_fr-ca/docs/v7.1.3/figures/Fig_7_FR.png"/>
                    <pic:cNvPicPr>
                      <a:picLocks noChangeAspect="1" noChangeArrowheads="1"/>
                    </pic:cNvPicPr>
                  </pic:nvPicPr>
                  <pic:blipFill>
                    <a:blip r:embed="rId153"/>
                    <a:stretch>
                      <a:fillRect/>
                    </a:stretch>
                  </pic:blipFill>
                  <pic:spPr bwMode="auto">
                    <a:xfrm>
                      <a:off x="0" y="0"/>
                      <a:ext cx="6858000" cy="6515711"/>
                    </a:xfrm>
                    <a:prstGeom prst="rect">
                      <a:avLst/>
                    </a:prstGeom>
                    <a:noFill/>
                    <a:ln w="9525">
                      <a:noFill/>
                      <a:headEnd/>
                      <a:tailEnd/>
                    </a:ln>
                  </pic:spPr>
                </pic:pic>
              </a:graphicData>
            </a:graphic>
          </wp:inline>
        </w:drawing>
      </w:r>
    </w:p>
    <w:p w14:paraId="6EAC3074" w14:textId="77777777" w:rsidR="0084489F" w:rsidRPr="0076137A" w:rsidRDefault="00110FE6" w:rsidP="246FBB6F">
      <w:pPr>
        <w:pStyle w:val="BodyText"/>
        <w:rPr>
          <w:sz w:val="20"/>
          <w:szCs w:val="20"/>
          <w:lang w:val="fr-FR"/>
        </w:rPr>
      </w:pPr>
      <w:commentRangeStart w:id="93"/>
      <w:r w:rsidRPr="246FBB6F">
        <w:rPr>
          <w:i/>
          <w:iCs/>
          <w:sz w:val="20"/>
          <w:szCs w:val="20"/>
          <w:lang w:val="fr-FR"/>
        </w:rPr>
        <w:lastRenderedPageBreak/>
        <w:t>Figure 7 : Explication des concepts d'intérieur et de frontière ainsi qu'example de l'utilisation de</w:t>
      </w:r>
      <w:r w:rsidRPr="246FBB6F">
        <w:rPr>
          <w:sz w:val="20"/>
          <w:szCs w:val="20"/>
          <w:lang w:val="fr-FR"/>
        </w:rPr>
        <w:t xml:space="preserve"> </w:t>
      </w:r>
      <w:r w:rsidRPr="246FBB6F">
        <w:rPr>
          <w:rStyle w:val="VerbatimChar"/>
          <w:sz w:val="20"/>
          <w:szCs w:val="20"/>
          <w:lang w:val="fr-FR"/>
        </w:rPr>
        <w:t>P174_commence_avant_la_fin_de (se_termine_après_le_début_de)</w:t>
      </w:r>
      <w:commentRangeEnd w:id="93"/>
      <w:r>
        <w:rPr>
          <w:rStyle w:val="CommentReference"/>
        </w:rPr>
        <w:commentReference w:id="93"/>
      </w:r>
    </w:p>
    <w:p w14:paraId="5ECBD2B7" w14:textId="77777777" w:rsidR="0084489F" w:rsidRDefault="00110FE6">
      <w:pPr>
        <w:pStyle w:val="BlockText"/>
      </w:pPr>
      <w:r>
        <w:rPr>
          <w:b/>
          <w:bCs/>
          <w:i/>
          <w:iCs/>
        </w:rPr>
        <w:t>Note de traduction</w:t>
      </w:r>
    </w:p>
    <w:p w14:paraId="4C5FAAFE" w14:textId="77777777" w:rsidR="0084489F" w:rsidRDefault="00110FE6">
      <w:pPr>
        <w:pStyle w:val="BlockText"/>
      </w:pPr>
      <w:r>
        <w:rPr>
          <w:b/>
          <w:bCs/>
          <w:i/>
          <w:iCs/>
        </w:rPr>
        <w:t>Références</w:t>
      </w:r>
    </w:p>
    <w:p w14:paraId="0D2FBD6D" w14:textId="77777777" w:rsidR="0084489F" w:rsidRDefault="0084489F">
      <w:pPr>
        <w:pStyle w:val="BlockText"/>
      </w:pPr>
    </w:p>
    <w:p w14:paraId="7B82A854" w14:textId="77777777" w:rsidR="0084489F" w:rsidRDefault="00110FE6">
      <w:pPr>
        <w:pStyle w:val="Heading4"/>
      </w:pPr>
      <w:bookmarkStart w:id="94" w:name="Xeecf268fd6fd43d470b18f97af79e5ea6b144ff"/>
      <w:bookmarkEnd w:id="92"/>
      <w:r>
        <w:t>Aperçu des relations temporelles primitives</w:t>
      </w:r>
    </w:p>
    <w:p w14:paraId="5E80A563" w14:textId="77777777" w:rsidR="0084489F" w:rsidRDefault="00110FE6">
      <w:pPr>
        <w:pStyle w:val="FirstParagraph"/>
      </w:pPr>
      <w:r>
        <w:t>L'ensemble final de relations primitives temporelles peut être divisé en deux groupes :</w:t>
      </w:r>
    </w:p>
    <w:p w14:paraId="08559F02" w14:textId="77777777" w:rsidR="0084489F" w:rsidRDefault="00110FE6" w:rsidP="00806324">
      <w:pPr>
        <w:numPr>
          <w:ilvl w:val="0"/>
          <w:numId w:val="46"/>
        </w:numPr>
      </w:pPr>
      <w:r w:rsidRPr="246FBB6F">
        <w:rPr>
          <w:lang w:val="fr-FR"/>
        </w:rPr>
        <w:t>Les relations qui se fondent sur des inégalités impropres comme A</w:t>
      </w:r>
      <w:r w:rsidRPr="246FBB6F">
        <w:rPr>
          <w:vertAlign w:val="superscript"/>
          <w:lang w:val="fr-FR"/>
        </w:rPr>
        <w:t>début</w:t>
      </w:r>
      <w:r w:rsidRPr="246FBB6F">
        <w:rPr>
          <w:lang w:val="fr-FR"/>
        </w:rPr>
        <w:t xml:space="preserve"> ≤ B</w:t>
      </w:r>
      <w:r w:rsidRPr="246FBB6F">
        <w:rPr>
          <w:vertAlign w:val="superscript"/>
          <w:lang w:val="fr-FR"/>
        </w:rPr>
        <w:t>fin</w:t>
      </w:r>
      <w:r w:rsidRPr="246FBB6F">
        <w:rPr>
          <w:lang w:val="fr-FR"/>
        </w:rPr>
        <w:t xml:space="preserve"> (les entités dont les nombres sont impairs dans le tableau ci-dessous).</w:t>
      </w:r>
    </w:p>
    <w:p w14:paraId="57C1D39C" w14:textId="77777777" w:rsidR="0084489F" w:rsidRDefault="00110FE6" w:rsidP="00806324">
      <w:pPr>
        <w:numPr>
          <w:ilvl w:val="0"/>
          <w:numId w:val="46"/>
        </w:numPr>
      </w:pPr>
      <w:r w:rsidRPr="246FBB6F">
        <w:rPr>
          <w:lang w:val="fr-FR"/>
        </w:rPr>
        <w:t>Les relations qui se fondent sur des inégalités propres comme A</w:t>
      </w:r>
      <w:r w:rsidRPr="246FBB6F">
        <w:rPr>
          <w:vertAlign w:val="superscript"/>
          <w:lang w:val="fr-FR"/>
        </w:rPr>
        <w:t>début</w:t>
      </w:r>
      <w:r w:rsidRPr="246FBB6F">
        <w:rPr>
          <w:lang w:val="fr-FR"/>
        </w:rPr>
        <w:t xml:space="preserve"> &lt; B</w:t>
      </w:r>
      <w:r w:rsidRPr="246FBB6F">
        <w:rPr>
          <w:vertAlign w:val="superscript"/>
          <w:lang w:val="fr-FR"/>
        </w:rPr>
        <w:t>fin</w:t>
      </w:r>
      <w:r w:rsidRPr="246FBB6F">
        <w:rPr>
          <w:lang w:val="fr-FR"/>
        </w:rPr>
        <w:t xml:space="preserve"> (les entités dont les nombres sont pairs dans le tableau ci-dessous).</w:t>
      </w:r>
    </w:p>
    <w:p w14:paraId="41DFF73E" w14:textId="77777777" w:rsidR="0084489F" w:rsidRDefault="00110FE6">
      <w:pPr>
        <w:pStyle w:val="FirstParagraph"/>
      </w:pPr>
      <w:r>
        <w:t>Les inégalités impropres ayant des frontières floues sont acceptées s'étendre à des situations dans lesquelles les frontières floues des points d'arrivée respectifs peuvent se chevaucher. Ils incluent donc des situations lors desquelles il est impossible de déterminer quand un intervalle a terminé et quand un autre a commencé, et où il n'y a pas de décalage déterminé entre ces points.</w:t>
      </w:r>
    </w:p>
    <w:p w14:paraId="481CCAC2" w14:textId="77777777" w:rsidR="0084489F" w:rsidRDefault="00110FE6">
      <w:pPr>
        <w:pStyle w:val="BodyText"/>
      </w:pPr>
      <w:r>
        <w:t>Les inégalités propres ayant des frontières floues ne peuvent avoir de points d'arrivée qui se chevauchent de sorte qu'il y a un décalage connu entre les points d'arrivée (p. ex. une discontinuité entre l'établissement de phases fondée sur l'observation de couches archéologiques).</w:t>
      </w:r>
    </w:p>
    <w:p w14:paraId="139B4806" w14:textId="77777777" w:rsidR="0084489F" w:rsidRDefault="00110FE6">
      <w:pPr>
        <w:pStyle w:val="BlockText"/>
      </w:pPr>
      <w:r>
        <w:rPr>
          <w:b/>
          <w:bCs/>
          <w:i/>
          <w:iCs/>
        </w:rPr>
        <w:t>Note de traduction</w:t>
      </w:r>
    </w:p>
    <w:p w14:paraId="4726D5F6" w14:textId="77777777" w:rsidR="0084489F" w:rsidRDefault="00110FE6">
      <w:pPr>
        <w:pStyle w:val="BlockText"/>
      </w:pPr>
      <w:r>
        <w:rPr>
          <w:b/>
          <w:bCs/>
          <w:i/>
          <w:iCs/>
        </w:rPr>
        <w:t>Références</w:t>
      </w:r>
    </w:p>
    <w:p w14:paraId="37EB18A8" w14:textId="77777777" w:rsidR="0084489F" w:rsidRDefault="0084489F">
      <w:pPr>
        <w:pStyle w:val="BlockText"/>
      </w:pPr>
    </w:p>
    <w:tbl>
      <w:tblPr>
        <w:tblStyle w:val="Table"/>
        <w:tblW w:w="10780" w:type="dxa"/>
        <w:tblInd w:w="0" w:type="dxa"/>
        <w:tblLook w:val="0000" w:firstRow="0" w:lastRow="0" w:firstColumn="0" w:lastColumn="0" w:noHBand="0" w:noVBand="0"/>
      </w:tblPr>
      <w:tblGrid>
        <w:gridCol w:w="349"/>
        <w:gridCol w:w="8670"/>
        <w:gridCol w:w="1761"/>
      </w:tblGrid>
      <w:tr w:rsidR="0084489F" w14:paraId="1EE57155" w14:textId="77777777" w:rsidTr="00CC39FB">
        <w:tc>
          <w:tcPr>
            <w:tcW w:w="349" w:type="dxa"/>
          </w:tcPr>
          <w:p w14:paraId="511DBA26" w14:textId="77777777" w:rsidR="0084489F" w:rsidRDefault="0084489F">
            <w:pPr>
              <w:pStyle w:val="Compact"/>
            </w:pPr>
          </w:p>
        </w:tc>
        <w:tc>
          <w:tcPr>
            <w:tcW w:w="8670" w:type="dxa"/>
          </w:tcPr>
          <w:p w14:paraId="7C7B2AD4" w14:textId="77777777" w:rsidR="0084489F" w:rsidRDefault="00110FE6">
            <w:r>
              <w:t>Propriété</w:t>
            </w:r>
          </w:p>
        </w:tc>
        <w:tc>
          <w:tcPr>
            <w:tcW w:w="1761" w:type="dxa"/>
          </w:tcPr>
          <w:p w14:paraId="1C26FDDB" w14:textId="77777777" w:rsidR="0084489F" w:rsidRDefault="00110FE6">
            <w:r>
              <w:t>Interprétation</w:t>
            </w:r>
          </w:p>
        </w:tc>
      </w:tr>
      <w:tr w:rsidR="0084489F" w14:paraId="6A2DC747" w14:textId="77777777" w:rsidTr="00CC39FB">
        <w:tc>
          <w:tcPr>
            <w:tcW w:w="349" w:type="dxa"/>
          </w:tcPr>
          <w:p w14:paraId="63399B40" w14:textId="77777777" w:rsidR="0084489F" w:rsidRDefault="00110FE6">
            <w:r>
              <w:t>1</w:t>
            </w:r>
          </w:p>
        </w:tc>
        <w:tc>
          <w:tcPr>
            <w:tcW w:w="8670" w:type="dxa"/>
          </w:tcPr>
          <w:p w14:paraId="3405CA21" w14:textId="77777777" w:rsidR="0084489F" w:rsidRDefault="00110FE6">
            <w:r w:rsidRPr="246FBB6F">
              <w:rPr>
                <w:rStyle w:val="VerbatimChar"/>
                <w:lang w:val="fr-FR"/>
              </w:rPr>
              <w:t>P173_commence_avant_ou_au_moment_de_la_fin_de (se_termine_après_ou_au_moment_du_début_de)</w:t>
            </w:r>
          </w:p>
        </w:tc>
        <w:tc>
          <w:tcPr>
            <w:tcW w:w="1761" w:type="dxa"/>
          </w:tcPr>
          <w:p w14:paraId="5D2832B2" w14:textId="77777777" w:rsidR="0084489F" w:rsidRDefault="00110FE6">
            <w:r w:rsidRPr="246FBB6F">
              <w:rPr>
                <w:lang w:val="fr-FR"/>
              </w:rPr>
              <w:t>A</w:t>
            </w:r>
            <w:r w:rsidRPr="246FBB6F">
              <w:rPr>
                <w:vertAlign w:val="superscript"/>
                <w:lang w:val="fr-FR"/>
              </w:rPr>
              <w:t>début</w:t>
            </w:r>
            <w:r w:rsidRPr="246FBB6F">
              <w:rPr>
                <w:lang w:val="fr-FR"/>
              </w:rPr>
              <w:t xml:space="preserve"> ≤ B</w:t>
            </w:r>
            <w:r w:rsidRPr="246FBB6F">
              <w:rPr>
                <w:vertAlign w:val="superscript"/>
                <w:lang w:val="fr-FR"/>
              </w:rPr>
              <w:t>fin</w:t>
            </w:r>
          </w:p>
        </w:tc>
      </w:tr>
      <w:tr w:rsidR="0084489F" w14:paraId="7947EF0E" w14:textId="77777777" w:rsidTr="00CC39FB">
        <w:tc>
          <w:tcPr>
            <w:tcW w:w="349" w:type="dxa"/>
          </w:tcPr>
          <w:p w14:paraId="7942EF38" w14:textId="77777777" w:rsidR="0084489F" w:rsidRDefault="00110FE6">
            <w:r>
              <w:t>2</w:t>
            </w:r>
          </w:p>
        </w:tc>
        <w:tc>
          <w:tcPr>
            <w:tcW w:w="8670" w:type="dxa"/>
          </w:tcPr>
          <w:p w14:paraId="17E01DEC" w14:textId="77777777" w:rsidR="0084489F" w:rsidRDefault="00110FE6">
            <w:r w:rsidRPr="246FBB6F">
              <w:rPr>
                <w:rStyle w:val="VerbatimChar"/>
                <w:lang w:val="fr-FR"/>
              </w:rPr>
              <w:t>P174_commence_avant_la_fin_de (se_termine_après_le_début_de)</w:t>
            </w:r>
          </w:p>
        </w:tc>
        <w:tc>
          <w:tcPr>
            <w:tcW w:w="1761" w:type="dxa"/>
          </w:tcPr>
          <w:p w14:paraId="0BE8B3D7" w14:textId="77777777" w:rsidR="0084489F" w:rsidRDefault="00110FE6">
            <w:r w:rsidRPr="246FBB6F">
              <w:rPr>
                <w:lang w:val="fr-FR"/>
              </w:rPr>
              <w:t>A</w:t>
            </w:r>
            <w:r w:rsidRPr="246FBB6F">
              <w:rPr>
                <w:vertAlign w:val="superscript"/>
                <w:lang w:val="fr-FR"/>
              </w:rPr>
              <w:t>début</w:t>
            </w:r>
            <w:r w:rsidRPr="246FBB6F">
              <w:rPr>
                <w:lang w:val="fr-FR"/>
              </w:rPr>
              <w:t xml:space="preserve"> &lt; B</w:t>
            </w:r>
            <w:r w:rsidRPr="246FBB6F">
              <w:rPr>
                <w:vertAlign w:val="superscript"/>
                <w:lang w:val="fr-FR"/>
              </w:rPr>
              <w:t>fin</w:t>
            </w:r>
          </w:p>
        </w:tc>
      </w:tr>
      <w:tr w:rsidR="0084489F" w14:paraId="628A2CE3" w14:textId="77777777" w:rsidTr="00CC39FB">
        <w:tc>
          <w:tcPr>
            <w:tcW w:w="349" w:type="dxa"/>
          </w:tcPr>
          <w:p w14:paraId="57AAF5E1" w14:textId="77777777" w:rsidR="0084489F" w:rsidRDefault="00110FE6">
            <w:r>
              <w:t>3</w:t>
            </w:r>
          </w:p>
        </w:tc>
        <w:tc>
          <w:tcPr>
            <w:tcW w:w="8670" w:type="dxa"/>
          </w:tcPr>
          <w:p w14:paraId="54A79413" w14:textId="77777777" w:rsidR="0084489F" w:rsidRDefault="00110FE6">
            <w:r w:rsidRPr="246FBB6F">
              <w:rPr>
                <w:rStyle w:val="VerbatimChar"/>
                <w:lang w:val="fr-FR"/>
              </w:rPr>
              <w:t>P175_commence_avant_ou_au_moment_du_début_de (commence_après_ou_au_moment_du_début_de)</w:t>
            </w:r>
          </w:p>
        </w:tc>
        <w:tc>
          <w:tcPr>
            <w:tcW w:w="1761" w:type="dxa"/>
          </w:tcPr>
          <w:p w14:paraId="3BE886DA" w14:textId="77777777" w:rsidR="0084489F" w:rsidRDefault="00110FE6">
            <w:r w:rsidRPr="246FBB6F">
              <w:rPr>
                <w:lang w:val="fr-FR"/>
              </w:rPr>
              <w:t>A</w:t>
            </w:r>
            <w:r w:rsidRPr="246FBB6F">
              <w:rPr>
                <w:vertAlign w:val="superscript"/>
                <w:lang w:val="fr-FR"/>
              </w:rPr>
              <w:t>début</w:t>
            </w:r>
            <w:r w:rsidRPr="246FBB6F">
              <w:rPr>
                <w:lang w:val="fr-FR"/>
              </w:rPr>
              <w:t xml:space="preserve"> ≤ B</w:t>
            </w:r>
            <w:r w:rsidRPr="246FBB6F">
              <w:rPr>
                <w:vertAlign w:val="superscript"/>
                <w:lang w:val="fr-FR"/>
              </w:rPr>
              <w:t>début</w:t>
            </w:r>
          </w:p>
        </w:tc>
      </w:tr>
      <w:tr w:rsidR="0084489F" w14:paraId="4BCB9BCA" w14:textId="77777777" w:rsidTr="00CC39FB">
        <w:tc>
          <w:tcPr>
            <w:tcW w:w="349" w:type="dxa"/>
          </w:tcPr>
          <w:p w14:paraId="69E8FC8B" w14:textId="77777777" w:rsidR="0084489F" w:rsidRDefault="00110FE6">
            <w:r>
              <w:t>4</w:t>
            </w:r>
          </w:p>
        </w:tc>
        <w:tc>
          <w:tcPr>
            <w:tcW w:w="8670" w:type="dxa"/>
          </w:tcPr>
          <w:p w14:paraId="2A2D58E8" w14:textId="77777777" w:rsidR="0084489F" w:rsidRDefault="00110FE6">
            <w:r w:rsidRPr="246FBB6F">
              <w:rPr>
                <w:rStyle w:val="VerbatimChar"/>
                <w:lang w:val="fr-FR"/>
              </w:rPr>
              <w:t>P176_commence_avant_le_début_de (commence_après_le_début_de)</w:t>
            </w:r>
          </w:p>
        </w:tc>
        <w:tc>
          <w:tcPr>
            <w:tcW w:w="1761" w:type="dxa"/>
          </w:tcPr>
          <w:p w14:paraId="28B89227" w14:textId="77777777" w:rsidR="0084489F" w:rsidRDefault="00110FE6">
            <w:r w:rsidRPr="246FBB6F">
              <w:rPr>
                <w:lang w:val="fr-FR"/>
              </w:rPr>
              <w:t>A</w:t>
            </w:r>
            <w:r w:rsidRPr="246FBB6F">
              <w:rPr>
                <w:vertAlign w:val="superscript"/>
                <w:lang w:val="fr-FR"/>
              </w:rPr>
              <w:t>début</w:t>
            </w:r>
            <w:r w:rsidRPr="246FBB6F">
              <w:rPr>
                <w:lang w:val="fr-FR"/>
              </w:rPr>
              <w:t xml:space="preserve"> &lt; B</w:t>
            </w:r>
            <w:r w:rsidRPr="246FBB6F">
              <w:rPr>
                <w:vertAlign w:val="superscript"/>
                <w:lang w:val="fr-FR"/>
              </w:rPr>
              <w:t>début</w:t>
            </w:r>
          </w:p>
        </w:tc>
      </w:tr>
      <w:tr w:rsidR="0084489F" w14:paraId="0963D9AB" w14:textId="77777777" w:rsidTr="00CC39FB">
        <w:tc>
          <w:tcPr>
            <w:tcW w:w="349" w:type="dxa"/>
          </w:tcPr>
          <w:p w14:paraId="5D246202" w14:textId="77777777" w:rsidR="0084489F" w:rsidRDefault="00110FE6">
            <w:r>
              <w:t>5</w:t>
            </w:r>
          </w:p>
        </w:tc>
        <w:tc>
          <w:tcPr>
            <w:tcW w:w="8670" w:type="dxa"/>
          </w:tcPr>
          <w:p w14:paraId="57D0C775" w14:textId="77777777" w:rsidR="0084489F" w:rsidRDefault="00110FE6">
            <w:r w:rsidRPr="246FBB6F">
              <w:rPr>
                <w:rStyle w:val="VerbatimChar"/>
                <w:lang w:val="fr-FR"/>
              </w:rPr>
              <w:t>P182_se_termine_avant_ou_au_moment_du_début_de (commence_après_ou_au_moment_de_la_fin_de)</w:t>
            </w:r>
          </w:p>
        </w:tc>
        <w:tc>
          <w:tcPr>
            <w:tcW w:w="1761" w:type="dxa"/>
          </w:tcPr>
          <w:p w14:paraId="7F80C072" w14:textId="77777777" w:rsidR="0084489F" w:rsidRDefault="00110FE6">
            <w:r w:rsidRPr="246FBB6F">
              <w:rPr>
                <w:lang w:val="fr-FR"/>
              </w:rPr>
              <w:t>A</w:t>
            </w:r>
            <w:r w:rsidRPr="246FBB6F">
              <w:rPr>
                <w:vertAlign w:val="superscript"/>
                <w:lang w:val="fr-FR"/>
              </w:rPr>
              <w:t>fin</w:t>
            </w:r>
            <w:r w:rsidRPr="246FBB6F">
              <w:rPr>
                <w:lang w:val="fr-FR"/>
              </w:rPr>
              <w:t xml:space="preserve"> ≤ B</w:t>
            </w:r>
            <w:r w:rsidRPr="246FBB6F">
              <w:rPr>
                <w:vertAlign w:val="superscript"/>
                <w:lang w:val="fr-FR"/>
              </w:rPr>
              <w:t>début</w:t>
            </w:r>
          </w:p>
        </w:tc>
      </w:tr>
      <w:tr w:rsidR="0084489F" w14:paraId="31C204D2" w14:textId="77777777" w:rsidTr="00CC39FB">
        <w:tc>
          <w:tcPr>
            <w:tcW w:w="349" w:type="dxa"/>
          </w:tcPr>
          <w:p w14:paraId="56A21929" w14:textId="77777777" w:rsidR="0084489F" w:rsidRDefault="00110FE6">
            <w:r>
              <w:t>6</w:t>
            </w:r>
          </w:p>
        </w:tc>
        <w:tc>
          <w:tcPr>
            <w:tcW w:w="8670" w:type="dxa"/>
          </w:tcPr>
          <w:p w14:paraId="23AC21E6" w14:textId="77777777" w:rsidR="0084489F" w:rsidRDefault="00110FE6">
            <w:r w:rsidRPr="246FBB6F">
              <w:rPr>
                <w:rStyle w:val="VerbatimChar"/>
                <w:lang w:val="fr-FR"/>
              </w:rPr>
              <w:t>P183_se_termine_avant_le_début_de (commence_après_la_fin_de)</w:t>
            </w:r>
          </w:p>
        </w:tc>
        <w:tc>
          <w:tcPr>
            <w:tcW w:w="1761" w:type="dxa"/>
          </w:tcPr>
          <w:p w14:paraId="1D9D2C87" w14:textId="77777777" w:rsidR="0084489F" w:rsidRDefault="00110FE6">
            <w:r w:rsidRPr="246FBB6F">
              <w:rPr>
                <w:lang w:val="fr-FR"/>
              </w:rPr>
              <w:t>A</w:t>
            </w:r>
            <w:r w:rsidRPr="246FBB6F">
              <w:rPr>
                <w:vertAlign w:val="superscript"/>
                <w:lang w:val="fr-FR"/>
              </w:rPr>
              <w:t>fin</w:t>
            </w:r>
            <w:r w:rsidRPr="246FBB6F">
              <w:rPr>
                <w:lang w:val="fr-FR"/>
              </w:rPr>
              <w:t xml:space="preserve"> &lt; B</w:t>
            </w:r>
            <w:r w:rsidRPr="246FBB6F">
              <w:rPr>
                <w:vertAlign w:val="superscript"/>
                <w:lang w:val="fr-FR"/>
              </w:rPr>
              <w:t>début</w:t>
            </w:r>
          </w:p>
        </w:tc>
      </w:tr>
      <w:tr w:rsidR="0084489F" w14:paraId="66A792CC" w14:textId="77777777" w:rsidTr="00CC39FB">
        <w:tc>
          <w:tcPr>
            <w:tcW w:w="349" w:type="dxa"/>
          </w:tcPr>
          <w:p w14:paraId="7B3FB497" w14:textId="77777777" w:rsidR="0084489F" w:rsidRDefault="00110FE6">
            <w:r>
              <w:t>7</w:t>
            </w:r>
          </w:p>
        </w:tc>
        <w:tc>
          <w:tcPr>
            <w:tcW w:w="8670" w:type="dxa"/>
          </w:tcPr>
          <w:p w14:paraId="56000FEC" w14:textId="77777777" w:rsidR="0084489F" w:rsidRDefault="00110FE6">
            <w:r w:rsidRPr="246FBB6F">
              <w:rPr>
                <w:rStyle w:val="VerbatimChar"/>
                <w:lang w:val="fr-FR"/>
              </w:rPr>
              <w:t>P184_se_termine_avant_ou_au_moment_de_la_fin_de (se_termine_au_moment_ou_après_la_fin_de)</w:t>
            </w:r>
          </w:p>
        </w:tc>
        <w:tc>
          <w:tcPr>
            <w:tcW w:w="1761" w:type="dxa"/>
          </w:tcPr>
          <w:p w14:paraId="5B6FAF5E" w14:textId="77777777" w:rsidR="0084489F" w:rsidRDefault="00110FE6">
            <w:r w:rsidRPr="246FBB6F">
              <w:rPr>
                <w:lang w:val="fr-FR"/>
              </w:rPr>
              <w:t>A</w:t>
            </w:r>
            <w:r w:rsidRPr="246FBB6F">
              <w:rPr>
                <w:vertAlign w:val="superscript"/>
                <w:lang w:val="fr-FR"/>
              </w:rPr>
              <w:t>fin</w:t>
            </w:r>
            <w:r w:rsidRPr="246FBB6F">
              <w:rPr>
                <w:lang w:val="fr-FR"/>
              </w:rPr>
              <w:t xml:space="preserve"> ≤ B</w:t>
            </w:r>
            <w:r w:rsidRPr="246FBB6F">
              <w:rPr>
                <w:vertAlign w:val="superscript"/>
                <w:lang w:val="fr-FR"/>
              </w:rPr>
              <w:t>fin</w:t>
            </w:r>
          </w:p>
        </w:tc>
      </w:tr>
      <w:tr w:rsidR="0084489F" w14:paraId="617B8D1B" w14:textId="77777777" w:rsidTr="00CC39FB">
        <w:tc>
          <w:tcPr>
            <w:tcW w:w="349" w:type="dxa"/>
          </w:tcPr>
          <w:p w14:paraId="45B77A4B" w14:textId="77777777" w:rsidR="0084489F" w:rsidRDefault="00110FE6">
            <w:r>
              <w:lastRenderedPageBreak/>
              <w:t>8</w:t>
            </w:r>
          </w:p>
        </w:tc>
        <w:tc>
          <w:tcPr>
            <w:tcW w:w="8670" w:type="dxa"/>
          </w:tcPr>
          <w:p w14:paraId="2ADB7573" w14:textId="77777777" w:rsidR="0084489F" w:rsidRDefault="00110FE6">
            <w:r w:rsidRPr="246FBB6F">
              <w:rPr>
                <w:rStyle w:val="VerbatimChar"/>
                <w:lang w:val="fr-FR"/>
              </w:rPr>
              <w:t>P185_se_termine_avant_la_fin_de (se_termine_après_la_fin_de)</w:t>
            </w:r>
          </w:p>
        </w:tc>
        <w:tc>
          <w:tcPr>
            <w:tcW w:w="1761" w:type="dxa"/>
          </w:tcPr>
          <w:p w14:paraId="40358D53" w14:textId="77777777" w:rsidR="0084489F" w:rsidRDefault="00110FE6">
            <w:r w:rsidRPr="246FBB6F">
              <w:rPr>
                <w:lang w:val="fr-FR"/>
              </w:rPr>
              <w:t>A</w:t>
            </w:r>
            <w:r w:rsidRPr="246FBB6F">
              <w:rPr>
                <w:vertAlign w:val="superscript"/>
                <w:lang w:val="fr-FR"/>
              </w:rPr>
              <w:t>fin</w:t>
            </w:r>
            <w:r w:rsidRPr="246FBB6F">
              <w:rPr>
                <w:lang w:val="fr-FR"/>
              </w:rPr>
              <w:t xml:space="preserve"> &lt; B</w:t>
            </w:r>
            <w:r w:rsidRPr="246FBB6F">
              <w:rPr>
                <w:vertAlign w:val="superscript"/>
                <w:lang w:val="fr-FR"/>
              </w:rPr>
              <w:t>fin</w:t>
            </w:r>
          </w:p>
        </w:tc>
      </w:tr>
    </w:tbl>
    <w:p w14:paraId="5BE12A7C" w14:textId="77FA344D" w:rsidR="0084489F" w:rsidRDefault="00110FE6">
      <w:pPr>
        <w:pStyle w:val="Heading1"/>
      </w:pPr>
      <w:bookmarkStart w:id="95" w:name="_Toc176864430"/>
      <w:bookmarkStart w:id="96" w:name="hierarchies-de-classes-et-de-proprietes"/>
      <w:bookmarkEnd w:id="77"/>
      <w:bookmarkEnd w:id="87"/>
      <w:bookmarkEnd w:id="91"/>
      <w:bookmarkEnd w:id="94"/>
      <w:r>
        <w:t>Hiérarchies de classes et de propriétés</w:t>
      </w:r>
      <w:bookmarkEnd w:id="95"/>
    </w:p>
    <w:p w14:paraId="6827C38A" w14:textId="77777777" w:rsidR="0084489F" w:rsidRDefault="00110FE6">
      <w:pPr>
        <w:pStyle w:val="FirstParagraph"/>
      </w:pPr>
      <w:r w:rsidRPr="246FBB6F">
        <w:rPr>
          <w:lang w:val="fr-FR"/>
        </w:rPr>
        <w:t xml:space="preserve">Bien qu’elles n’étayent pas de définitions exhaustives, les présentations succinctes et mono-hiérarchiques des classes et des propriétés contribuent à la navigation dans le CIDOC CRM et à la compréhension de celui-ci. Puisque le CIDOC CRM est poly-hiérarchique, la présentation mono-hiérarchique formelle découle d’une expansion descendante de toutes les relations </w:t>
      </w:r>
      <w:r w:rsidRPr="246FBB6F">
        <w:rPr>
          <w:rStyle w:val="VerbatimChar"/>
          <w:lang w:val="fr-FR"/>
        </w:rPr>
        <w:t>estUn</w:t>
      </w:r>
      <w:r w:rsidRPr="246FBB6F">
        <w:rPr>
          <w:lang w:val="fr-FR"/>
        </w:rPr>
        <w:t xml:space="preserve"> indépendamment de la présence d’un concept ailleurs dans ladite hiérarchie.</w:t>
      </w:r>
    </w:p>
    <w:p w14:paraId="588585EF" w14:textId="77777777" w:rsidR="0084489F" w:rsidRDefault="00110FE6">
      <w:pPr>
        <w:pStyle w:val="BodyText"/>
      </w:pPr>
      <w:r>
        <w:t>La hiérarchie de classes présentée ci-bas reprend la forme suivante :</w:t>
      </w:r>
    </w:p>
    <w:p w14:paraId="157004E2" w14:textId="77777777" w:rsidR="0084489F" w:rsidRDefault="00110FE6" w:rsidP="00806324">
      <w:pPr>
        <w:numPr>
          <w:ilvl w:val="0"/>
          <w:numId w:val="47"/>
        </w:numPr>
      </w:pPr>
      <w:r>
        <w:t>Chaque ligne commence avec un identifiant de classe unique composé d’un nombre précédé de la lettre « E » (qui signalait autrefois une « entité », bien que le terme « classe » soit maintenant préféré).</w:t>
      </w:r>
    </w:p>
    <w:p w14:paraId="05780A87" w14:textId="77777777" w:rsidR="0084489F" w:rsidRDefault="00110FE6" w:rsidP="00806324">
      <w:pPr>
        <w:numPr>
          <w:ilvl w:val="0"/>
          <w:numId w:val="47"/>
        </w:numPr>
      </w:pPr>
      <w:r w:rsidRPr="246FBB6F">
        <w:rPr>
          <w:lang w:val="fr-FR"/>
        </w:rPr>
        <w:t xml:space="preserve">Une série de traits d’union (« - ») suit cet identifiant de classe unique et indique la position de la classe dans la hiérarchie </w:t>
      </w:r>
      <w:r w:rsidRPr="246FBB6F">
        <w:rPr>
          <w:rStyle w:val="VerbatimChar"/>
          <w:lang w:val="fr-FR"/>
        </w:rPr>
        <w:t>estUn</w:t>
      </w:r>
      <w:r w:rsidRPr="246FBB6F">
        <w:rPr>
          <w:lang w:val="fr-FR"/>
        </w:rPr>
        <w:t>.</w:t>
      </w:r>
    </w:p>
    <w:p w14:paraId="693887E6" w14:textId="77777777" w:rsidR="0084489F" w:rsidRDefault="00110FE6" w:rsidP="00806324">
      <w:pPr>
        <w:numPr>
          <w:ilvl w:val="0"/>
          <w:numId w:val="47"/>
        </w:numPr>
      </w:pPr>
      <w:r>
        <w:t>Le nom de la classe se trouve à droite des traits d’union.</w:t>
      </w:r>
    </w:p>
    <w:p w14:paraId="38C27EDD" w14:textId="77777777" w:rsidR="0084489F" w:rsidRDefault="00110FE6" w:rsidP="00806324">
      <w:pPr>
        <w:numPr>
          <w:ilvl w:val="0"/>
          <w:numId w:val="47"/>
        </w:numPr>
      </w:pPr>
      <w:r>
        <w:t>L’index est ordonné selon les niveaux hiérarchiques avec une approche de « parcours en profondeur » depuis les sous-hiérarchies les plus petites vers les plus larges.</w:t>
      </w:r>
    </w:p>
    <w:p w14:paraId="1889A4E0" w14:textId="77777777" w:rsidR="0084489F" w:rsidRDefault="00110FE6" w:rsidP="00806324">
      <w:pPr>
        <w:numPr>
          <w:ilvl w:val="0"/>
          <w:numId w:val="47"/>
        </w:numPr>
      </w:pPr>
      <w:r>
        <w:t>L’apparition de classes dans de multiples positions dans la hiérarchie des classes en raison d’héritages multiples est signalée par l’usage des italiques.</w:t>
      </w:r>
    </w:p>
    <w:p w14:paraId="7386EEE0" w14:textId="77777777" w:rsidR="0084489F" w:rsidRDefault="00110FE6">
      <w:pPr>
        <w:pStyle w:val="FirstParagraph"/>
      </w:pPr>
      <w:r>
        <w:t>La hiérarchie des propriétés présentée ci-bas reprend la forme suivante :</w:t>
      </w:r>
    </w:p>
    <w:p w14:paraId="1A870ED9" w14:textId="77777777" w:rsidR="0084489F" w:rsidRDefault="00110FE6" w:rsidP="00806324">
      <w:pPr>
        <w:numPr>
          <w:ilvl w:val="0"/>
          <w:numId w:val="48"/>
        </w:numPr>
      </w:pPr>
      <w:r>
        <w:t>Chaque ligne commence avec un identifiant de propriété unique composé d’un nombre précédé de la lettre « P » (pour « propriété »).</w:t>
      </w:r>
    </w:p>
    <w:p w14:paraId="4A515DE4" w14:textId="77777777" w:rsidR="0084489F" w:rsidRDefault="00110FE6" w:rsidP="00806324">
      <w:pPr>
        <w:numPr>
          <w:ilvl w:val="0"/>
          <w:numId w:val="48"/>
        </w:numPr>
      </w:pPr>
      <w:r w:rsidRPr="246FBB6F">
        <w:rPr>
          <w:lang w:val="fr-FR"/>
        </w:rPr>
        <w:t xml:space="preserve">Une série de traits d’union (« - ») suit cet identifiant de propriété unique et indique la position de la propriété dans la hiérarchie </w:t>
      </w:r>
      <w:r w:rsidRPr="246FBB6F">
        <w:rPr>
          <w:rStyle w:val="VerbatimChar"/>
          <w:lang w:val="fr-FR"/>
        </w:rPr>
        <w:t>estUn</w:t>
      </w:r>
      <w:r w:rsidRPr="246FBB6F">
        <w:rPr>
          <w:lang w:val="fr-FR"/>
        </w:rPr>
        <w:t>.</w:t>
      </w:r>
    </w:p>
    <w:p w14:paraId="2E8BE379" w14:textId="77777777" w:rsidR="0084489F" w:rsidRDefault="00110FE6" w:rsidP="00806324">
      <w:pPr>
        <w:numPr>
          <w:ilvl w:val="0"/>
          <w:numId w:val="48"/>
        </w:numPr>
      </w:pPr>
      <w:r>
        <w:t>Le nom de la propriété se trouve à droite des traits d’union, suivi par le nom de la propriété inverse entre parenthèses (aux fins de lecture depuis la portée vers le domaine).</w:t>
      </w:r>
    </w:p>
    <w:p w14:paraId="47A26529" w14:textId="77777777" w:rsidR="0084489F" w:rsidRDefault="00110FE6" w:rsidP="00806324">
      <w:pPr>
        <w:numPr>
          <w:ilvl w:val="0"/>
          <w:numId w:val="48"/>
        </w:numPr>
      </w:pPr>
      <w:r>
        <w:t>L’index est ordonné selon les niveaux hiérarchiques avec une approche de « parcours en profondeur » depuis les sous-hiérarchies les plus petites vers les plus larges, puis par numéro de propriété dans le cas de propriétés-sœurs égales.</w:t>
      </w:r>
    </w:p>
    <w:p w14:paraId="3C0FA552" w14:textId="77777777" w:rsidR="0084489F" w:rsidRDefault="00110FE6" w:rsidP="00806324">
      <w:pPr>
        <w:numPr>
          <w:ilvl w:val="0"/>
          <w:numId w:val="48"/>
        </w:numPr>
      </w:pPr>
      <w:r>
        <w:t>L’apparition de propriétés dans de multiples positions dans la hiérarchie des propriétés en raison d’héritages multiples est signalée par l’usage des italiques.</w:t>
      </w:r>
    </w:p>
    <w:p w14:paraId="3F4602F2" w14:textId="77777777" w:rsidR="0084489F" w:rsidRDefault="00110FE6">
      <w:pPr>
        <w:pStyle w:val="BlockText"/>
      </w:pPr>
      <w:r>
        <w:rPr>
          <w:b/>
          <w:bCs/>
          <w:i/>
          <w:iCs/>
        </w:rPr>
        <w:t>Note de traduction</w:t>
      </w:r>
    </w:p>
    <w:p w14:paraId="7BEBD4AD" w14:textId="77777777" w:rsidR="0084489F" w:rsidRDefault="00110FE6">
      <w:pPr>
        <w:pStyle w:val="BlockText"/>
      </w:pPr>
      <w:r>
        <w:rPr>
          <w:b/>
          <w:bCs/>
          <w:i/>
          <w:iCs/>
        </w:rPr>
        <w:t>Références</w:t>
      </w:r>
    </w:p>
    <w:p w14:paraId="214AFE17" w14:textId="77777777" w:rsidR="0084489F" w:rsidRDefault="0084489F">
      <w:pPr>
        <w:pStyle w:val="BlockText"/>
      </w:pPr>
    </w:p>
    <w:p w14:paraId="55027AF7" w14:textId="77777777" w:rsidR="0084489F" w:rsidRDefault="00110FE6">
      <w:pPr>
        <w:pStyle w:val="Heading2"/>
      </w:pPr>
      <w:bookmarkStart w:id="97" w:name="_Toc176864431"/>
      <w:bookmarkStart w:id="98" w:name="X41c1893a217f7226fe8194f97a447e14655309b"/>
      <w:r>
        <w:lastRenderedPageBreak/>
        <w:t>Liste hiérarchisée des classes du CIDOC CRM</w:t>
      </w:r>
      <w:bookmarkEnd w:id="97"/>
    </w:p>
    <w:tbl>
      <w:tblPr>
        <w:tblStyle w:val="Table"/>
        <w:tblW w:w="7997" w:type="dxa"/>
        <w:tblInd w:w="0" w:type="dxa"/>
        <w:tblLook w:val="0000" w:firstRow="0" w:lastRow="0" w:firstColumn="0" w:lastColumn="0" w:noHBand="0" w:noVBand="0"/>
      </w:tblPr>
      <w:tblGrid>
        <w:gridCol w:w="737"/>
        <w:gridCol w:w="346"/>
        <w:gridCol w:w="296"/>
        <w:gridCol w:w="296"/>
        <w:gridCol w:w="296"/>
        <w:gridCol w:w="296"/>
        <w:gridCol w:w="554"/>
        <w:gridCol w:w="755"/>
        <w:gridCol w:w="755"/>
        <w:gridCol w:w="755"/>
        <w:gridCol w:w="2911"/>
      </w:tblGrid>
      <w:tr w:rsidR="0084489F" w14:paraId="7ED20606" w14:textId="77777777" w:rsidTr="00CC39FB">
        <w:tc>
          <w:tcPr>
            <w:tcW w:w="7997" w:type="dxa"/>
            <w:gridSpan w:val="11"/>
          </w:tcPr>
          <w:p w14:paraId="5B3441ED" w14:textId="77777777" w:rsidR="0084489F" w:rsidRDefault="00110FE6">
            <w:pPr>
              <w:pStyle w:val="Compact"/>
            </w:pPr>
            <w:r>
              <w:rPr>
                <w:b/>
                <w:bCs/>
              </w:rPr>
              <w:t>Identifiant unique de classe</w:t>
            </w:r>
          </w:p>
        </w:tc>
      </w:tr>
      <w:tr w:rsidR="0084489F" w14:paraId="5846C00A" w14:textId="77777777" w:rsidTr="00CC39FB">
        <w:tc>
          <w:tcPr>
            <w:tcW w:w="737" w:type="dxa"/>
          </w:tcPr>
          <w:p w14:paraId="5A3E07B8" w14:textId="77777777" w:rsidR="0084489F" w:rsidRDefault="00110FE6">
            <w:pPr>
              <w:pStyle w:val="Compact"/>
            </w:pPr>
            <w:r>
              <w:t>E1</w:t>
            </w:r>
          </w:p>
        </w:tc>
        <w:tc>
          <w:tcPr>
            <w:tcW w:w="7260" w:type="dxa"/>
            <w:gridSpan w:val="10"/>
          </w:tcPr>
          <w:p w14:paraId="18BAFB48" w14:textId="77777777" w:rsidR="0084489F" w:rsidRDefault="00110FE6">
            <w:pPr>
              <w:pStyle w:val="Compact"/>
            </w:pPr>
            <w:r>
              <w:rPr>
                <w:rStyle w:val="VerbatimChar"/>
              </w:rPr>
              <w:t>E1_Entité_CRM</w:t>
            </w:r>
          </w:p>
        </w:tc>
      </w:tr>
      <w:tr w:rsidR="0084489F" w14:paraId="6B765186" w14:textId="77777777" w:rsidTr="00CC39FB">
        <w:tc>
          <w:tcPr>
            <w:tcW w:w="737" w:type="dxa"/>
          </w:tcPr>
          <w:p w14:paraId="2D421308" w14:textId="77777777" w:rsidR="0084489F" w:rsidRDefault="00110FE6">
            <w:pPr>
              <w:pStyle w:val="Compact"/>
            </w:pPr>
            <w:r>
              <w:t>E2</w:t>
            </w:r>
          </w:p>
        </w:tc>
        <w:tc>
          <w:tcPr>
            <w:tcW w:w="346" w:type="dxa"/>
          </w:tcPr>
          <w:p w14:paraId="5AE0D3C0" w14:textId="77777777" w:rsidR="0084489F" w:rsidRDefault="00110FE6">
            <w:pPr>
              <w:pStyle w:val="Compact"/>
            </w:pPr>
            <w:r>
              <w:t>-</w:t>
            </w:r>
          </w:p>
        </w:tc>
        <w:tc>
          <w:tcPr>
            <w:tcW w:w="6914" w:type="dxa"/>
            <w:gridSpan w:val="9"/>
          </w:tcPr>
          <w:p w14:paraId="7E284F47" w14:textId="77777777" w:rsidR="0084489F" w:rsidRDefault="00110FE6">
            <w:pPr>
              <w:pStyle w:val="Compact"/>
            </w:pPr>
            <w:r>
              <w:rPr>
                <w:rStyle w:val="VerbatimChar"/>
              </w:rPr>
              <w:t>E2_Entité_temporelle</w:t>
            </w:r>
          </w:p>
        </w:tc>
      </w:tr>
      <w:tr w:rsidR="0084489F" w14:paraId="0D84ADEE" w14:textId="77777777" w:rsidTr="00CC39FB">
        <w:trPr>
          <w:trHeight w:val="300"/>
        </w:trPr>
        <w:tc>
          <w:tcPr>
            <w:tcW w:w="737" w:type="dxa"/>
          </w:tcPr>
          <w:p w14:paraId="35226FE6" w14:textId="77777777" w:rsidR="0084489F" w:rsidRDefault="00110FE6">
            <w:pPr>
              <w:pStyle w:val="Compact"/>
            </w:pPr>
            <w:r>
              <w:t>E3</w:t>
            </w:r>
          </w:p>
        </w:tc>
        <w:tc>
          <w:tcPr>
            <w:tcW w:w="346" w:type="dxa"/>
          </w:tcPr>
          <w:p w14:paraId="052BABE4" w14:textId="77777777" w:rsidR="0084489F" w:rsidRDefault="00110FE6">
            <w:pPr>
              <w:pStyle w:val="Compact"/>
            </w:pPr>
            <w:r>
              <w:t>-</w:t>
            </w:r>
          </w:p>
        </w:tc>
        <w:tc>
          <w:tcPr>
            <w:tcW w:w="296" w:type="dxa"/>
          </w:tcPr>
          <w:p w14:paraId="776DFB6D" w14:textId="77777777" w:rsidR="0084489F" w:rsidRDefault="00110FE6">
            <w:pPr>
              <w:pStyle w:val="Compact"/>
            </w:pPr>
            <w:r>
              <w:t>-</w:t>
            </w:r>
          </w:p>
        </w:tc>
        <w:tc>
          <w:tcPr>
            <w:tcW w:w="6618" w:type="dxa"/>
            <w:gridSpan w:val="8"/>
          </w:tcPr>
          <w:p w14:paraId="51538E3D" w14:textId="77777777" w:rsidR="0084489F" w:rsidRDefault="00110FE6">
            <w:pPr>
              <w:pStyle w:val="Compact"/>
            </w:pPr>
            <w:r>
              <w:rPr>
                <w:rStyle w:val="VerbatimChar"/>
              </w:rPr>
              <w:t>E3_État_matériel</w:t>
            </w:r>
          </w:p>
        </w:tc>
      </w:tr>
      <w:tr w:rsidR="0084489F" w14:paraId="2FFF66A2" w14:textId="77777777" w:rsidTr="00CC39FB">
        <w:tc>
          <w:tcPr>
            <w:tcW w:w="737" w:type="dxa"/>
          </w:tcPr>
          <w:p w14:paraId="361128ED" w14:textId="77777777" w:rsidR="0084489F" w:rsidRDefault="00110FE6">
            <w:pPr>
              <w:pStyle w:val="Compact"/>
            </w:pPr>
            <w:r>
              <w:t>E4</w:t>
            </w:r>
          </w:p>
        </w:tc>
        <w:tc>
          <w:tcPr>
            <w:tcW w:w="346" w:type="dxa"/>
          </w:tcPr>
          <w:p w14:paraId="4B5BDF0B" w14:textId="77777777" w:rsidR="0084489F" w:rsidRDefault="00110FE6">
            <w:pPr>
              <w:pStyle w:val="Compact"/>
            </w:pPr>
            <w:r>
              <w:t>-</w:t>
            </w:r>
          </w:p>
        </w:tc>
        <w:tc>
          <w:tcPr>
            <w:tcW w:w="296" w:type="dxa"/>
          </w:tcPr>
          <w:p w14:paraId="1E8885C2" w14:textId="77777777" w:rsidR="0084489F" w:rsidRDefault="00110FE6">
            <w:pPr>
              <w:pStyle w:val="Compact"/>
            </w:pPr>
            <w:r>
              <w:t>-</w:t>
            </w:r>
          </w:p>
        </w:tc>
        <w:tc>
          <w:tcPr>
            <w:tcW w:w="6618" w:type="dxa"/>
            <w:gridSpan w:val="8"/>
          </w:tcPr>
          <w:p w14:paraId="7680385E" w14:textId="77777777" w:rsidR="0084489F" w:rsidRDefault="00110FE6">
            <w:pPr>
              <w:pStyle w:val="Compact"/>
            </w:pPr>
            <w:r>
              <w:rPr>
                <w:rStyle w:val="VerbatimChar"/>
              </w:rPr>
              <w:t>E4_Période</w:t>
            </w:r>
          </w:p>
        </w:tc>
      </w:tr>
      <w:tr w:rsidR="0084489F" w14:paraId="736F3F87" w14:textId="77777777" w:rsidTr="00CC39FB">
        <w:tc>
          <w:tcPr>
            <w:tcW w:w="737" w:type="dxa"/>
          </w:tcPr>
          <w:p w14:paraId="741131AF" w14:textId="77777777" w:rsidR="0084489F" w:rsidRDefault="00110FE6">
            <w:pPr>
              <w:pStyle w:val="Compact"/>
            </w:pPr>
            <w:r>
              <w:t>E5</w:t>
            </w:r>
          </w:p>
        </w:tc>
        <w:tc>
          <w:tcPr>
            <w:tcW w:w="346" w:type="dxa"/>
          </w:tcPr>
          <w:p w14:paraId="52AC08CC" w14:textId="77777777" w:rsidR="0084489F" w:rsidRDefault="00110FE6">
            <w:pPr>
              <w:pStyle w:val="Compact"/>
            </w:pPr>
            <w:r>
              <w:t>-</w:t>
            </w:r>
          </w:p>
        </w:tc>
        <w:tc>
          <w:tcPr>
            <w:tcW w:w="296" w:type="dxa"/>
          </w:tcPr>
          <w:p w14:paraId="2CDA6EA0" w14:textId="77777777" w:rsidR="0084489F" w:rsidRDefault="00110FE6">
            <w:pPr>
              <w:pStyle w:val="Compact"/>
            </w:pPr>
            <w:r>
              <w:t>-</w:t>
            </w:r>
          </w:p>
        </w:tc>
        <w:tc>
          <w:tcPr>
            <w:tcW w:w="296" w:type="dxa"/>
          </w:tcPr>
          <w:p w14:paraId="52D2B4E9" w14:textId="77777777" w:rsidR="0084489F" w:rsidRDefault="00110FE6">
            <w:pPr>
              <w:pStyle w:val="Compact"/>
            </w:pPr>
            <w:r>
              <w:t>-</w:t>
            </w:r>
          </w:p>
        </w:tc>
        <w:tc>
          <w:tcPr>
            <w:tcW w:w="6322" w:type="dxa"/>
            <w:gridSpan w:val="7"/>
          </w:tcPr>
          <w:p w14:paraId="78731EBD" w14:textId="77777777" w:rsidR="0084489F" w:rsidRDefault="00110FE6">
            <w:pPr>
              <w:pStyle w:val="Compact"/>
            </w:pPr>
            <w:r>
              <w:rPr>
                <w:rStyle w:val="VerbatimChar"/>
              </w:rPr>
              <w:t>E5_Évènement</w:t>
            </w:r>
          </w:p>
        </w:tc>
      </w:tr>
      <w:tr w:rsidR="0084489F" w14:paraId="58F56B99" w14:textId="77777777" w:rsidTr="00CC39FB">
        <w:tc>
          <w:tcPr>
            <w:tcW w:w="737" w:type="dxa"/>
          </w:tcPr>
          <w:p w14:paraId="0DE51C73" w14:textId="77777777" w:rsidR="0084489F" w:rsidRDefault="00110FE6">
            <w:pPr>
              <w:pStyle w:val="Compact"/>
            </w:pPr>
            <w:r>
              <w:t>E7</w:t>
            </w:r>
          </w:p>
        </w:tc>
        <w:tc>
          <w:tcPr>
            <w:tcW w:w="346" w:type="dxa"/>
          </w:tcPr>
          <w:p w14:paraId="29812BBD" w14:textId="77777777" w:rsidR="0084489F" w:rsidRDefault="00110FE6">
            <w:pPr>
              <w:pStyle w:val="Compact"/>
            </w:pPr>
            <w:r>
              <w:t>-</w:t>
            </w:r>
          </w:p>
        </w:tc>
        <w:tc>
          <w:tcPr>
            <w:tcW w:w="296" w:type="dxa"/>
          </w:tcPr>
          <w:p w14:paraId="5B77C1D5" w14:textId="77777777" w:rsidR="0084489F" w:rsidRDefault="00110FE6">
            <w:pPr>
              <w:pStyle w:val="Compact"/>
            </w:pPr>
            <w:r>
              <w:t>-</w:t>
            </w:r>
          </w:p>
        </w:tc>
        <w:tc>
          <w:tcPr>
            <w:tcW w:w="296" w:type="dxa"/>
          </w:tcPr>
          <w:p w14:paraId="1C53EFDB" w14:textId="77777777" w:rsidR="0084489F" w:rsidRDefault="00110FE6">
            <w:pPr>
              <w:pStyle w:val="Compact"/>
            </w:pPr>
            <w:r>
              <w:t>-</w:t>
            </w:r>
          </w:p>
        </w:tc>
        <w:tc>
          <w:tcPr>
            <w:tcW w:w="296" w:type="dxa"/>
          </w:tcPr>
          <w:p w14:paraId="5B25787A" w14:textId="77777777" w:rsidR="0084489F" w:rsidRDefault="00110FE6">
            <w:pPr>
              <w:pStyle w:val="Compact"/>
            </w:pPr>
            <w:r>
              <w:t>-</w:t>
            </w:r>
          </w:p>
        </w:tc>
        <w:tc>
          <w:tcPr>
            <w:tcW w:w="6026" w:type="dxa"/>
            <w:gridSpan w:val="6"/>
          </w:tcPr>
          <w:p w14:paraId="478BCAF1" w14:textId="77777777" w:rsidR="0084489F" w:rsidRDefault="00110FE6">
            <w:pPr>
              <w:pStyle w:val="Compact"/>
            </w:pPr>
            <w:r>
              <w:rPr>
                <w:rStyle w:val="VerbatimChar"/>
              </w:rPr>
              <w:t>E7_Activité</w:t>
            </w:r>
          </w:p>
        </w:tc>
      </w:tr>
      <w:tr w:rsidR="0084489F" w14:paraId="356E4967" w14:textId="77777777" w:rsidTr="00CC39FB">
        <w:tc>
          <w:tcPr>
            <w:tcW w:w="737" w:type="dxa"/>
          </w:tcPr>
          <w:p w14:paraId="5A2DA393" w14:textId="77777777" w:rsidR="0084489F" w:rsidRDefault="00110FE6">
            <w:pPr>
              <w:pStyle w:val="Compact"/>
            </w:pPr>
            <w:r>
              <w:t>E8</w:t>
            </w:r>
          </w:p>
        </w:tc>
        <w:tc>
          <w:tcPr>
            <w:tcW w:w="346" w:type="dxa"/>
          </w:tcPr>
          <w:p w14:paraId="23E913D3" w14:textId="77777777" w:rsidR="0084489F" w:rsidRDefault="00110FE6">
            <w:pPr>
              <w:pStyle w:val="Compact"/>
            </w:pPr>
            <w:r>
              <w:t>-</w:t>
            </w:r>
          </w:p>
        </w:tc>
        <w:tc>
          <w:tcPr>
            <w:tcW w:w="296" w:type="dxa"/>
          </w:tcPr>
          <w:p w14:paraId="3FAA3BD3" w14:textId="77777777" w:rsidR="0084489F" w:rsidRDefault="00110FE6">
            <w:pPr>
              <w:pStyle w:val="Compact"/>
            </w:pPr>
            <w:r>
              <w:t>-</w:t>
            </w:r>
          </w:p>
        </w:tc>
        <w:tc>
          <w:tcPr>
            <w:tcW w:w="296" w:type="dxa"/>
          </w:tcPr>
          <w:p w14:paraId="00C5F402" w14:textId="77777777" w:rsidR="0084489F" w:rsidRDefault="00110FE6">
            <w:pPr>
              <w:pStyle w:val="Compact"/>
            </w:pPr>
            <w:r>
              <w:t>-</w:t>
            </w:r>
          </w:p>
        </w:tc>
        <w:tc>
          <w:tcPr>
            <w:tcW w:w="296" w:type="dxa"/>
          </w:tcPr>
          <w:p w14:paraId="452EA8D9" w14:textId="77777777" w:rsidR="0084489F" w:rsidRDefault="00110FE6">
            <w:pPr>
              <w:pStyle w:val="Compact"/>
            </w:pPr>
            <w:r>
              <w:t>-</w:t>
            </w:r>
          </w:p>
        </w:tc>
        <w:tc>
          <w:tcPr>
            <w:tcW w:w="296" w:type="dxa"/>
          </w:tcPr>
          <w:p w14:paraId="2A10688C" w14:textId="77777777" w:rsidR="0084489F" w:rsidRDefault="00110FE6">
            <w:pPr>
              <w:pStyle w:val="Compact"/>
            </w:pPr>
            <w:r>
              <w:t>-</w:t>
            </w:r>
          </w:p>
        </w:tc>
        <w:tc>
          <w:tcPr>
            <w:tcW w:w="5730" w:type="dxa"/>
            <w:gridSpan w:val="5"/>
          </w:tcPr>
          <w:p w14:paraId="52878E63" w14:textId="77777777" w:rsidR="0084489F" w:rsidRDefault="00110FE6">
            <w:pPr>
              <w:pStyle w:val="Compact"/>
            </w:pPr>
            <w:r>
              <w:rPr>
                <w:rStyle w:val="VerbatimChar"/>
              </w:rPr>
              <w:t>E8_Acquisition</w:t>
            </w:r>
          </w:p>
        </w:tc>
      </w:tr>
      <w:tr w:rsidR="0084489F" w14:paraId="2FF91115" w14:textId="77777777" w:rsidTr="00CC39FB">
        <w:tc>
          <w:tcPr>
            <w:tcW w:w="737" w:type="dxa"/>
          </w:tcPr>
          <w:p w14:paraId="6302BB4C" w14:textId="77777777" w:rsidR="0084489F" w:rsidRDefault="00110FE6">
            <w:pPr>
              <w:pStyle w:val="Compact"/>
            </w:pPr>
            <w:r>
              <w:t>E96</w:t>
            </w:r>
          </w:p>
        </w:tc>
        <w:tc>
          <w:tcPr>
            <w:tcW w:w="346" w:type="dxa"/>
          </w:tcPr>
          <w:p w14:paraId="7AD84C5D" w14:textId="77777777" w:rsidR="0084489F" w:rsidRDefault="00110FE6">
            <w:pPr>
              <w:pStyle w:val="Compact"/>
            </w:pPr>
            <w:r>
              <w:t>-</w:t>
            </w:r>
          </w:p>
        </w:tc>
        <w:tc>
          <w:tcPr>
            <w:tcW w:w="296" w:type="dxa"/>
          </w:tcPr>
          <w:p w14:paraId="56F6925B" w14:textId="77777777" w:rsidR="0084489F" w:rsidRDefault="00110FE6">
            <w:pPr>
              <w:pStyle w:val="Compact"/>
            </w:pPr>
            <w:r>
              <w:t>-</w:t>
            </w:r>
          </w:p>
        </w:tc>
        <w:tc>
          <w:tcPr>
            <w:tcW w:w="296" w:type="dxa"/>
          </w:tcPr>
          <w:p w14:paraId="4C598F97" w14:textId="77777777" w:rsidR="0084489F" w:rsidRDefault="00110FE6">
            <w:pPr>
              <w:pStyle w:val="Compact"/>
            </w:pPr>
            <w:r>
              <w:t>-</w:t>
            </w:r>
          </w:p>
        </w:tc>
        <w:tc>
          <w:tcPr>
            <w:tcW w:w="296" w:type="dxa"/>
          </w:tcPr>
          <w:p w14:paraId="22E6683A" w14:textId="77777777" w:rsidR="0084489F" w:rsidRDefault="00110FE6">
            <w:pPr>
              <w:pStyle w:val="Compact"/>
            </w:pPr>
            <w:r>
              <w:t>-</w:t>
            </w:r>
          </w:p>
        </w:tc>
        <w:tc>
          <w:tcPr>
            <w:tcW w:w="296" w:type="dxa"/>
          </w:tcPr>
          <w:p w14:paraId="7C3940C6" w14:textId="77777777" w:rsidR="0084489F" w:rsidRDefault="00110FE6">
            <w:pPr>
              <w:pStyle w:val="Compact"/>
            </w:pPr>
            <w:r>
              <w:t>-</w:t>
            </w:r>
          </w:p>
        </w:tc>
        <w:tc>
          <w:tcPr>
            <w:tcW w:w="554" w:type="dxa"/>
          </w:tcPr>
          <w:p w14:paraId="3B76E59D" w14:textId="77777777" w:rsidR="0084489F" w:rsidRDefault="00110FE6">
            <w:pPr>
              <w:pStyle w:val="Compact"/>
            </w:pPr>
            <w:r>
              <w:t>-</w:t>
            </w:r>
          </w:p>
        </w:tc>
        <w:tc>
          <w:tcPr>
            <w:tcW w:w="5176" w:type="dxa"/>
            <w:gridSpan w:val="4"/>
          </w:tcPr>
          <w:p w14:paraId="5B539146" w14:textId="77777777" w:rsidR="0084489F" w:rsidRDefault="00110FE6">
            <w:pPr>
              <w:pStyle w:val="Compact"/>
            </w:pPr>
            <w:r>
              <w:rPr>
                <w:rStyle w:val="VerbatimChar"/>
              </w:rPr>
              <w:t>E96_Achat</w:t>
            </w:r>
          </w:p>
        </w:tc>
      </w:tr>
      <w:tr w:rsidR="0084489F" w14:paraId="0A190629" w14:textId="77777777" w:rsidTr="00CC39FB">
        <w:tc>
          <w:tcPr>
            <w:tcW w:w="737" w:type="dxa"/>
          </w:tcPr>
          <w:p w14:paraId="011126A1" w14:textId="77777777" w:rsidR="0084489F" w:rsidRDefault="00110FE6">
            <w:pPr>
              <w:pStyle w:val="Compact"/>
            </w:pPr>
            <w:r>
              <w:t>E9</w:t>
            </w:r>
          </w:p>
        </w:tc>
        <w:tc>
          <w:tcPr>
            <w:tcW w:w="346" w:type="dxa"/>
          </w:tcPr>
          <w:p w14:paraId="0A03935B" w14:textId="77777777" w:rsidR="0084489F" w:rsidRDefault="00110FE6">
            <w:pPr>
              <w:pStyle w:val="Compact"/>
            </w:pPr>
            <w:r>
              <w:t>-</w:t>
            </w:r>
          </w:p>
        </w:tc>
        <w:tc>
          <w:tcPr>
            <w:tcW w:w="296" w:type="dxa"/>
          </w:tcPr>
          <w:p w14:paraId="4638CB9F" w14:textId="77777777" w:rsidR="0084489F" w:rsidRDefault="00110FE6">
            <w:pPr>
              <w:pStyle w:val="Compact"/>
            </w:pPr>
            <w:r>
              <w:t>-</w:t>
            </w:r>
          </w:p>
        </w:tc>
        <w:tc>
          <w:tcPr>
            <w:tcW w:w="296" w:type="dxa"/>
          </w:tcPr>
          <w:p w14:paraId="0BE875A2" w14:textId="77777777" w:rsidR="0084489F" w:rsidRDefault="00110FE6">
            <w:pPr>
              <w:pStyle w:val="Compact"/>
            </w:pPr>
            <w:r>
              <w:t>-</w:t>
            </w:r>
          </w:p>
        </w:tc>
        <w:tc>
          <w:tcPr>
            <w:tcW w:w="296" w:type="dxa"/>
          </w:tcPr>
          <w:p w14:paraId="6FF581FE" w14:textId="77777777" w:rsidR="0084489F" w:rsidRDefault="00110FE6">
            <w:pPr>
              <w:pStyle w:val="Compact"/>
            </w:pPr>
            <w:r>
              <w:t>-</w:t>
            </w:r>
          </w:p>
        </w:tc>
        <w:tc>
          <w:tcPr>
            <w:tcW w:w="296" w:type="dxa"/>
          </w:tcPr>
          <w:p w14:paraId="3888EBAE" w14:textId="77777777" w:rsidR="0084489F" w:rsidRDefault="00110FE6">
            <w:pPr>
              <w:pStyle w:val="Compact"/>
            </w:pPr>
            <w:r>
              <w:t>-</w:t>
            </w:r>
          </w:p>
        </w:tc>
        <w:tc>
          <w:tcPr>
            <w:tcW w:w="5730" w:type="dxa"/>
            <w:gridSpan w:val="5"/>
          </w:tcPr>
          <w:p w14:paraId="77C6362B" w14:textId="77777777" w:rsidR="0084489F" w:rsidRDefault="00110FE6">
            <w:pPr>
              <w:pStyle w:val="Compact"/>
            </w:pPr>
            <w:r>
              <w:rPr>
                <w:rStyle w:val="VerbatimChar"/>
              </w:rPr>
              <w:t>E9_Déplacement</w:t>
            </w:r>
          </w:p>
        </w:tc>
      </w:tr>
      <w:tr w:rsidR="0084489F" w14:paraId="5A9ED3F0" w14:textId="77777777" w:rsidTr="00CC39FB">
        <w:tc>
          <w:tcPr>
            <w:tcW w:w="737" w:type="dxa"/>
          </w:tcPr>
          <w:p w14:paraId="7D0E1427" w14:textId="77777777" w:rsidR="0084489F" w:rsidRDefault="00110FE6">
            <w:pPr>
              <w:pStyle w:val="Compact"/>
            </w:pPr>
            <w:r>
              <w:t>E10</w:t>
            </w:r>
          </w:p>
        </w:tc>
        <w:tc>
          <w:tcPr>
            <w:tcW w:w="346" w:type="dxa"/>
          </w:tcPr>
          <w:p w14:paraId="20282464" w14:textId="77777777" w:rsidR="0084489F" w:rsidRDefault="00110FE6">
            <w:pPr>
              <w:pStyle w:val="Compact"/>
            </w:pPr>
            <w:r>
              <w:t>-</w:t>
            </w:r>
          </w:p>
        </w:tc>
        <w:tc>
          <w:tcPr>
            <w:tcW w:w="296" w:type="dxa"/>
          </w:tcPr>
          <w:p w14:paraId="3F08CC7F" w14:textId="77777777" w:rsidR="0084489F" w:rsidRDefault="00110FE6">
            <w:pPr>
              <w:pStyle w:val="Compact"/>
            </w:pPr>
            <w:r>
              <w:t>-</w:t>
            </w:r>
          </w:p>
        </w:tc>
        <w:tc>
          <w:tcPr>
            <w:tcW w:w="296" w:type="dxa"/>
          </w:tcPr>
          <w:p w14:paraId="4F99F881" w14:textId="77777777" w:rsidR="0084489F" w:rsidRDefault="00110FE6">
            <w:pPr>
              <w:pStyle w:val="Compact"/>
            </w:pPr>
            <w:r>
              <w:t>-</w:t>
            </w:r>
          </w:p>
        </w:tc>
        <w:tc>
          <w:tcPr>
            <w:tcW w:w="296" w:type="dxa"/>
          </w:tcPr>
          <w:p w14:paraId="60DF5AEE" w14:textId="77777777" w:rsidR="0084489F" w:rsidRDefault="00110FE6">
            <w:pPr>
              <w:pStyle w:val="Compact"/>
            </w:pPr>
            <w:r>
              <w:t>-</w:t>
            </w:r>
          </w:p>
        </w:tc>
        <w:tc>
          <w:tcPr>
            <w:tcW w:w="296" w:type="dxa"/>
          </w:tcPr>
          <w:p w14:paraId="73B05624" w14:textId="77777777" w:rsidR="0084489F" w:rsidRDefault="00110FE6">
            <w:pPr>
              <w:pStyle w:val="Compact"/>
            </w:pPr>
            <w:r>
              <w:t>-</w:t>
            </w:r>
          </w:p>
        </w:tc>
        <w:tc>
          <w:tcPr>
            <w:tcW w:w="5730" w:type="dxa"/>
            <w:gridSpan w:val="5"/>
          </w:tcPr>
          <w:p w14:paraId="4EE5A2AE" w14:textId="77777777" w:rsidR="0084489F" w:rsidRDefault="00110FE6">
            <w:pPr>
              <w:pStyle w:val="Compact"/>
            </w:pPr>
            <w:r>
              <w:rPr>
                <w:rStyle w:val="VerbatimChar"/>
              </w:rPr>
              <w:t>E10_Transfert_de_la_garde</w:t>
            </w:r>
          </w:p>
        </w:tc>
      </w:tr>
      <w:tr w:rsidR="0084489F" w14:paraId="08C850D5" w14:textId="77777777" w:rsidTr="00CC39FB">
        <w:tc>
          <w:tcPr>
            <w:tcW w:w="737" w:type="dxa"/>
          </w:tcPr>
          <w:p w14:paraId="1A357927" w14:textId="77777777" w:rsidR="0084489F" w:rsidRDefault="00110FE6">
            <w:pPr>
              <w:pStyle w:val="Compact"/>
            </w:pPr>
            <w:r>
              <w:t>E11</w:t>
            </w:r>
          </w:p>
        </w:tc>
        <w:tc>
          <w:tcPr>
            <w:tcW w:w="346" w:type="dxa"/>
          </w:tcPr>
          <w:p w14:paraId="10759447" w14:textId="77777777" w:rsidR="0084489F" w:rsidRDefault="00110FE6">
            <w:pPr>
              <w:pStyle w:val="Compact"/>
            </w:pPr>
            <w:r>
              <w:t>-</w:t>
            </w:r>
          </w:p>
        </w:tc>
        <w:tc>
          <w:tcPr>
            <w:tcW w:w="296" w:type="dxa"/>
          </w:tcPr>
          <w:p w14:paraId="09C629BC" w14:textId="77777777" w:rsidR="0084489F" w:rsidRDefault="00110FE6">
            <w:pPr>
              <w:pStyle w:val="Compact"/>
            </w:pPr>
            <w:r>
              <w:t>-</w:t>
            </w:r>
          </w:p>
        </w:tc>
        <w:tc>
          <w:tcPr>
            <w:tcW w:w="296" w:type="dxa"/>
          </w:tcPr>
          <w:p w14:paraId="123BBEC8" w14:textId="77777777" w:rsidR="0084489F" w:rsidRDefault="00110FE6">
            <w:pPr>
              <w:pStyle w:val="Compact"/>
            </w:pPr>
            <w:r>
              <w:t>-</w:t>
            </w:r>
          </w:p>
        </w:tc>
        <w:tc>
          <w:tcPr>
            <w:tcW w:w="296" w:type="dxa"/>
          </w:tcPr>
          <w:p w14:paraId="1912BBF3" w14:textId="77777777" w:rsidR="0084489F" w:rsidRDefault="00110FE6">
            <w:pPr>
              <w:pStyle w:val="Compact"/>
            </w:pPr>
            <w:r>
              <w:t>-</w:t>
            </w:r>
          </w:p>
        </w:tc>
        <w:tc>
          <w:tcPr>
            <w:tcW w:w="296" w:type="dxa"/>
          </w:tcPr>
          <w:p w14:paraId="7EC12314" w14:textId="77777777" w:rsidR="0084489F" w:rsidRDefault="00110FE6">
            <w:pPr>
              <w:pStyle w:val="Compact"/>
            </w:pPr>
            <w:r>
              <w:t>-</w:t>
            </w:r>
          </w:p>
        </w:tc>
        <w:tc>
          <w:tcPr>
            <w:tcW w:w="5730" w:type="dxa"/>
            <w:gridSpan w:val="5"/>
          </w:tcPr>
          <w:p w14:paraId="526BB33F" w14:textId="77777777" w:rsidR="0084489F" w:rsidRDefault="00110FE6">
            <w:pPr>
              <w:pStyle w:val="Compact"/>
            </w:pPr>
            <w:r>
              <w:rPr>
                <w:rStyle w:val="VerbatimChar"/>
              </w:rPr>
              <w:t>E11_Modification</w:t>
            </w:r>
          </w:p>
        </w:tc>
      </w:tr>
      <w:tr w:rsidR="0084489F" w14:paraId="55D2C217" w14:textId="77777777" w:rsidTr="00CC39FB">
        <w:tc>
          <w:tcPr>
            <w:tcW w:w="737" w:type="dxa"/>
          </w:tcPr>
          <w:p w14:paraId="07D19FCC" w14:textId="77777777" w:rsidR="0084489F" w:rsidRDefault="00110FE6">
            <w:pPr>
              <w:pStyle w:val="Compact"/>
            </w:pPr>
            <w:r>
              <w:t>E12</w:t>
            </w:r>
          </w:p>
        </w:tc>
        <w:tc>
          <w:tcPr>
            <w:tcW w:w="346" w:type="dxa"/>
          </w:tcPr>
          <w:p w14:paraId="0FEC133A" w14:textId="77777777" w:rsidR="0084489F" w:rsidRDefault="00110FE6">
            <w:pPr>
              <w:pStyle w:val="Compact"/>
            </w:pPr>
            <w:r>
              <w:t>-</w:t>
            </w:r>
          </w:p>
        </w:tc>
        <w:tc>
          <w:tcPr>
            <w:tcW w:w="296" w:type="dxa"/>
          </w:tcPr>
          <w:p w14:paraId="6EAA61CC" w14:textId="77777777" w:rsidR="0084489F" w:rsidRDefault="00110FE6">
            <w:pPr>
              <w:pStyle w:val="Compact"/>
            </w:pPr>
            <w:r>
              <w:t>-</w:t>
            </w:r>
          </w:p>
        </w:tc>
        <w:tc>
          <w:tcPr>
            <w:tcW w:w="296" w:type="dxa"/>
          </w:tcPr>
          <w:p w14:paraId="1976C520" w14:textId="77777777" w:rsidR="0084489F" w:rsidRDefault="00110FE6">
            <w:pPr>
              <w:pStyle w:val="Compact"/>
            </w:pPr>
            <w:r>
              <w:t>-</w:t>
            </w:r>
          </w:p>
        </w:tc>
        <w:tc>
          <w:tcPr>
            <w:tcW w:w="296" w:type="dxa"/>
          </w:tcPr>
          <w:p w14:paraId="7C751365" w14:textId="77777777" w:rsidR="0084489F" w:rsidRDefault="00110FE6">
            <w:pPr>
              <w:pStyle w:val="Compact"/>
            </w:pPr>
            <w:r>
              <w:t>-</w:t>
            </w:r>
          </w:p>
        </w:tc>
        <w:tc>
          <w:tcPr>
            <w:tcW w:w="296" w:type="dxa"/>
          </w:tcPr>
          <w:p w14:paraId="3276016E" w14:textId="77777777" w:rsidR="0084489F" w:rsidRDefault="00110FE6">
            <w:pPr>
              <w:pStyle w:val="Compact"/>
            </w:pPr>
            <w:r>
              <w:t>-</w:t>
            </w:r>
          </w:p>
        </w:tc>
        <w:tc>
          <w:tcPr>
            <w:tcW w:w="554" w:type="dxa"/>
          </w:tcPr>
          <w:p w14:paraId="742196A0" w14:textId="77777777" w:rsidR="0084489F" w:rsidRDefault="00110FE6">
            <w:pPr>
              <w:pStyle w:val="Compact"/>
            </w:pPr>
            <w:r>
              <w:t>-</w:t>
            </w:r>
          </w:p>
        </w:tc>
        <w:tc>
          <w:tcPr>
            <w:tcW w:w="5176" w:type="dxa"/>
            <w:gridSpan w:val="4"/>
          </w:tcPr>
          <w:p w14:paraId="479C64C5" w14:textId="77777777" w:rsidR="0084489F" w:rsidRDefault="00110FE6">
            <w:pPr>
              <w:pStyle w:val="Compact"/>
            </w:pPr>
            <w:r>
              <w:rPr>
                <w:rStyle w:val="VerbatimChar"/>
              </w:rPr>
              <w:t>E12_Production</w:t>
            </w:r>
          </w:p>
        </w:tc>
      </w:tr>
      <w:tr w:rsidR="0084489F" w14:paraId="16DEDC0C" w14:textId="77777777" w:rsidTr="00CC39FB">
        <w:tc>
          <w:tcPr>
            <w:tcW w:w="737" w:type="dxa"/>
          </w:tcPr>
          <w:p w14:paraId="116CD51C" w14:textId="77777777" w:rsidR="0084489F" w:rsidRDefault="00110FE6">
            <w:pPr>
              <w:pStyle w:val="Compact"/>
            </w:pPr>
            <w:r>
              <w:t>E79</w:t>
            </w:r>
          </w:p>
        </w:tc>
        <w:tc>
          <w:tcPr>
            <w:tcW w:w="346" w:type="dxa"/>
          </w:tcPr>
          <w:p w14:paraId="1738441A" w14:textId="77777777" w:rsidR="0084489F" w:rsidRDefault="00110FE6">
            <w:pPr>
              <w:pStyle w:val="Compact"/>
            </w:pPr>
            <w:r>
              <w:t>-</w:t>
            </w:r>
          </w:p>
        </w:tc>
        <w:tc>
          <w:tcPr>
            <w:tcW w:w="296" w:type="dxa"/>
          </w:tcPr>
          <w:p w14:paraId="6499645F" w14:textId="77777777" w:rsidR="0084489F" w:rsidRDefault="00110FE6">
            <w:pPr>
              <w:pStyle w:val="Compact"/>
            </w:pPr>
            <w:r>
              <w:t>-</w:t>
            </w:r>
          </w:p>
        </w:tc>
        <w:tc>
          <w:tcPr>
            <w:tcW w:w="296" w:type="dxa"/>
          </w:tcPr>
          <w:p w14:paraId="6BAC82ED" w14:textId="77777777" w:rsidR="0084489F" w:rsidRDefault="00110FE6">
            <w:pPr>
              <w:pStyle w:val="Compact"/>
            </w:pPr>
            <w:r>
              <w:t>-</w:t>
            </w:r>
          </w:p>
        </w:tc>
        <w:tc>
          <w:tcPr>
            <w:tcW w:w="296" w:type="dxa"/>
          </w:tcPr>
          <w:p w14:paraId="5427A5F3" w14:textId="77777777" w:rsidR="0084489F" w:rsidRDefault="00110FE6">
            <w:pPr>
              <w:pStyle w:val="Compact"/>
            </w:pPr>
            <w:r>
              <w:t>-</w:t>
            </w:r>
          </w:p>
        </w:tc>
        <w:tc>
          <w:tcPr>
            <w:tcW w:w="296" w:type="dxa"/>
          </w:tcPr>
          <w:p w14:paraId="10162BD4" w14:textId="77777777" w:rsidR="0084489F" w:rsidRDefault="00110FE6">
            <w:pPr>
              <w:pStyle w:val="Compact"/>
            </w:pPr>
            <w:r>
              <w:t>-</w:t>
            </w:r>
          </w:p>
        </w:tc>
        <w:tc>
          <w:tcPr>
            <w:tcW w:w="554" w:type="dxa"/>
          </w:tcPr>
          <w:p w14:paraId="3D9C219B" w14:textId="77777777" w:rsidR="0084489F" w:rsidRDefault="00110FE6">
            <w:pPr>
              <w:pStyle w:val="Compact"/>
            </w:pPr>
            <w:r>
              <w:t>-</w:t>
            </w:r>
          </w:p>
        </w:tc>
        <w:tc>
          <w:tcPr>
            <w:tcW w:w="5176" w:type="dxa"/>
            <w:gridSpan w:val="4"/>
          </w:tcPr>
          <w:p w14:paraId="29C21CFD" w14:textId="77777777" w:rsidR="0084489F" w:rsidRDefault="00110FE6">
            <w:pPr>
              <w:pStyle w:val="Compact"/>
            </w:pPr>
            <w:r>
              <w:rPr>
                <w:rStyle w:val="VerbatimChar"/>
              </w:rPr>
              <w:t>E79_Ajout_d’élément</w:t>
            </w:r>
          </w:p>
        </w:tc>
      </w:tr>
      <w:tr w:rsidR="0084489F" w14:paraId="33EDD4B4" w14:textId="77777777" w:rsidTr="00CC39FB">
        <w:tc>
          <w:tcPr>
            <w:tcW w:w="737" w:type="dxa"/>
          </w:tcPr>
          <w:p w14:paraId="7EAC6C6E" w14:textId="77777777" w:rsidR="0084489F" w:rsidRDefault="00110FE6">
            <w:pPr>
              <w:pStyle w:val="Compact"/>
            </w:pPr>
            <w:r>
              <w:t>E80</w:t>
            </w:r>
          </w:p>
        </w:tc>
        <w:tc>
          <w:tcPr>
            <w:tcW w:w="346" w:type="dxa"/>
          </w:tcPr>
          <w:p w14:paraId="37C8C161" w14:textId="77777777" w:rsidR="0084489F" w:rsidRDefault="00110FE6">
            <w:pPr>
              <w:pStyle w:val="Compact"/>
            </w:pPr>
            <w:r>
              <w:t>-</w:t>
            </w:r>
          </w:p>
        </w:tc>
        <w:tc>
          <w:tcPr>
            <w:tcW w:w="296" w:type="dxa"/>
          </w:tcPr>
          <w:p w14:paraId="2BAF852D" w14:textId="77777777" w:rsidR="0084489F" w:rsidRDefault="00110FE6">
            <w:pPr>
              <w:pStyle w:val="Compact"/>
            </w:pPr>
            <w:r>
              <w:t>-</w:t>
            </w:r>
          </w:p>
        </w:tc>
        <w:tc>
          <w:tcPr>
            <w:tcW w:w="296" w:type="dxa"/>
          </w:tcPr>
          <w:p w14:paraId="0794C826" w14:textId="77777777" w:rsidR="0084489F" w:rsidRDefault="00110FE6">
            <w:pPr>
              <w:pStyle w:val="Compact"/>
            </w:pPr>
            <w:r>
              <w:t>-</w:t>
            </w:r>
          </w:p>
        </w:tc>
        <w:tc>
          <w:tcPr>
            <w:tcW w:w="296" w:type="dxa"/>
          </w:tcPr>
          <w:p w14:paraId="71CF0124" w14:textId="77777777" w:rsidR="0084489F" w:rsidRDefault="00110FE6">
            <w:pPr>
              <w:pStyle w:val="Compact"/>
            </w:pPr>
            <w:r>
              <w:t>-</w:t>
            </w:r>
          </w:p>
        </w:tc>
        <w:tc>
          <w:tcPr>
            <w:tcW w:w="296" w:type="dxa"/>
          </w:tcPr>
          <w:p w14:paraId="2D6BA9C8" w14:textId="77777777" w:rsidR="0084489F" w:rsidRDefault="00110FE6">
            <w:pPr>
              <w:pStyle w:val="Compact"/>
            </w:pPr>
            <w:r>
              <w:t>-</w:t>
            </w:r>
          </w:p>
        </w:tc>
        <w:tc>
          <w:tcPr>
            <w:tcW w:w="554" w:type="dxa"/>
          </w:tcPr>
          <w:p w14:paraId="165D201F" w14:textId="77777777" w:rsidR="0084489F" w:rsidRDefault="00110FE6">
            <w:pPr>
              <w:pStyle w:val="Compact"/>
            </w:pPr>
            <w:r>
              <w:t>-</w:t>
            </w:r>
          </w:p>
        </w:tc>
        <w:tc>
          <w:tcPr>
            <w:tcW w:w="5176" w:type="dxa"/>
            <w:gridSpan w:val="4"/>
          </w:tcPr>
          <w:p w14:paraId="0DA5FD29" w14:textId="77777777" w:rsidR="0084489F" w:rsidRDefault="00110FE6">
            <w:pPr>
              <w:pStyle w:val="Compact"/>
            </w:pPr>
            <w:r>
              <w:rPr>
                <w:rStyle w:val="VerbatimChar"/>
              </w:rPr>
              <w:t>E80_Retrait_d’élément</w:t>
            </w:r>
          </w:p>
        </w:tc>
      </w:tr>
      <w:tr w:rsidR="0084489F" w14:paraId="7A602102" w14:textId="77777777" w:rsidTr="00CC39FB">
        <w:tc>
          <w:tcPr>
            <w:tcW w:w="737" w:type="dxa"/>
          </w:tcPr>
          <w:p w14:paraId="4605C9D1" w14:textId="77777777" w:rsidR="0084489F" w:rsidRDefault="00110FE6">
            <w:pPr>
              <w:pStyle w:val="Compact"/>
            </w:pPr>
            <w:r>
              <w:t>E13</w:t>
            </w:r>
          </w:p>
        </w:tc>
        <w:tc>
          <w:tcPr>
            <w:tcW w:w="346" w:type="dxa"/>
          </w:tcPr>
          <w:p w14:paraId="671C3B41" w14:textId="77777777" w:rsidR="0084489F" w:rsidRDefault="00110FE6">
            <w:pPr>
              <w:pStyle w:val="Compact"/>
            </w:pPr>
            <w:r>
              <w:t>-</w:t>
            </w:r>
          </w:p>
        </w:tc>
        <w:tc>
          <w:tcPr>
            <w:tcW w:w="296" w:type="dxa"/>
          </w:tcPr>
          <w:p w14:paraId="411A0EC5" w14:textId="77777777" w:rsidR="0084489F" w:rsidRDefault="00110FE6">
            <w:pPr>
              <w:pStyle w:val="Compact"/>
            </w:pPr>
            <w:r>
              <w:t>-</w:t>
            </w:r>
          </w:p>
        </w:tc>
        <w:tc>
          <w:tcPr>
            <w:tcW w:w="296" w:type="dxa"/>
          </w:tcPr>
          <w:p w14:paraId="1FB57376" w14:textId="77777777" w:rsidR="0084489F" w:rsidRDefault="00110FE6">
            <w:pPr>
              <w:pStyle w:val="Compact"/>
            </w:pPr>
            <w:r>
              <w:t>-</w:t>
            </w:r>
          </w:p>
        </w:tc>
        <w:tc>
          <w:tcPr>
            <w:tcW w:w="296" w:type="dxa"/>
          </w:tcPr>
          <w:p w14:paraId="0F1B2BD2" w14:textId="77777777" w:rsidR="0084489F" w:rsidRDefault="00110FE6">
            <w:pPr>
              <w:pStyle w:val="Compact"/>
            </w:pPr>
            <w:r>
              <w:t>-</w:t>
            </w:r>
          </w:p>
        </w:tc>
        <w:tc>
          <w:tcPr>
            <w:tcW w:w="296" w:type="dxa"/>
          </w:tcPr>
          <w:p w14:paraId="206CC260" w14:textId="77777777" w:rsidR="0084489F" w:rsidRDefault="00110FE6">
            <w:pPr>
              <w:pStyle w:val="Compact"/>
            </w:pPr>
            <w:r>
              <w:t>-</w:t>
            </w:r>
          </w:p>
        </w:tc>
        <w:tc>
          <w:tcPr>
            <w:tcW w:w="5730" w:type="dxa"/>
            <w:gridSpan w:val="5"/>
          </w:tcPr>
          <w:p w14:paraId="0769A15D" w14:textId="77777777" w:rsidR="0084489F" w:rsidRDefault="00110FE6">
            <w:pPr>
              <w:pStyle w:val="Compact"/>
            </w:pPr>
            <w:r>
              <w:rPr>
                <w:rStyle w:val="VerbatimChar"/>
              </w:rPr>
              <w:t>E13_Assignation_d’attribut</w:t>
            </w:r>
          </w:p>
        </w:tc>
      </w:tr>
      <w:tr w:rsidR="0084489F" w14:paraId="68ECDA25" w14:textId="77777777" w:rsidTr="00CC39FB">
        <w:tc>
          <w:tcPr>
            <w:tcW w:w="737" w:type="dxa"/>
          </w:tcPr>
          <w:p w14:paraId="54DF3AB8" w14:textId="77777777" w:rsidR="0084489F" w:rsidRDefault="00110FE6">
            <w:pPr>
              <w:pStyle w:val="Compact"/>
            </w:pPr>
            <w:r>
              <w:t>E14</w:t>
            </w:r>
          </w:p>
        </w:tc>
        <w:tc>
          <w:tcPr>
            <w:tcW w:w="346" w:type="dxa"/>
          </w:tcPr>
          <w:p w14:paraId="12DC7B64" w14:textId="77777777" w:rsidR="0084489F" w:rsidRDefault="00110FE6">
            <w:pPr>
              <w:pStyle w:val="Compact"/>
            </w:pPr>
            <w:r>
              <w:t>-</w:t>
            </w:r>
          </w:p>
        </w:tc>
        <w:tc>
          <w:tcPr>
            <w:tcW w:w="296" w:type="dxa"/>
          </w:tcPr>
          <w:p w14:paraId="2F7656F0" w14:textId="77777777" w:rsidR="0084489F" w:rsidRDefault="00110FE6">
            <w:pPr>
              <w:pStyle w:val="Compact"/>
            </w:pPr>
            <w:r>
              <w:t>-</w:t>
            </w:r>
          </w:p>
        </w:tc>
        <w:tc>
          <w:tcPr>
            <w:tcW w:w="296" w:type="dxa"/>
          </w:tcPr>
          <w:p w14:paraId="69F20416" w14:textId="77777777" w:rsidR="0084489F" w:rsidRDefault="00110FE6">
            <w:pPr>
              <w:pStyle w:val="Compact"/>
            </w:pPr>
            <w:r>
              <w:t>-</w:t>
            </w:r>
          </w:p>
        </w:tc>
        <w:tc>
          <w:tcPr>
            <w:tcW w:w="296" w:type="dxa"/>
          </w:tcPr>
          <w:p w14:paraId="0493A41A" w14:textId="77777777" w:rsidR="0084489F" w:rsidRDefault="00110FE6">
            <w:pPr>
              <w:pStyle w:val="Compact"/>
            </w:pPr>
            <w:r>
              <w:t>-</w:t>
            </w:r>
          </w:p>
        </w:tc>
        <w:tc>
          <w:tcPr>
            <w:tcW w:w="296" w:type="dxa"/>
          </w:tcPr>
          <w:p w14:paraId="2F0B2056" w14:textId="77777777" w:rsidR="0084489F" w:rsidRDefault="00110FE6">
            <w:pPr>
              <w:pStyle w:val="Compact"/>
            </w:pPr>
            <w:r>
              <w:t>-</w:t>
            </w:r>
          </w:p>
        </w:tc>
        <w:tc>
          <w:tcPr>
            <w:tcW w:w="554" w:type="dxa"/>
          </w:tcPr>
          <w:p w14:paraId="58E44122" w14:textId="77777777" w:rsidR="0084489F" w:rsidRDefault="00110FE6">
            <w:pPr>
              <w:pStyle w:val="Compact"/>
            </w:pPr>
            <w:r>
              <w:t>-</w:t>
            </w:r>
          </w:p>
        </w:tc>
        <w:tc>
          <w:tcPr>
            <w:tcW w:w="5176" w:type="dxa"/>
            <w:gridSpan w:val="4"/>
          </w:tcPr>
          <w:p w14:paraId="47A3908A" w14:textId="77777777" w:rsidR="0084489F" w:rsidRDefault="00110FE6">
            <w:pPr>
              <w:pStyle w:val="Compact"/>
            </w:pPr>
            <w:r>
              <w:rPr>
                <w:rStyle w:val="VerbatimChar"/>
              </w:rPr>
              <w:t>E14_Évaluation_d’état_matériel</w:t>
            </w:r>
          </w:p>
        </w:tc>
      </w:tr>
      <w:tr w:rsidR="0084489F" w14:paraId="4D5BAAEA" w14:textId="77777777" w:rsidTr="00CC39FB">
        <w:tc>
          <w:tcPr>
            <w:tcW w:w="737" w:type="dxa"/>
          </w:tcPr>
          <w:p w14:paraId="61799960" w14:textId="77777777" w:rsidR="0084489F" w:rsidRDefault="00110FE6">
            <w:pPr>
              <w:pStyle w:val="Compact"/>
            </w:pPr>
            <w:r>
              <w:t>E15</w:t>
            </w:r>
          </w:p>
        </w:tc>
        <w:tc>
          <w:tcPr>
            <w:tcW w:w="346" w:type="dxa"/>
          </w:tcPr>
          <w:p w14:paraId="10FDF336" w14:textId="77777777" w:rsidR="0084489F" w:rsidRDefault="00110FE6">
            <w:pPr>
              <w:pStyle w:val="Compact"/>
            </w:pPr>
            <w:r>
              <w:t>-</w:t>
            </w:r>
          </w:p>
        </w:tc>
        <w:tc>
          <w:tcPr>
            <w:tcW w:w="296" w:type="dxa"/>
          </w:tcPr>
          <w:p w14:paraId="79681157" w14:textId="77777777" w:rsidR="0084489F" w:rsidRDefault="00110FE6">
            <w:pPr>
              <w:pStyle w:val="Compact"/>
            </w:pPr>
            <w:r>
              <w:t>-</w:t>
            </w:r>
          </w:p>
        </w:tc>
        <w:tc>
          <w:tcPr>
            <w:tcW w:w="296" w:type="dxa"/>
          </w:tcPr>
          <w:p w14:paraId="286E35B0" w14:textId="77777777" w:rsidR="0084489F" w:rsidRDefault="00110FE6">
            <w:pPr>
              <w:pStyle w:val="Compact"/>
            </w:pPr>
            <w:r>
              <w:t>-</w:t>
            </w:r>
          </w:p>
        </w:tc>
        <w:tc>
          <w:tcPr>
            <w:tcW w:w="296" w:type="dxa"/>
          </w:tcPr>
          <w:p w14:paraId="270E56D0" w14:textId="77777777" w:rsidR="0084489F" w:rsidRDefault="00110FE6">
            <w:pPr>
              <w:pStyle w:val="Compact"/>
            </w:pPr>
            <w:r>
              <w:t>-</w:t>
            </w:r>
          </w:p>
        </w:tc>
        <w:tc>
          <w:tcPr>
            <w:tcW w:w="296" w:type="dxa"/>
          </w:tcPr>
          <w:p w14:paraId="6C25340A" w14:textId="77777777" w:rsidR="0084489F" w:rsidRDefault="00110FE6">
            <w:pPr>
              <w:pStyle w:val="Compact"/>
            </w:pPr>
            <w:r>
              <w:t>-</w:t>
            </w:r>
          </w:p>
        </w:tc>
        <w:tc>
          <w:tcPr>
            <w:tcW w:w="554" w:type="dxa"/>
          </w:tcPr>
          <w:p w14:paraId="6A4A5299" w14:textId="77777777" w:rsidR="0084489F" w:rsidRDefault="00110FE6">
            <w:pPr>
              <w:pStyle w:val="Compact"/>
            </w:pPr>
            <w:r>
              <w:t>-</w:t>
            </w:r>
          </w:p>
        </w:tc>
        <w:tc>
          <w:tcPr>
            <w:tcW w:w="5176" w:type="dxa"/>
            <w:gridSpan w:val="4"/>
          </w:tcPr>
          <w:p w14:paraId="404FB83C" w14:textId="77777777" w:rsidR="0084489F" w:rsidRDefault="00110FE6">
            <w:pPr>
              <w:pStyle w:val="Compact"/>
            </w:pPr>
            <w:r>
              <w:rPr>
                <w:rStyle w:val="VerbatimChar"/>
              </w:rPr>
              <w:t>E15_Assignation_d’identifiant</w:t>
            </w:r>
          </w:p>
        </w:tc>
      </w:tr>
      <w:tr w:rsidR="0084489F" w14:paraId="22558D51" w14:textId="77777777" w:rsidTr="00CC39FB">
        <w:tc>
          <w:tcPr>
            <w:tcW w:w="737" w:type="dxa"/>
          </w:tcPr>
          <w:p w14:paraId="50B8BA09" w14:textId="77777777" w:rsidR="0084489F" w:rsidRDefault="00110FE6">
            <w:pPr>
              <w:pStyle w:val="Compact"/>
            </w:pPr>
            <w:r>
              <w:t>E16</w:t>
            </w:r>
          </w:p>
        </w:tc>
        <w:tc>
          <w:tcPr>
            <w:tcW w:w="346" w:type="dxa"/>
          </w:tcPr>
          <w:p w14:paraId="59C5BBBE" w14:textId="77777777" w:rsidR="0084489F" w:rsidRDefault="00110FE6">
            <w:pPr>
              <w:pStyle w:val="Compact"/>
            </w:pPr>
            <w:r>
              <w:t>-</w:t>
            </w:r>
          </w:p>
        </w:tc>
        <w:tc>
          <w:tcPr>
            <w:tcW w:w="296" w:type="dxa"/>
          </w:tcPr>
          <w:p w14:paraId="11C04503" w14:textId="77777777" w:rsidR="0084489F" w:rsidRDefault="00110FE6">
            <w:pPr>
              <w:pStyle w:val="Compact"/>
            </w:pPr>
            <w:r>
              <w:t>-</w:t>
            </w:r>
          </w:p>
        </w:tc>
        <w:tc>
          <w:tcPr>
            <w:tcW w:w="296" w:type="dxa"/>
          </w:tcPr>
          <w:p w14:paraId="18244787" w14:textId="77777777" w:rsidR="0084489F" w:rsidRDefault="00110FE6">
            <w:pPr>
              <w:pStyle w:val="Compact"/>
            </w:pPr>
            <w:r>
              <w:t>-</w:t>
            </w:r>
          </w:p>
        </w:tc>
        <w:tc>
          <w:tcPr>
            <w:tcW w:w="296" w:type="dxa"/>
          </w:tcPr>
          <w:p w14:paraId="42D8CBCD" w14:textId="77777777" w:rsidR="0084489F" w:rsidRDefault="00110FE6">
            <w:pPr>
              <w:pStyle w:val="Compact"/>
            </w:pPr>
            <w:r>
              <w:t>-</w:t>
            </w:r>
          </w:p>
        </w:tc>
        <w:tc>
          <w:tcPr>
            <w:tcW w:w="296" w:type="dxa"/>
          </w:tcPr>
          <w:p w14:paraId="120F5570" w14:textId="77777777" w:rsidR="0084489F" w:rsidRDefault="00110FE6">
            <w:pPr>
              <w:pStyle w:val="Compact"/>
            </w:pPr>
            <w:r>
              <w:t>-</w:t>
            </w:r>
          </w:p>
        </w:tc>
        <w:tc>
          <w:tcPr>
            <w:tcW w:w="554" w:type="dxa"/>
          </w:tcPr>
          <w:p w14:paraId="714D549E" w14:textId="77777777" w:rsidR="0084489F" w:rsidRDefault="00110FE6">
            <w:pPr>
              <w:pStyle w:val="Compact"/>
            </w:pPr>
            <w:r>
              <w:t>-</w:t>
            </w:r>
          </w:p>
        </w:tc>
        <w:tc>
          <w:tcPr>
            <w:tcW w:w="5176" w:type="dxa"/>
            <w:gridSpan w:val="4"/>
          </w:tcPr>
          <w:p w14:paraId="3EB434AC" w14:textId="77777777" w:rsidR="0084489F" w:rsidRDefault="00110FE6">
            <w:pPr>
              <w:pStyle w:val="Compact"/>
            </w:pPr>
            <w:r>
              <w:rPr>
                <w:rStyle w:val="VerbatimChar"/>
              </w:rPr>
              <w:t>E16_Mesurage</w:t>
            </w:r>
          </w:p>
        </w:tc>
      </w:tr>
      <w:tr w:rsidR="0084489F" w14:paraId="704A1240" w14:textId="77777777" w:rsidTr="00CC39FB">
        <w:tc>
          <w:tcPr>
            <w:tcW w:w="737" w:type="dxa"/>
          </w:tcPr>
          <w:p w14:paraId="471B264E" w14:textId="77777777" w:rsidR="0084489F" w:rsidRDefault="00110FE6">
            <w:pPr>
              <w:pStyle w:val="Compact"/>
            </w:pPr>
            <w:r>
              <w:t>E17</w:t>
            </w:r>
          </w:p>
        </w:tc>
        <w:tc>
          <w:tcPr>
            <w:tcW w:w="346" w:type="dxa"/>
          </w:tcPr>
          <w:p w14:paraId="77995BEB" w14:textId="77777777" w:rsidR="0084489F" w:rsidRDefault="00110FE6">
            <w:pPr>
              <w:pStyle w:val="Compact"/>
            </w:pPr>
            <w:r>
              <w:t>-</w:t>
            </w:r>
          </w:p>
        </w:tc>
        <w:tc>
          <w:tcPr>
            <w:tcW w:w="296" w:type="dxa"/>
          </w:tcPr>
          <w:p w14:paraId="5168418D" w14:textId="77777777" w:rsidR="0084489F" w:rsidRDefault="00110FE6">
            <w:pPr>
              <w:pStyle w:val="Compact"/>
            </w:pPr>
            <w:r>
              <w:t>-</w:t>
            </w:r>
          </w:p>
        </w:tc>
        <w:tc>
          <w:tcPr>
            <w:tcW w:w="296" w:type="dxa"/>
          </w:tcPr>
          <w:p w14:paraId="27A7AFBE" w14:textId="77777777" w:rsidR="0084489F" w:rsidRDefault="00110FE6">
            <w:pPr>
              <w:pStyle w:val="Compact"/>
            </w:pPr>
            <w:r>
              <w:t>-</w:t>
            </w:r>
          </w:p>
        </w:tc>
        <w:tc>
          <w:tcPr>
            <w:tcW w:w="296" w:type="dxa"/>
          </w:tcPr>
          <w:p w14:paraId="670DC69E" w14:textId="77777777" w:rsidR="0084489F" w:rsidRDefault="00110FE6">
            <w:pPr>
              <w:pStyle w:val="Compact"/>
            </w:pPr>
            <w:r>
              <w:t>-</w:t>
            </w:r>
          </w:p>
        </w:tc>
        <w:tc>
          <w:tcPr>
            <w:tcW w:w="296" w:type="dxa"/>
          </w:tcPr>
          <w:p w14:paraId="168976E4" w14:textId="77777777" w:rsidR="0084489F" w:rsidRDefault="00110FE6">
            <w:pPr>
              <w:pStyle w:val="Compact"/>
            </w:pPr>
            <w:r>
              <w:t>-</w:t>
            </w:r>
          </w:p>
        </w:tc>
        <w:tc>
          <w:tcPr>
            <w:tcW w:w="554" w:type="dxa"/>
          </w:tcPr>
          <w:p w14:paraId="32A2B3FD" w14:textId="77777777" w:rsidR="0084489F" w:rsidRDefault="00110FE6">
            <w:pPr>
              <w:pStyle w:val="Compact"/>
            </w:pPr>
            <w:r>
              <w:t>-</w:t>
            </w:r>
          </w:p>
        </w:tc>
        <w:tc>
          <w:tcPr>
            <w:tcW w:w="5176" w:type="dxa"/>
            <w:gridSpan w:val="4"/>
          </w:tcPr>
          <w:p w14:paraId="26DFBC5D" w14:textId="77777777" w:rsidR="0084489F" w:rsidRDefault="00110FE6">
            <w:pPr>
              <w:pStyle w:val="Compact"/>
            </w:pPr>
            <w:r>
              <w:rPr>
                <w:rStyle w:val="VerbatimChar"/>
              </w:rPr>
              <w:t>E17_Assignation_de_type</w:t>
            </w:r>
          </w:p>
        </w:tc>
      </w:tr>
      <w:tr w:rsidR="0084489F" w14:paraId="2641B94E" w14:textId="77777777" w:rsidTr="00CC39FB">
        <w:tc>
          <w:tcPr>
            <w:tcW w:w="737" w:type="dxa"/>
          </w:tcPr>
          <w:p w14:paraId="64AB129D" w14:textId="77777777" w:rsidR="0084489F" w:rsidRDefault="00110FE6">
            <w:pPr>
              <w:pStyle w:val="Compact"/>
            </w:pPr>
            <w:r>
              <w:t>E65</w:t>
            </w:r>
          </w:p>
        </w:tc>
        <w:tc>
          <w:tcPr>
            <w:tcW w:w="346" w:type="dxa"/>
          </w:tcPr>
          <w:p w14:paraId="11F60A7F" w14:textId="77777777" w:rsidR="0084489F" w:rsidRDefault="00110FE6">
            <w:pPr>
              <w:pStyle w:val="Compact"/>
            </w:pPr>
            <w:r>
              <w:t>-</w:t>
            </w:r>
          </w:p>
        </w:tc>
        <w:tc>
          <w:tcPr>
            <w:tcW w:w="296" w:type="dxa"/>
          </w:tcPr>
          <w:p w14:paraId="26FD6E79" w14:textId="77777777" w:rsidR="0084489F" w:rsidRDefault="00110FE6">
            <w:pPr>
              <w:pStyle w:val="Compact"/>
            </w:pPr>
            <w:r>
              <w:t>-</w:t>
            </w:r>
          </w:p>
        </w:tc>
        <w:tc>
          <w:tcPr>
            <w:tcW w:w="296" w:type="dxa"/>
          </w:tcPr>
          <w:p w14:paraId="6383E49B" w14:textId="77777777" w:rsidR="0084489F" w:rsidRDefault="00110FE6">
            <w:pPr>
              <w:pStyle w:val="Compact"/>
            </w:pPr>
            <w:r>
              <w:t>-</w:t>
            </w:r>
          </w:p>
        </w:tc>
        <w:tc>
          <w:tcPr>
            <w:tcW w:w="296" w:type="dxa"/>
          </w:tcPr>
          <w:p w14:paraId="55E6078B" w14:textId="77777777" w:rsidR="0084489F" w:rsidRDefault="00110FE6">
            <w:pPr>
              <w:pStyle w:val="Compact"/>
            </w:pPr>
            <w:r>
              <w:t>-</w:t>
            </w:r>
          </w:p>
        </w:tc>
        <w:tc>
          <w:tcPr>
            <w:tcW w:w="296" w:type="dxa"/>
          </w:tcPr>
          <w:p w14:paraId="74BC3549" w14:textId="77777777" w:rsidR="0084489F" w:rsidRDefault="00110FE6">
            <w:pPr>
              <w:pStyle w:val="Compact"/>
            </w:pPr>
            <w:r>
              <w:t>-</w:t>
            </w:r>
          </w:p>
        </w:tc>
        <w:tc>
          <w:tcPr>
            <w:tcW w:w="5730" w:type="dxa"/>
            <w:gridSpan w:val="5"/>
          </w:tcPr>
          <w:p w14:paraId="735530E5" w14:textId="77777777" w:rsidR="0084489F" w:rsidRDefault="00110FE6">
            <w:pPr>
              <w:pStyle w:val="Compact"/>
            </w:pPr>
            <w:r>
              <w:rPr>
                <w:rStyle w:val="VerbatimChar"/>
              </w:rPr>
              <w:t>E65_Création</w:t>
            </w:r>
          </w:p>
        </w:tc>
      </w:tr>
      <w:tr w:rsidR="0084489F" w14:paraId="36C75D72" w14:textId="77777777" w:rsidTr="00CC39FB">
        <w:tc>
          <w:tcPr>
            <w:tcW w:w="737" w:type="dxa"/>
          </w:tcPr>
          <w:p w14:paraId="426E9F68" w14:textId="77777777" w:rsidR="0084489F" w:rsidRDefault="00110FE6">
            <w:pPr>
              <w:pStyle w:val="Compact"/>
            </w:pPr>
            <w:r>
              <w:t>E83</w:t>
            </w:r>
          </w:p>
        </w:tc>
        <w:tc>
          <w:tcPr>
            <w:tcW w:w="346" w:type="dxa"/>
          </w:tcPr>
          <w:p w14:paraId="28E629DB" w14:textId="77777777" w:rsidR="0084489F" w:rsidRDefault="00110FE6">
            <w:pPr>
              <w:pStyle w:val="Compact"/>
            </w:pPr>
            <w:r>
              <w:t>-</w:t>
            </w:r>
          </w:p>
        </w:tc>
        <w:tc>
          <w:tcPr>
            <w:tcW w:w="296" w:type="dxa"/>
          </w:tcPr>
          <w:p w14:paraId="20E07E91" w14:textId="77777777" w:rsidR="0084489F" w:rsidRDefault="00110FE6">
            <w:pPr>
              <w:pStyle w:val="Compact"/>
            </w:pPr>
            <w:r>
              <w:t>-</w:t>
            </w:r>
          </w:p>
        </w:tc>
        <w:tc>
          <w:tcPr>
            <w:tcW w:w="296" w:type="dxa"/>
          </w:tcPr>
          <w:p w14:paraId="5F644981" w14:textId="77777777" w:rsidR="0084489F" w:rsidRDefault="00110FE6">
            <w:pPr>
              <w:pStyle w:val="Compact"/>
            </w:pPr>
            <w:r>
              <w:t>-</w:t>
            </w:r>
          </w:p>
        </w:tc>
        <w:tc>
          <w:tcPr>
            <w:tcW w:w="296" w:type="dxa"/>
          </w:tcPr>
          <w:p w14:paraId="2564C8FC" w14:textId="77777777" w:rsidR="0084489F" w:rsidRDefault="00110FE6">
            <w:pPr>
              <w:pStyle w:val="Compact"/>
            </w:pPr>
            <w:r>
              <w:t>-</w:t>
            </w:r>
          </w:p>
        </w:tc>
        <w:tc>
          <w:tcPr>
            <w:tcW w:w="296" w:type="dxa"/>
          </w:tcPr>
          <w:p w14:paraId="267F2D56" w14:textId="77777777" w:rsidR="0084489F" w:rsidRDefault="00110FE6">
            <w:pPr>
              <w:pStyle w:val="Compact"/>
            </w:pPr>
            <w:r>
              <w:t>-</w:t>
            </w:r>
          </w:p>
        </w:tc>
        <w:tc>
          <w:tcPr>
            <w:tcW w:w="554" w:type="dxa"/>
          </w:tcPr>
          <w:p w14:paraId="77FB0226" w14:textId="77777777" w:rsidR="0084489F" w:rsidRDefault="00110FE6">
            <w:pPr>
              <w:pStyle w:val="Compact"/>
            </w:pPr>
            <w:r>
              <w:t>-</w:t>
            </w:r>
          </w:p>
        </w:tc>
        <w:tc>
          <w:tcPr>
            <w:tcW w:w="5176" w:type="dxa"/>
            <w:gridSpan w:val="4"/>
          </w:tcPr>
          <w:p w14:paraId="738E57B3" w14:textId="77777777" w:rsidR="0084489F" w:rsidRDefault="00110FE6">
            <w:pPr>
              <w:pStyle w:val="Compact"/>
            </w:pPr>
            <w:r>
              <w:rPr>
                <w:rStyle w:val="VerbatimChar"/>
              </w:rPr>
              <w:t>E83_Création_de_type</w:t>
            </w:r>
          </w:p>
        </w:tc>
      </w:tr>
      <w:tr w:rsidR="0084489F" w14:paraId="1E63511C" w14:textId="77777777" w:rsidTr="00CC39FB">
        <w:tc>
          <w:tcPr>
            <w:tcW w:w="737" w:type="dxa"/>
          </w:tcPr>
          <w:p w14:paraId="1958BC27" w14:textId="77777777" w:rsidR="0084489F" w:rsidRDefault="00110FE6">
            <w:pPr>
              <w:pStyle w:val="Compact"/>
            </w:pPr>
            <w:r>
              <w:t>E66</w:t>
            </w:r>
          </w:p>
        </w:tc>
        <w:tc>
          <w:tcPr>
            <w:tcW w:w="346" w:type="dxa"/>
          </w:tcPr>
          <w:p w14:paraId="7C36E08F" w14:textId="77777777" w:rsidR="0084489F" w:rsidRDefault="00110FE6">
            <w:pPr>
              <w:pStyle w:val="Compact"/>
            </w:pPr>
            <w:r>
              <w:t>-</w:t>
            </w:r>
          </w:p>
        </w:tc>
        <w:tc>
          <w:tcPr>
            <w:tcW w:w="296" w:type="dxa"/>
          </w:tcPr>
          <w:p w14:paraId="6051B739" w14:textId="77777777" w:rsidR="0084489F" w:rsidRDefault="00110FE6">
            <w:pPr>
              <w:pStyle w:val="Compact"/>
            </w:pPr>
            <w:r>
              <w:t>-</w:t>
            </w:r>
          </w:p>
        </w:tc>
        <w:tc>
          <w:tcPr>
            <w:tcW w:w="296" w:type="dxa"/>
          </w:tcPr>
          <w:p w14:paraId="39EEE77D" w14:textId="77777777" w:rsidR="0084489F" w:rsidRDefault="00110FE6">
            <w:pPr>
              <w:pStyle w:val="Compact"/>
            </w:pPr>
            <w:r>
              <w:t>-</w:t>
            </w:r>
          </w:p>
        </w:tc>
        <w:tc>
          <w:tcPr>
            <w:tcW w:w="296" w:type="dxa"/>
          </w:tcPr>
          <w:p w14:paraId="1D3381D3" w14:textId="77777777" w:rsidR="0084489F" w:rsidRDefault="00110FE6">
            <w:pPr>
              <w:pStyle w:val="Compact"/>
            </w:pPr>
            <w:r>
              <w:t>-</w:t>
            </w:r>
          </w:p>
        </w:tc>
        <w:tc>
          <w:tcPr>
            <w:tcW w:w="296" w:type="dxa"/>
          </w:tcPr>
          <w:p w14:paraId="5C084634" w14:textId="77777777" w:rsidR="0084489F" w:rsidRDefault="00110FE6">
            <w:pPr>
              <w:pStyle w:val="Compact"/>
            </w:pPr>
            <w:r>
              <w:t>-</w:t>
            </w:r>
          </w:p>
        </w:tc>
        <w:tc>
          <w:tcPr>
            <w:tcW w:w="5730" w:type="dxa"/>
            <w:gridSpan w:val="5"/>
          </w:tcPr>
          <w:p w14:paraId="447A2ED4" w14:textId="77777777" w:rsidR="0084489F" w:rsidRDefault="00110FE6">
            <w:pPr>
              <w:pStyle w:val="Compact"/>
            </w:pPr>
            <w:r>
              <w:rPr>
                <w:rStyle w:val="VerbatimChar"/>
              </w:rPr>
              <w:t>E66_Formation</w:t>
            </w:r>
          </w:p>
        </w:tc>
      </w:tr>
      <w:tr w:rsidR="0084489F" w14:paraId="1D1A0844" w14:textId="77777777" w:rsidTr="00CC39FB">
        <w:tc>
          <w:tcPr>
            <w:tcW w:w="737" w:type="dxa"/>
          </w:tcPr>
          <w:p w14:paraId="632B6DB2" w14:textId="77777777" w:rsidR="0084489F" w:rsidRDefault="00110FE6">
            <w:pPr>
              <w:pStyle w:val="Compact"/>
            </w:pPr>
            <w:r>
              <w:lastRenderedPageBreak/>
              <w:t>E85</w:t>
            </w:r>
          </w:p>
        </w:tc>
        <w:tc>
          <w:tcPr>
            <w:tcW w:w="346" w:type="dxa"/>
          </w:tcPr>
          <w:p w14:paraId="141C2D4B" w14:textId="77777777" w:rsidR="0084489F" w:rsidRDefault="00110FE6">
            <w:pPr>
              <w:pStyle w:val="Compact"/>
            </w:pPr>
            <w:r>
              <w:t>-</w:t>
            </w:r>
          </w:p>
        </w:tc>
        <w:tc>
          <w:tcPr>
            <w:tcW w:w="296" w:type="dxa"/>
          </w:tcPr>
          <w:p w14:paraId="180251BE" w14:textId="77777777" w:rsidR="0084489F" w:rsidRDefault="00110FE6">
            <w:pPr>
              <w:pStyle w:val="Compact"/>
            </w:pPr>
            <w:r>
              <w:t>-</w:t>
            </w:r>
          </w:p>
        </w:tc>
        <w:tc>
          <w:tcPr>
            <w:tcW w:w="296" w:type="dxa"/>
          </w:tcPr>
          <w:p w14:paraId="2C06A20B" w14:textId="77777777" w:rsidR="0084489F" w:rsidRDefault="00110FE6">
            <w:pPr>
              <w:pStyle w:val="Compact"/>
            </w:pPr>
            <w:r>
              <w:t>-</w:t>
            </w:r>
          </w:p>
        </w:tc>
        <w:tc>
          <w:tcPr>
            <w:tcW w:w="296" w:type="dxa"/>
          </w:tcPr>
          <w:p w14:paraId="1583466E" w14:textId="77777777" w:rsidR="0084489F" w:rsidRDefault="00110FE6">
            <w:pPr>
              <w:pStyle w:val="Compact"/>
            </w:pPr>
            <w:r>
              <w:t>-</w:t>
            </w:r>
          </w:p>
        </w:tc>
        <w:tc>
          <w:tcPr>
            <w:tcW w:w="296" w:type="dxa"/>
          </w:tcPr>
          <w:p w14:paraId="6831B9E8" w14:textId="77777777" w:rsidR="0084489F" w:rsidRDefault="00110FE6">
            <w:pPr>
              <w:pStyle w:val="Compact"/>
            </w:pPr>
            <w:r>
              <w:t>-</w:t>
            </w:r>
          </w:p>
        </w:tc>
        <w:tc>
          <w:tcPr>
            <w:tcW w:w="5730" w:type="dxa"/>
            <w:gridSpan w:val="5"/>
          </w:tcPr>
          <w:p w14:paraId="56B5F237" w14:textId="77777777" w:rsidR="0084489F" w:rsidRDefault="00110FE6">
            <w:pPr>
              <w:pStyle w:val="Compact"/>
            </w:pPr>
            <w:r>
              <w:rPr>
                <w:rStyle w:val="VerbatimChar"/>
              </w:rPr>
              <w:t>E85_Adhésion</w:t>
            </w:r>
          </w:p>
        </w:tc>
      </w:tr>
      <w:tr w:rsidR="0084489F" w14:paraId="6C264C1B" w14:textId="77777777" w:rsidTr="00CC39FB">
        <w:tc>
          <w:tcPr>
            <w:tcW w:w="737" w:type="dxa"/>
          </w:tcPr>
          <w:p w14:paraId="0ABBDBD8" w14:textId="77777777" w:rsidR="0084489F" w:rsidRDefault="00110FE6">
            <w:pPr>
              <w:pStyle w:val="Compact"/>
            </w:pPr>
            <w:r>
              <w:t>E86</w:t>
            </w:r>
          </w:p>
        </w:tc>
        <w:tc>
          <w:tcPr>
            <w:tcW w:w="346" w:type="dxa"/>
          </w:tcPr>
          <w:p w14:paraId="63ED975A" w14:textId="77777777" w:rsidR="0084489F" w:rsidRDefault="00110FE6">
            <w:pPr>
              <w:pStyle w:val="Compact"/>
            </w:pPr>
            <w:r>
              <w:t>-</w:t>
            </w:r>
          </w:p>
        </w:tc>
        <w:tc>
          <w:tcPr>
            <w:tcW w:w="296" w:type="dxa"/>
          </w:tcPr>
          <w:p w14:paraId="2CD44624" w14:textId="77777777" w:rsidR="0084489F" w:rsidRDefault="00110FE6">
            <w:pPr>
              <w:pStyle w:val="Compact"/>
            </w:pPr>
            <w:r>
              <w:t>-</w:t>
            </w:r>
          </w:p>
        </w:tc>
        <w:tc>
          <w:tcPr>
            <w:tcW w:w="296" w:type="dxa"/>
          </w:tcPr>
          <w:p w14:paraId="6693A2E0" w14:textId="77777777" w:rsidR="0084489F" w:rsidRDefault="00110FE6">
            <w:pPr>
              <w:pStyle w:val="Compact"/>
            </w:pPr>
            <w:r>
              <w:t>-</w:t>
            </w:r>
          </w:p>
        </w:tc>
        <w:tc>
          <w:tcPr>
            <w:tcW w:w="296" w:type="dxa"/>
          </w:tcPr>
          <w:p w14:paraId="48DC565F" w14:textId="77777777" w:rsidR="0084489F" w:rsidRDefault="00110FE6">
            <w:pPr>
              <w:pStyle w:val="Compact"/>
            </w:pPr>
            <w:r>
              <w:t>-</w:t>
            </w:r>
          </w:p>
        </w:tc>
        <w:tc>
          <w:tcPr>
            <w:tcW w:w="296" w:type="dxa"/>
          </w:tcPr>
          <w:p w14:paraId="47EA6309" w14:textId="77777777" w:rsidR="0084489F" w:rsidRDefault="00110FE6">
            <w:pPr>
              <w:pStyle w:val="Compact"/>
            </w:pPr>
            <w:r>
              <w:t>-</w:t>
            </w:r>
          </w:p>
        </w:tc>
        <w:tc>
          <w:tcPr>
            <w:tcW w:w="5730" w:type="dxa"/>
            <w:gridSpan w:val="5"/>
          </w:tcPr>
          <w:p w14:paraId="05E63906" w14:textId="77777777" w:rsidR="0084489F" w:rsidRDefault="00110FE6">
            <w:pPr>
              <w:pStyle w:val="Compact"/>
            </w:pPr>
            <w:r>
              <w:rPr>
                <w:rStyle w:val="VerbatimChar"/>
              </w:rPr>
              <w:t>E86_Départ</w:t>
            </w:r>
          </w:p>
        </w:tc>
      </w:tr>
      <w:tr w:rsidR="0084489F" w14:paraId="389176F5" w14:textId="77777777" w:rsidTr="00CC39FB">
        <w:tc>
          <w:tcPr>
            <w:tcW w:w="737" w:type="dxa"/>
          </w:tcPr>
          <w:p w14:paraId="1442991A" w14:textId="77777777" w:rsidR="0084489F" w:rsidRDefault="00110FE6">
            <w:pPr>
              <w:pStyle w:val="Compact"/>
            </w:pPr>
            <w:r>
              <w:t>E87</w:t>
            </w:r>
          </w:p>
        </w:tc>
        <w:tc>
          <w:tcPr>
            <w:tcW w:w="346" w:type="dxa"/>
          </w:tcPr>
          <w:p w14:paraId="59F8467F" w14:textId="77777777" w:rsidR="0084489F" w:rsidRDefault="00110FE6">
            <w:pPr>
              <w:pStyle w:val="Compact"/>
            </w:pPr>
            <w:r>
              <w:t>-</w:t>
            </w:r>
          </w:p>
        </w:tc>
        <w:tc>
          <w:tcPr>
            <w:tcW w:w="296" w:type="dxa"/>
          </w:tcPr>
          <w:p w14:paraId="24B55DFD" w14:textId="77777777" w:rsidR="0084489F" w:rsidRDefault="00110FE6">
            <w:pPr>
              <w:pStyle w:val="Compact"/>
            </w:pPr>
            <w:r>
              <w:t>-</w:t>
            </w:r>
          </w:p>
        </w:tc>
        <w:tc>
          <w:tcPr>
            <w:tcW w:w="296" w:type="dxa"/>
          </w:tcPr>
          <w:p w14:paraId="5CE3834F" w14:textId="77777777" w:rsidR="0084489F" w:rsidRDefault="00110FE6">
            <w:pPr>
              <w:pStyle w:val="Compact"/>
            </w:pPr>
            <w:r>
              <w:t>-</w:t>
            </w:r>
          </w:p>
        </w:tc>
        <w:tc>
          <w:tcPr>
            <w:tcW w:w="296" w:type="dxa"/>
          </w:tcPr>
          <w:p w14:paraId="1F3143B8" w14:textId="77777777" w:rsidR="0084489F" w:rsidRDefault="00110FE6">
            <w:pPr>
              <w:pStyle w:val="Compact"/>
            </w:pPr>
            <w:r>
              <w:t>-</w:t>
            </w:r>
          </w:p>
        </w:tc>
        <w:tc>
          <w:tcPr>
            <w:tcW w:w="296" w:type="dxa"/>
          </w:tcPr>
          <w:p w14:paraId="3FFFB167" w14:textId="77777777" w:rsidR="0084489F" w:rsidRDefault="00110FE6">
            <w:pPr>
              <w:pStyle w:val="Compact"/>
            </w:pPr>
            <w:r>
              <w:t>-</w:t>
            </w:r>
          </w:p>
        </w:tc>
        <w:tc>
          <w:tcPr>
            <w:tcW w:w="5730" w:type="dxa"/>
            <w:gridSpan w:val="5"/>
          </w:tcPr>
          <w:p w14:paraId="4F4581CD" w14:textId="77777777" w:rsidR="0084489F" w:rsidRDefault="00110FE6">
            <w:pPr>
              <w:pStyle w:val="Compact"/>
            </w:pPr>
            <w:r>
              <w:rPr>
                <w:rStyle w:val="VerbatimChar"/>
              </w:rPr>
              <w:t>E87_Activité_curatoriale</w:t>
            </w:r>
          </w:p>
        </w:tc>
      </w:tr>
      <w:tr w:rsidR="0084489F" w14:paraId="3F76E520" w14:textId="77777777" w:rsidTr="00CC39FB">
        <w:tc>
          <w:tcPr>
            <w:tcW w:w="737" w:type="dxa"/>
          </w:tcPr>
          <w:p w14:paraId="3F8D548B" w14:textId="77777777" w:rsidR="0084489F" w:rsidRDefault="00110FE6">
            <w:pPr>
              <w:pStyle w:val="Compact"/>
            </w:pPr>
            <w:r>
              <w:t>E63</w:t>
            </w:r>
          </w:p>
        </w:tc>
        <w:tc>
          <w:tcPr>
            <w:tcW w:w="346" w:type="dxa"/>
          </w:tcPr>
          <w:p w14:paraId="2BF13389" w14:textId="77777777" w:rsidR="0084489F" w:rsidRDefault="00110FE6">
            <w:pPr>
              <w:pStyle w:val="Compact"/>
            </w:pPr>
            <w:r>
              <w:t>-</w:t>
            </w:r>
          </w:p>
        </w:tc>
        <w:tc>
          <w:tcPr>
            <w:tcW w:w="296" w:type="dxa"/>
          </w:tcPr>
          <w:p w14:paraId="5F52DCD8" w14:textId="77777777" w:rsidR="0084489F" w:rsidRDefault="00110FE6">
            <w:pPr>
              <w:pStyle w:val="Compact"/>
            </w:pPr>
            <w:r>
              <w:t>-</w:t>
            </w:r>
          </w:p>
        </w:tc>
        <w:tc>
          <w:tcPr>
            <w:tcW w:w="296" w:type="dxa"/>
          </w:tcPr>
          <w:p w14:paraId="08EF2EA7" w14:textId="77777777" w:rsidR="0084489F" w:rsidRDefault="00110FE6">
            <w:pPr>
              <w:pStyle w:val="Compact"/>
            </w:pPr>
            <w:r>
              <w:t>-</w:t>
            </w:r>
          </w:p>
        </w:tc>
        <w:tc>
          <w:tcPr>
            <w:tcW w:w="296" w:type="dxa"/>
          </w:tcPr>
          <w:p w14:paraId="5ADD6A86" w14:textId="77777777" w:rsidR="0084489F" w:rsidRDefault="00110FE6">
            <w:pPr>
              <w:pStyle w:val="Compact"/>
            </w:pPr>
            <w:r>
              <w:t>-</w:t>
            </w:r>
          </w:p>
        </w:tc>
        <w:tc>
          <w:tcPr>
            <w:tcW w:w="6026" w:type="dxa"/>
            <w:gridSpan w:val="6"/>
          </w:tcPr>
          <w:p w14:paraId="7B4C76CF" w14:textId="77777777" w:rsidR="0084489F" w:rsidRDefault="00110FE6">
            <w:pPr>
              <w:pStyle w:val="Compact"/>
            </w:pPr>
            <w:r>
              <w:rPr>
                <w:rStyle w:val="VerbatimChar"/>
              </w:rPr>
              <w:t>E63_Début_d’existence</w:t>
            </w:r>
          </w:p>
        </w:tc>
      </w:tr>
      <w:tr w:rsidR="0084489F" w14:paraId="75F5AF65" w14:textId="77777777" w:rsidTr="00CC39FB">
        <w:tc>
          <w:tcPr>
            <w:tcW w:w="737" w:type="dxa"/>
          </w:tcPr>
          <w:p w14:paraId="4F40D544" w14:textId="77777777" w:rsidR="0084489F" w:rsidRDefault="00110FE6">
            <w:pPr>
              <w:pStyle w:val="Compact"/>
            </w:pPr>
            <w:r>
              <w:t>E67</w:t>
            </w:r>
          </w:p>
        </w:tc>
        <w:tc>
          <w:tcPr>
            <w:tcW w:w="346" w:type="dxa"/>
          </w:tcPr>
          <w:p w14:paraId="054266FA" w14:textId="77777777" w:rsidR="0084489F" w:rsidRDefault="00110FE6">
            <w:pPr>
              <w:pStyle w:val="Compact"/>
            </w:pPr>
            <w:r>
              <w:t>-</w:t>
            </w:r>
          </w:p>
        </w:tc>
        <w:tc>
          <w:tcPr>
            <w:tcW w:w="296" w:type="dxa"/>
          </w:tcPr>
          <w:p w14:paraId="5F752D0E" w14:textId="77777777" w:rsidR="0084489F" w:rsidRDefault="00110FE6">
            <w:pPr>
              <w:pStyle w:val="Compact"/>
            </w:pPr>
            <w:r>
              <w:t>-</w:t>
            </w:r>
          </w:p>
        </w:tc>
        <w:tc>
          <w:tcPr>
            <w:tcW w:w="296" w:type="dxa"/>
          </w:tcPr>
          <w:p w14:paraId="2D4E60AE" w14:textId="77777777" w:rsidR="0084489F" w:rsidRDefault="00110FE6">
            <w:pPr>
              <w:pStyle w:val="Compact"/>
            </w:pPr>
            <w:r>
              <w:t>-</w:t>
            </w:r>
          </w:p>
        </w:tc>
        <w:tc>
          <w:tcPr>
            <w:tcW w:w="296" w:type="dxa"/>
          </w:tcPr>
          <w:p w14:paraId="32DFD0F3" w14:textId="77777777" w:rsidR="0084489F" w:rsidRDefault="00110FE6">
            <w:pPr>
              <w:pStyle w:val="Compact"/>
            </w:pPr>
            <w:r>
              <w:t>-</w:t>
            </w:r>
          </w:p>
        </w:tc>
        <w:tc>
          <w:tcPr>
            <w:tcW w:w="296" w:type="dxa"/>
          </w:tcPr>
          <w:p w14:paraId="4F5FB6AB" w14:textId="77777777" w:rsidR="0084489F" w:rsidRDefault="00110FE6">
            <w:pPr>
              <w:pStyle w:val="Compact"/>
            </w:pPr>
            <w:r>
              <w:t>-</w:t>
            </w:r>
          </w:p>
        </w:tc>
        <w:tc>
          <w:tcPr>
            <w:tcW w:w="5730" w:type="dxa"/>
            <w:gridSpan w:val="5"/>
          </w:tcPr>
          <w:p w14:paraId="25EFA766" w14:textId="77777777" w:rsidR="0084489F" w:rsidRDefault="00110FE6">
            <w:pPr>
              <w:pStyle w:val="Compact"/>
            </w:pPr>
            <w:r>
              <w:rPr>
                <w:rStyle w:val="VerbatimChar"/>
              </w:rPr>
              <w:t>E67_Naissance</w:t>
            </w:r>
          </w:p>
        </w:tc>
      </w:tr>
      <w:tr w:rsidR="0084489F" w14:paraId="5AC13BCA" w14:textId="77777777" w:rsidTr="00CC39FB">
        <w:tc>
          <w:tcPr>
            <w:tcW w:w="737" w:type="dxa"/>
          </w:tcPr>
          <w:p w14:paraId="6D56B07F" w14:textId="77777777" w:rsidR="0084489F" w:rsidRDefault="00110FE6">
            <w:pPr>
              <w:pStyle w:val="Compact"/>
            </w:pPr>
            <w:r>
              <w:t>E81</w:t>
            </w:r>
          </w:p>
        </w:tc>
        <w:tc>
          <w:tcPr>
            <w:tcW w:w="346" w:type="dxa"/>
          </w:tcPr>
          <w:p w14:paraId="31BDED40" w14:textId="77777777" w:rsidR="0084489F" w:rsidRDefault="00110FE6">
            <w:pPr>
              <w:pStyle w:val="Compact"/>
            </w:pPr>
            <w:r>
              <w:t>-</w:t>
            </w:r>
          </w:p>
        </w:tc>
        <w:tc>
          <w:tcPr>
            <w:tcW w:w="296" w:type="dxa"/>
          </w:tcPr>
          <w:p w14:paraId="5E43867E" w14:textId="77777777" w:rsidR="0084489F" w:rsidRDefault="00110FE6">
            <w:pPr>
              <w:pStyle w:val="Compact"/>
            </w:pPr>
            <w:r>
              <w:t>-</w:t>
            </w:r>
          </w:p>
        </w:tc>
        <w:tc>
          <w:tcPr>
            <w:tcW w:w="296" w:type="dxa"/>
          </w:tcPr>
          <w:p w14:paraId="5F8B6C3C" w14:textId="77777777" w:rsidR="0084489F" w:rsidRDefault="00110FE6">
            <w:pPr>
              <w:pStyle w:val="Compact"/>
            </w:pPr>
            <w:r>
              <w:t>-</w:t>
            </w:r>
          </w:p>
        </w:tc>
        <w:tc>
          <w:tcPr>
            <w:tcW w:w="296" w:type="dxa"/>
          </w:tcPr>
          <w:p w14:paraId="02C4192F" w14:textId="77777777" w:rsidR="0084489F" w:rsidRDefault="00110FE6">
            <w:pPr>
              <w:pStyle w:val="Compact"/>
            </w:pPr>
            <w:r>
              <w:t>-</w:t>
            </w:r>
          </w:p>
        </w:tc>
        <w:tc>
          <w:tcPr>
            <w:tcW w:w="296" w:type="dxa"/>
          </w:tcPr>
          <w:p w14:paraId="3806DC51" w14:textId="77777777" w:rsidR="0084489F" w:rsidRDefault="00110FE6">
            <w:pPr>
              <w:pStyle w:val="Compact"/>
            </w:pPr>
            <w:r>
              <w:t>-</w:t>
            </w:r>
          </w:p>
        </w:tc>
        <w:tc>
          <w:tcPr>
            <w:tcW w:w="5730" w:type="dxa"/>
            <w:gridSpan w:val="5"/>
          </w:tcPr>
          <w:p w14:paraId="7A3EEAC3" w14:textId="77777777" w:rsidR="0084489F" w:rsidRDefault="00110FE6">
            <w:pPr>
              <w:pStyle w:val="Compact"/>
            </w:pPr>
            <w:r>
              <w:rPr>
                <w:rStyle w:val="VerbatimChar"/>
              </w:rPr>
              <w:t>E81_Transformation</w:t>
            </w:r>
          </w:p>
        </w:tc>
      </w:tr>
      <w:tr w:rsidR="0084489F" w14:paraId="25E5D53F" w14:textId="77777777" w:rsidTr="00CC39FB">
        <w:tc>
          <w:tcPr>
            <w:tcW w:w="737" w:type="dxa"/>
          </w:tcPr>
          <w:p w14:paraId="421FA573" w14:textId="77777777" w:rsidR="0084489F" w:rsidRDefault="00110FE6">
            <w:pPr>
              <w:pStyle w:val="Compact"/>
            </w:pPr>
            <w:r>
              <w:t>E12</w:t>
            </w:r>
          </w:p>
        </w:tc>
        <w:tc>
          <w:tcPr>
            <w:tcW w:w="346" w:type="dxa"/>
          </w:tcPr>
          <w:p w14:paraId="531B0A49" w14:textId="77777777" w:rsidR="0084489F" w:rsidRDefault="00110FE6">
            <w:pPr>
              <w:pStyle w:val="Compact"/>
            </w:pPr>
            <w:r>
              <w:t>-</w:t>
            </w:r>
          </w:p>
        </w:tc>
        <w:tc>
          <w:tcPr>
            <w:tcW w:w="296" w:type="dxa"/>
          </w:tcPr>
          <w:p w14:paraId="4F6686BC" w14:textId="77777777" w:rsidR="0084489F" w:rsidRDefault="00110FE6">
            <w:pPr>
              <w:pStyle w:val="Compact"/>
            </w:pPr>
            <w:r>
              <w:t>-</w:t>
            </w:r>
          </w:p>
        </w:tc>
        <w:tc>
          <w:tcPr>
            <w:tcW w:w="296" w:type="dxa"/>
          </w:tcPr>
          <w:p w14:paraId="2B4BA993" w14:textId="77777777" w:rsidR="0084489F" w:rsidRDefault="00110FE6">
            <w:pPr>
              <w:pStyle w:val="Compact"/>
            </w:pPr>
            <w:r>
              <w:t>-</w:t>
            </w:r>
          </w:p>
        </w:tc>
        <w:tc>
          <w:tcPr>
            <w:tcW w:w="296" w:type="dxa"/>
          </w:tcPr>
          <w:p w14:paraId="10B526A0" w14:textId="77777777" w:rsidR="0084489F" w:rsidRDefault="00110FE6">
            <w:pPr>
              <w:pStyle w:val="Compact"/>
            </w:pPr>
            <w:r>
              <w:t>-</w:t>
            </w:r>
          </w:p>
        </w:tc>
        <w:tc>
          <w:tcPr>
            <w:tcW w:w="296" w:type="dxa"/>
          </w:tcPr>
          <w:p w14:paraId="109780C6" w14:textId="77777777" w:rsidR="0084489F" w:rsidRDefault="00110FE6">
            <w:pPr>
              <w:pStyle w:val="Compact"/>
            </w:pPr>
            <w:r>
              <w:t>-</w:t>
            </w:r>
          </w:p>
        </w:tc>
        <w:tc>
          <w:tcPr>
            <w:tcW w:w="5730" w:type="dxa"/>
            <w:gridSpan w:val="5"/>
          </w:tcPr>
          <w:p w14:paraId="1F33EBB2" w14:textId="77777777" w:rsidR="0084489F" w:rsidRDefault="00110FE6">
            <w:pPr>
              <w:pStyle w:val="Compact"/>
            </w:pPr>
            <w:r>
              <w:rPr>
                <w:rStyle w:val="VerbatimChar"/>
                <w:i/>
                <w:iCs/>
              </w:rPr>
              <w:t>E12_Production</w:t>
            </w:r>
          </w:p>
        </w:tc>
      </w:tr>
      <w:tr w:rsidR="0084489F" w14:paraId="6DA59250" w14:textId="77777777" w:rsidTr="00CC39FB">
        <w:tc>
          <w:tcPr>
            <w:tcW w:w="737" w:type="dxa"/>
          </w:tcPr>
          <w:p w14:paraId="7D329398" w14:textId="77777777" w:rsidR="0084489F" w:rsidRDefault="00110FE6">
            <w:pPr>
              <w:pStyle w:val="Compact"/>
            </w:pPr>
            <w:r>
              <w:t>E65</w:t>
            </w:r>
          </w:p>
        </w:tc>
        <w:tc>
          <w:tcPr>
            <w:tcW w:w="346" w:type="dxa"/>
          </w:tcPr>
          <w:p w14:paraId="185539E3" w14:textId="77777777" w:rsidR="0084489F" w:rsidRDefault="00110FE6">
            <w:pPr>
              <w:pStyle w:val="Compact"/>
            </w:pPr>
            <w:r>
              <w:t>-</w:t>
            </w:r>
          </w:p>
        </w:tc>
        <w:tc>
          <w:tcPr>
            <w:tcW w:w="296" w:type="dxa"/>
          </w:tcPr>
          <w:p w14:paraId="189A831F" w14:textId="77777777" w:rsidR="0084489F" w:rsidRDefault="00110FE6">
            <w:pPr>
              <w:pStyle w:val="Compact"/>
            </w:pPr>
            <w:r>
              <w:t>-</w:t>
            </w:r>
          </w:p>
        </w:tc>
        <w:tc>
          <w:tcPr>
            <w:tcW w:w="296" w:type="dxa"/>
          </w:tcPr>
          <w:p w14:paraId="7AA504F0" w14:textId="77777777" w:rsidR="0084489F" w:rsidRDefault="00110FE6">
            <w:pPr>
              <w:pStyle w:val="Compact"/>
            </w:pPr>
            <w:r>
              <w:t>-</w:t>
            </w:r>
          </w:p>
        </w:tc>
        <w:tc>
          <w:tcPr>
            <w:tcW w:w="296" w:type="dxa"/>
          </w:tcPr>
          <w:p w14:paraId="27BB72BC" w14:textId="77777777" w:rsidR="0084489F" w:rsidRDefault="00110FE6">
            <w:pPr>
              <w:pStyle w:val="Compact"/>
            </w:pPr>
            <w:r>
              <w:t>-</w:t>
            </w:r>
          </w:p>
        </w:tc>
        <w:tc>
          <w:tcPr>
            <w:tcW w:w="296" w:type="dxa"/>
          </w:tcPr>
          <w:p w14:paraId="5D2D6066" w14:textId="77777777" w:rsidR="0084489F" w:rsidRDefault="00110FE6">
            <w:pPr>
              <w:pStyle w:val="Compact"/>
            </w:pPr>
            <w:r>
              <w:t>-</w:t>
            </w:r>
          </w:p>
        </w:tc>
        <w:tc>
          <w:tcPr>
            <w:tcW w:w="5730" w:type="dxa"/>
            <w:gridSpan w:val="5"/>
          </w:tcPr>
          <w:p w14:paraId="30D81B8C" w14:textId="77777777" w:rsidR="0084489F" w:rsidRDefault="00110FE6">
            <w:pPr>
              <w:pStyle w:val="Compact"/>
            </w:pPr>
            <w:r>
              <w:rPr>
                <w:rStyle w:val="VerbatimChar"/>
                <w:i/>
                <w:iCs/>
              </w:rPr>
              <w:t>E65_Création</w:t>
            </w:r>
          </w:p>
        </w:tc>
      </w:tr>
      <w:tr w:rsidR="0084489F" w14:paraId="521096A1" w14:textId="77777777" w:rsidTr="00CC39FB">
        <w:tc>
          <w:tcPr>
            <w:tcW w:w="737" w:type="dxa"/>
          </w:tcPr>
          <w:p w14:paraId="03EAF9B5" w14:textId="77777777" w:rsidR="0084489F" w:rsidRDefault="00110FE6">
            <w:pPr>
              <w:pStyle w:val="Compact"/>
            </w:pPr>
            <w:r>
              <w:t>E83</w:t>
            </w:r>
          </w:p>
        </w:tc>
        <w:tc>
          <w:tcPr>
            <w:tcW w:w="346" w:type="dxa"/>
          </w:tcPr>
          <w:p w14:paraId="687A44EE" w14:textId="77777777" w:rsidR="0084489F" w:rsidRDefault="00110FE6">
            <w:pPr>
              <w:pStyle w:val="Compact"/>
            </w:pPr>
            <w:r>
              <w:t>-</w:t>
            </w:r>
          </w:p>
        </w:tc>
        <w:tc>
          <w:tcPr>
            <w:tcW w:w="296" w:type="dxa"/>
          </w:tcPr>
          <w:p w14:paraId="35B356CC" w14:textId="77777777" w:rsidR="0084489F" w:rsidRDefault="00110FE6">
            <w:pPr>
              <w:pStyle w:val="Compact"/>
            </w:pPr>
            <w:r>
              <w:t>-</w:t>
            </w:r>
          </w:p>
        </w:tc>
        <w:tc>
          <w:tcPr>
            <w:tcW w:w="296" w:type="dxa"/>
          </w:tcPr>
          <w:p w14:paraId="3C159F02" w14:textId="77777777" w:rsidR="0084489F" w:rsidRDefault="00110FE6">
            <w:pPr>
              <w:pStyle w:val="Compact"/>
            </w:pPr>
            <w:r>
              <w:t>-</w:t>
            </w:r>
          </w:p>
        </w:tc>
        <w:tc>
          <w:tcPr>
            <w:tcW w:w="296" w:type="dxa"/>
          </w:tcPr>
          <w:p w14:paraId="2481F3D5" w14:textId="77777777" w:rsidR="0084489F" w:rsidRDefault="00110FE6">
            <w:pPr>
              <w:pStyle w:val="Compact"/>
            </w:pPr>
            <w:r>
              <w:t>-</w:t>
            </w:r>
          </w:p>
        </w:tc>
        <w:tc>
          <w:tcPr>
            <w:tcW w:w="296" w:type="dxa"/>
          </w:tcPr>
          <w:p w14:paraId="2873FFA2" w14:textId="77777777" w:rsidR="0084489F" w:rsidRDefault="00110FE6">
            <w:pPr>
              <w:pStyle w:val="Compact"/>
            </w:pPr>
            <w:r>
              <w:t>-</w:t>
            </w:r>
          </w:p>
        </w:tc>
        <w:tc>
          <w:tcPr>
            <w:tcW w:w="2819" w:type="dxa"/>
            <w:gridSpan w:val="4"/>
          </w:tcPr>
          <w:p w14:paraId="0522A7BF" w14:textId="77777777" w:rsidR="0084489F" w:rsidRDefault="00110FE6">
            <w:pPr>
              <w:pStyle w:val="Compact"/>
            </w:pPr>
            <w:r>
              <w:rPr>
                <w:rStyle w:val="VerbatimChar"/>
                <w:i/>
                <w:iCs/>
              </w:rPr>
              <w:t>E83_Création_de_type</w:t>
            </w:r>
          </w:p>
        </w:tc>
        <w:tc>
          <w:tcPr>
            <w:tcW w:w="2911" w:type="dxa"/>
          </w:tcPr>
          <w:p w14:paraId="1D89FF37" w14:textId="77777777" w:rsidR="0084489F" w:rsidRDefault="0084489F">
            <w:pPr>
              <w:pStyle w:val="Compact"/>
            </w:pPr>
          </w:p>
        </w:tc>
      </w:tr>
      <w:tr w:rsidR="0084489F" w14:paraId="11EDE239" w14:textId="77777777" w:rsidTr="00CC39FB">
        <w:tc>
          <w:tcPr>
            <w:tcW w:w="737" w:type="dxa"/>
          </w:tcPr>
          <w:p w14:paraId="616F7A6C" w14:textId="77777777" w:rsidR="0084489F" w:rsidRDefault="00110FE6">
            <w:pPr>
              <w:pStyle w:val="Compact"/>
            </w:pPr>
            <w:r>
              <w:t>E66</w:t>
            </w:r>
          </w:p>
        </w:tc>
        <w:tc>
          <w:tcPr>
            <w:tcW w:w="346" w:type="dxa"/>
          </w:tcPr>
          <w:p w14:paraId="0CB87C92" w14:textId="77777777" w:rsidR="0084489F" w:rsidRDefault="00110FE6">
            <w:pPr>
              <w:pStyle w:val="Compact"/>
            </w:pPr>
            <w:r>
              <w:t>-</w:t>
            </w:r>
          </w:p>
        </w:tc>
        <w:tc>
          <w:tcPr>
            <w:tcW w:w="296" w:type="dxa"/>
          </w:tcPr>
          <w:p w14:paraId="1C8F9FC5" w14:textId="77777777" w:rsidR="0084489F" w:rsidRDefault="00110FE6">
            <w:pPr>
              <w:pStyle w:val="Compact"/>
            </w:pPr>
            <w:r>
              <w:t>-</w:t>
            </w:r>
          </w:p>
        </w:tc>
        <w:tc>
          <w:tcPr>
            <w:tcW w:w="296" w:type="dxa"/>
          </w:tcPr>
          <w:p w14:paraId="4CF0FAEB" w14:textId="77777777" w:rsidR="0084489F" w:rsidRDefault="00110FE6">
            <w:pPr>
              <w:pStyle w:val="Compact"/>
            </w:pPr>
            <w:r>
              <w:t>-</w:t>
            </w:r>
          </w:p>
        </w:tc>
        <w:tc>
          <w:tcPr>
            <w:tcW w:w="296" w:type="dxa"/>
          </w:tcPr>
          <w:p w14:paraId="53D6E59B" w14:textId="77777777" w:rsidR="0084489F" w:rsidRDefault="00110FE6">
            <w:pPr>
              <w:pStyle w:val="Compact"/>
            </w:pPr>
            <w:r>
              <w:t>-</w:t>
            </w:r>
          </w:p>
        </w:tc>
        <w:tc>
          <w:tcPr>
            <w:tcW w:w="296" w:type="dxa"/>
          </w:tcPr>
          <w:p w14:paraId="76335C26" w14:textId="77777777" w:rsidR="0084489F" w:rsidRDefault="00110FE6">
            <w:pPr>
              <w:pStyle w:val="Compact"/>
            </w:pPr>
            <w:r>
              <w:t>-</w:t>
            </w:r>
          </w:p>
        </w:tc>
        <w:tc>
          <w:tcPr>
            <w:tcW w:w="5730" w:type="dxa"/>
            <w:gridSpan w:val="5"/>
          </w:tcPr>
          <w:p w14:paraId="2B630CC6" w14:textId="77777777" w:rsidR="0084489F" w:rsidRDefault="00110FE6">
            <w:pPr>
              <w:pStyle w:val="Compact"/>
            </w:pPr>
            <w:r>
              <w:rPr>
                <w:rStyle w:val="VerbatimChar"/>
                <w:i/>
                <w:iCs/>
              </w:rPr>
              <w:t>E66_Formation</w:t>
            </w:r>
          </w:p>
        </w:tc>
      </w:tr>
      <w:tr w:rsidR="0084489F" w14:paraId="502B3641" w14:textId="77777777" w:rsidTr="00CC39FB">
        <w:tc>
          <w:tcPr>
            <w:tcW w:w="737" w:type="dxa"/>
          </w:tcPr>
          <w:p w14:paraId="6E0C5376" w14:textId="77777777" w:rsidR="0084489F" w:rsidRDefault="00110FE6">
            <w:pPr>
              <w:pStyle w:val="Compact"/>
            </w:pPr>
            <w:r>
              <w:t>E64</w:t>
            </w:r>
          </w:p>
        </w:tc>
        <w:tc>
          <w:tcPr>
            <w:tcW w:w="346" w:type="dxa"/>
          </w:tcPr>
          <w:p w14:paraId="69EABCE4" w14:textId="77777777" w:rsidR="0084489F" w:rsidRDefault="00110FE6">
            <w:pPr>
              <w:pStyle w:val="Compact"/>
            </w:pPr>
            <w:r>
              <w:t>-</w:t>
            </w:r>
          </w:p>
        </w:tc>
        <w:tc>
          <w:tcPr>
            <w:tcW w:w="296" w:type="dxa"/>
          </w:tcPr>
          <w:p w14:paraId="6D5D6DBD" w14:textId="77777777" w:rsidR="0084489F" w:rsidRDefault="00110FE6">
            <w:pPr>
              <w:pStyle w:val="Compact"/>
            </w:pPr>
            <w:r>
              <w:t>-</w:t>
            </w:r>
          </w:p>
        </w:tc>
        <w:tc>
          <w:tcPr>
            <w:tcW w:w="296" w:type="dxa"/>
          </w:tcPr>
          <w:p w14:paraId="3447CF9E" w14:textId="77777777" w:rsidR="0084489F" w:rsidRDefault="00110FE6">
            <w:pPr>
              <w:pStyle w:val="Compact"/>
            </w:pPr>
            <w:r>
              <w:t>-</w:t>
            </w:r>
          </w:p>
        </w:tc>
        <w:tc>
          <w:tcPr>
            <w:tcW w:w="296" w:type="dxa"/>
          </w:tcPr>
          <w:p w14:paraId="41F49FDD" w14:textId="77777777" w:rsidR="0084489F" w:rsidRDefault="00110FE6">
            <w:pPr>
              <w:pStyle w:val="Compact"/>
            </w:pPr>
            <w:r>
              <w:t>-</w:t>
            </w:r>
          </w:p>
        </w:tc>
        <w:tc>
          <w:tcPr>
            <w:tcW w:w="6026" w:type="dxa"/>
            <w:gridSpan w:val="6"/>
          </w:tcPr>
          <w:p w14:paraId="60A5B55A" w14:textId="77777777" w:rsidR="0084489F" w:rsidRDefault="00110FE6">
            <w:pPr>
              <w:pStyle w:val="Compact"/>
            </w:pPr>
            <w:r>
              <w:rPr>
                <w:rStyle w:val="VerbatimChar"/>
              </w:rPr>
              <w:t>E64_Fin_d’existence</w:t>
            </w:r>
          </w:p>
        </w:tc>
      </w:tr>
      <w:tr w:rsidR="0084489F" w14:paraId="0CADC14E" w14:textId="77777777" w:rsidTr="00CC39FB">
        <w:tc>
          <w:tcPr>
            <w:tcW w:w="737" w:type="dxa"/>
          </w:tcPr>
          <w:p w14:paraId="24CD3F6B" w14:textId="77777777" w:rsidR="0084489F" w:rsidRDefault="00110FE6">
            <w:pPr>
              <w:pStyle w:val="Compact"/>
            </w:pPr>
            <w:r>
              <w:t>E6</w:t>
            </w:r>
          </w:p>
        </w:tc>
        <w:tc>
          <w:tcPr>
            <w:tcW w:w="346" w:type="dxa"/>
          </w:tcPr>
          <w:p w14:paraId="7106C39C" w14:textId="77777777" w:rsidR="0084489F" w:rsidRDefault="00110FE6">
            <w:pPr>
              <w:pStyle w:val="Compact"/>
            </w:pPr>
            <w:r>
              <w:t>-</w:t>
            </w:r>
          </w:p>
        </w:tc>
        <w:tc>
          <w:tcPr>
            <w:tcW w:w="296" w:type="dxa"/>
          </w:tcPr>
          <w:p w14:paraId="2B8B2C69" w14:textId="77777777" w:rsidR="0084489F" w:rsidRDefault="00110FE6">
            <w:pPr>
              <w:pStyle w:val="Compact"/>
            </w:pPr>
            <w:r>
              <w:t>-</w:t>
            </w:r>
          </w:p>
        </w:tc>
        <w:tc>
          <w:tcPr>
            <w:tcW w:w="296" w:type="dxa"/>
          </w:tcPr>
          <w:p w14:paraId="153391FD" w14:textId="77777777" w:rsidR="0084489F" w:rsidRDefault="00110FE6">
            <w:pPr>
              <w:pStyle w:val="Compact"/>
            </w:pPr>
            <w:r>
              <w:t>-</w:t>
            </w:r>
          </w:p>
        </w:tc>
        <w:tc>
          <w:tcPr>
            <w:tcW w:w="296" w:type="dxa"/>
          </w:tcPr>
          <w:p w14:paraId="76744237" w14:textId="77777777" w:rsidR="0084489F" w:rsidRDefault="00110FE6">
            <w:pPr>
              <w:pStyle w:val="Compact"/>
            </w:pPr>
            <w:r>
              <w:t>-</w:t>
            </w:r>
          </w:p>
        </w:tc>
        <w:tc>
          <w:tcPr>
            <w:tcW w:w="296" w:type="dxa"/>
          </w:tcPr>
          <w:p w14:paraId="651D37BB" w14:textId="77777777" w:rsidR="0084489F" w:rsidRDefault="00110FE6">
            <w:pPr>
              <w:pStyle w:val="Compact"/>
            </w:pPr>
            <w:r>
              <w:t>-</w:t>
            </w:r>
          </w:p>
        </w:tc>
        <w:tc>
          <w:tcPr>
            <w:tcW w:w="5730" w:type="dxa"/>
            <w:gridSpan w:val="5"/>
          </w:tcPr>
          <w:p w14:paraId="2CEFF599" w14:textId="77777777" w:rsidR="0084489F" w:rsidRDefault="00110FE6">
            <w:pPr>
              <w:pStyle w:val="Compact"/>
            </w:pPr>
            <w:r>
              <w:rPr>
                <w:rStyle w:val="VerbatimChar"/>
              </w:rPr>
              <w:t>E6_Destruction</w:t>
            </w:r>
          </w:p>
        </w:tc>
      </w:tr>
      <w:tr w:rsidR="0084489F" w14:paraId="35A47801" w14:textId="77777777" w:rsidTr="00CC39FB">
        <w:tc>
          <w:tcPr>
            <w:tcW w:w="737" w:type="dxa"/>
          </w:tcPr>
          <w:p w14:paraId="00DD9532" w14:textId="77777777" w:rsidR="0084489F" w:rsidRDefault="00110FE6">
            <w:pPr>
              <w:pStyle w:val="Compact"/>
            </w:pPr>
            <w:r>
              <w:t>E68</w:t>
            </w:r>
          </w:p>
        </w:tc>
        <w:tc>
          <w:tcPr>
            <w:tcW w:w="346" w:type="dxa"/>
          </w:tcPr>
          <w:p w14:paraId="4FB15A0F" w14:textId="77777777" w:rsidR="0084489F" w:rsidRDefault="00110FE6">
            <w:pPr>
              <w:pStyle w:val="Compact"/>
            </w:pPr>
            <w:r>
              <w:t>-</w:t>
            </w:r>
          </w:p>
        </w:tc>
        <w:tc>
          <w:tcPr>
            <w:tcW w:w="296" w:type="dxa"/>
          </w:tcPr>
          <w:p w14:paraId="61D8C272" w14:textId="77777777" w:rsidR="0084489F" w:rsidRDefault="00110FE6">
            <w:pPr>
              <w:pStyle w:val="Compact"/>
            </w:pPr>
            <w:r>
              <w:t>-</w:t>
            </w:r>
          </w:p>
        </w:tc>
        <w:tc>
          <w:tcPr>
            <w:tcW w:w="296" w:type="dxa"/>
          </w:tcPr>
          <w:p w14:paraId="53A88247" w14:textId="77777777" w:rsidR="0084489F" w:rsidRDefault="00110FE6">
            <w:pPr>
              <w:pStyle w:val="Compact"/>
            </w:pPr>
            <w:r>
              <w:t>-</w:t>
            </w:r>
          </w:p>
        </w:tc>
        <w:tc>
          <w:tcPr>
            <w:tcW w:w="296" w:type="dxa"/>
          </w:tcPr>
          <w:p w14:paraId="029AC918" w14:textId="77777777" w:rsidR="0084489F" w:rsidRDefault="00110FE6">
            <w:pPr>
              <w:pStyle w:val="Compact"/>
            </w:pPr>
            <w:r>
              <w:t>-</w:t>
            </w:r>
          </w:p>
        </w:tc>
        <w:tc>
          <w:tcPr>
            <w:tcW w:w="296" w:type="dxa"/>
          </w:tcPr>
          <w:p w14:paraId="07215565" w14:textId="77777777" w:rsidR="0084489F" w:rsidRDefault="00110FE6">
            <w:pPr>
              <w:pStyle w:val="Compact"/>
            </w:pPr>
            <w:r>
              <w:t>-</w:t>
            </w:r>
          </w:p>
        </w:tc>
        <w:tc>
          <w:tcPr>
            <w:tcW w:w="5730" w:type="dxa"/>
            <w:gridSpan w:val="5"/>
          </w:tcPr>
          <w:p w14:paraId="24D5B599" w14:textId="77777777" w:rsidR="0084489F" w:rsidRDefault="00110FE6">
            <w:pPr>
              <w:pStyle w:val="Compact"/>
            </w:pPr>
            <w:r>
              <w:rPr>
                <w:rStyle w:val="VerbatimChar"/>
              </w:rPr>
              <w:t>E68_Dissolution</w:t>
            </w:r>
          </w:p>
        </w:tc>
      </w:tr>
      <w:tr w:rsidR="0084489F" w14:paraId="43E179A1" w14:textId="77777777" w:rsidTr="00CC39FB">
        <w:tc>
          <w:tcPr>
            <w:tcW w:w="737" w:type="dxa"/>
          </w:tcPr>
          <w:p w14:paraId="019C8942" w14:textId="77777777" w:rsidR="0084489F" w:rsidRDefault="00110FE6">
            <w:pPr>
              <w:pStyle w:val="Compact"/>
            </w:pPr>
            <w:r>
              <w:t>E69</w:t>
            </w:r>
          </w:p>
        </w:tc>
        <w:tc>
          <w:tcPr>
            <w:tcW w:w="346" w:type="dxa"/>
          </w:tcPr>
          <w:p w14:paraId="6D4A5E53" w14:textId="77777777" w:rsidR="0084489F" w:rsidRDefault="00110FE6">
            <w:pPr>
              <w:pStyle w:val="Compact"/>
            </w:pPr>
            <w:r>
              <w:t>-</w:t>
            </w:r>
          </w:p>
        </w:tc>
        <w:tc>
          <w:tcPr>
            <w:tcW w:w="296" w:type="dxa"/>
          </w:tcPr>
          <w:p w14:paraId="59117C94" w14:textId="77777777" w:rsidR="0084489F" w:rsidRDefault="00110FE6">
            <w:pPr>
              <w:pStyle w:val="Compact"/>
            </w:pPr>
            <w:r>
              <w:t>-</w:t>
            </w:r>
          </w:p>
        </w:tc>
        <w:tc>
          <w:tcPr>
            <w:tcW w:w="296" w:type="dxa"/>
          </w:tcPr>
          <w:p w14:paraId="0EE52AD6" w14:textId="77777777" w:rsidR="0084489F" w:rsidRDefault="00110FE6">
            <w:pPr>
              <w:pStyle w:val="Compact"/>
            </w:pPr>
            <w:r>
              <w:t>-</w:t>
            </w:r>
          </w:p>
        </w:tc>
        <w:tc>
          <w:tcPr>
            <w:tcW w:w="296" w:type="dxa"/>
          </w:tcPr>
          <w:p w14:paraId="08A90AE5" w14:textId="77777777" w:rsidR="0084489F" w:rsidRDefault="00110FE6">
            <w:pPr>
              <w:pStyle w:val="Compact"/>
            </w:pPr>
            <w:r>
              <w:t>-</w:t>
            </w:r>
          </w:p>
        </w:tc>
        <w:tc>
          <w:tcPr>
            <w:tcW w:w="296" w:type="dxa"/>
          </w:tcPr>
          <w:p w14:paraId="58139AAD" w14:textId="77777777" w:rsidR="0084489F" w:rsidRDefault="00110FE6">
            <w:pPr>
              <w:pStyle w:val="Compact"/>
            </w:pPr>
            <w:r>
              <w:t>-</w:t>
            </w:r>
          </w:p>
        </w:tc>
        <w:tc>
          <w:tcPr>
            <w:tcW w:w="5730" w:type="dxa"/>
            <w:gridSpan w:val="5"/>
          </w:tcPr>
          <w:p w14:paraId="0321D47D" w14:textId="77777777" w:rsidR="0084489F" w:rsidRDefault="00110FE6">
            <w:pPr>
              <w:pStyle w:val="Compact"/>
            </w:pPr>
            <w:r>
              <w:rPr>
                <w:rStyle w:val="VerbatimChar"/>
              </w:rPr>
              <w:t>E69_Mort</w:t>
            </w:r>
          </w:p>
        </w:tc>
      </w:tr>
      <w:tr w:rsidR="0084489F" w14:paraId="76DA9DC6" w14:textId="77777777" w:rsidTr="00CC39FB">
        <w:tc>
          <w:tcPr>
            <w:tcW w:w="737" w:type="dxa"/>
          </w:tcPr>
          <w:p w14:paraId="3C03F480" w14:textId="77777777" w:rsidR="0084489F" w:rsidRDefault="00110FE6">
            <w:pPr>
              <w:pStyle w:val="Compact"/>
            </w:pPr>
            <w:r>
              <w:t>E81</w:t>
            </w:r>
          </w:p>
        </w:tc>
        <w:tc>
          <w:tcPr>
            <w:tcW w:w="346" w:type="dxa"/>
          </w:tcPr>
          <w:p w14:paraId="7EC7A943" w14:textId="77777777" w:rsidR="0084489F" w:rsidRDefault="00110FE6">
            <w:pPr>
              <w:pStyle w:val="Compact"/>
            </w:pPr>
            <w:r>
              <w:t>-</w:t>
            </w:r>
          </w:p>
        </w:tc>
        <w:tc>
          <w:tcPr>
            <w:tcW w:w="296" w:type="dxa"/>
          </w:tcPr>
          <w:p w14:paraId="4CB57C94" w14:textId="77777777" w:rsidR="0084489F" w:rsidRDefault="00110FE6">
            <w:pPr>
              <w:pStyle w:val="Compact"/>
            </w:pPr>
            <w:r>
              <w:t>-</w:t>
            </w:r>
          </w:p>
        </w:tc>
        <w:tc>
          <w:tcPr>
            <w:tcW w:w="296" w:type="dxa"/>
          </w:tcPr>
          <w:p w14:paraId="697922BD" w14:textId="77777777" w:rsidR="0084489F" w:rsidRDefault="00110FE6">
            <w:pPr>
              <w:pStyle w:val="Compact"/>
            </w:pPr>
            <w:r>
              <w:t>-</w:t>
            </w:r>
          </w:p>
        </w:tc>
        <w:tc>
          <w:tcPr>
            <w:tcW w:w="296" w:type="dxa"/>
          </w:tcPr>
          <w:p w14:paraId="673698DB" w14:textId="77777777" w:rsidR="0084489F" w:rsidRDefault="00110FE6">
            <w:pPr>
              <w:pStyle w:val="Compact"/>
            </w:pPr>
            <w:r>
              <w:t>-</w:t>
            </w:r>
          </w:p>
        </w:tc>
        <w:tc>
          <w:tcPr>
            <w:tcW w:w="296" w:type="dxa"/>
          </w:tcPr>
          <w:p w14:paraId="3492EE7D" w14:textId="77777777" w:rsidR="0084489F" w:rsidRDefault="00110FE6">
            <w:pPr>
              <w:pStyle w:val="Compact"/>
            </w:pPr>
            <w:r>
              <w:t>-</w:t>
            </w:r>
          </w:p>
        </w:tc>
        <w:tc>
          <w:tcPr>
            <w:tcW w:w="5730" w:type="dxa"/>
            <w:gridSpan w:val="5"/>
          </w:tcPr>
          <w:p w14:paraId="03D3FE97" w14:textId="77777777" w:rsidR="0084489F" w:rsidRDefault="00110FE6">
            <w:pPr>
              <w:pStyle w:val="Compact"/>
            </w:pPr>
            <w:r>
              <w:rPr>
                <w:rStyle w:val="VerbatimChar"/>
                <w:i/>
                <w:iCs/>
              </w:rPr>
              <w:t>E81_Transformation</w:t>
            </w:r>
          </w:p>
        </w:tc>
      </w:tr>
      <w:tr w:rsidR="0084489F" w14:paraId="3AEB3411" w14:textId="77777777" w:rsidTr="00CC39FB">
        <w:tc>
          <w:tcPr>
            <w:tcW w:w="737" w:type="dxa"/>
          </w:tcPr>
          <w:p w14:paraId="3BE3BA9A" w14:textId="77777777" w:rsidR="0084489F" w:rsidRDefault="00110FE6">
            <w:pPr>
              <w:pStyle w:val="Compact"/>
            </w:pPr>
            <w:r>
              <w:t>E77</w:t>
            </w:r>
          </w:p>
        </w:tc>
        <w:tc>
          <w:tcPr>
            <w:tcW w:w="346" w:type="dxa"/>
          </w:tcPr>
          <w:p w14:paraId="2A7A8196" w14:textId="77777777" w:rsidR="0084489F" w:rsidRDefault="00110FE6">
            <w:pPr>
              <w:pStyle w:val="Compact"/>
            </w:pPr>
            <w:r>
              <w:t>-</w:t>
            </w:r>
          </w:p>
        </w:tc>
        <w:tc>
          <w:tcPr>
            <w:tcW w:w="6914" w:type="dxa"/>
            <w:gridSpan w:val="9"/>
          </w:tcPr>
          <w:p w14:paraId="38CA1097" w14:textId="77777777" w:rsidR="0084489F" w:rsidRDefault="00110FE6">
            <w:pPr>
              <w:pStyle w:val="Compact"/>
            </w:pPr>
            <w:r>
              <w:rPr>
                <w:rStyle w:val="VerbatimChar"/>
              </w:rPr>
              <w:t>E77_Entité_persistante</w:t>
            </w:r>
          </w:p>
        </w:tc>
      </w:tr>
      <w:tr w:rsidR="0084489F" w14:paraId="30AD2FD0" w14:textId="77777777" w:rsidTr="00CC39FB">
        <w:tc>
          <w:tcPr>
            <w:tcW w:w="737" w:type="dxa"/>
          </w:tcPr>
          <w:p w14:paraId="6C394764" w14:textId="77777777" w:rsidR="0084489F" w:rsidRDefault="00110FE6">
            <w:pPr>
              <w:pStyle w:val="Compact"/>
            </w:pPr>
            <w:r>
              <w:t>E70</w:t>
            </w:r>
          </w:p>
        </w:tc>
        <w:tc>
          <w:tcPr>
            <w:tcW w:w="346" w:type="dxa"/>
          </w:tcPr>
          <w:p w14:paraId="6C74B1A6" w14:textId="77777777" w:rsidR="0084489F" w:rsidRDefault="00110FE6">
            <w:pPr>
              <w:pStyle w:val="Compact"/>
            </w:pPr>
            <w:r>
              <w:t>-</w:t>
            </w:r>
          </w:p>
        </w:tc>
        <w:tc>
          <w:tcPr>
            <w:tcW w:w="296" w:type="dxa"/>
          </w:tcPr>
          <w:p w14:paraId="53D023EA" w14:textId="77777777" w:rsidR="0084489F" w:rsidRDefault="00110FE6">
            <w:pPr>
              <w:pStyle w:val="Compact"/>
            </w:pPr>
            <w:r>
              <w:t>-</w:t>
            </w:r>
          </w:p>
        </w:tc>
        <w:tc>
          <w:tcPr>
            <w:tcW w:w="6618" w:type="dxa"/>
            <w:gridSpan w:val="8"/>
          </w:tcPr>
          <w:p w14:paraId="72FEB686" w14:textId="77777777" w:rsidR="0084489F" w:rsidRDefault="00110FE6">
            <w:pPr>
              <w:pStyle w:val="Compact"/>
            </w:pPr>
            <w:r>
              <w:rPr>
                <w:rStyle w:val="VerbatimChar"/>
              </w:rPr>
              <w:t>E70_Chose</w:t>
            </w:r>
          </w:p>
        </w:tc>
      </w:tr>
      <w:tr w:rsidR="0084489F" w14:paraId="0E96BFF3" w14:textId="77777777" w:rsidTr="00CC39FB">
        <w:tc>
          <w:tcPr>
            <w:tcW w:w="737" w:type="dxa"/>
          </w:tcPr>
          <w:p w14:paraId="7F0FFF39" w14:textId="77777777" w:rsidR="0084489F" w:rsidRDefault="00110FE6">
            <w:pPr>
              <w:pStyle w:val="Compact"/>
            </w:pPr>
            <w:r>
              <w:t>E72</w:t>
            </w:r>
          </w:p>
        </w:tc>
        <w:tc>
          <w:tcPr>
            <w:tcW w:w="346" w:type="dxa"/>
          </w:tcPr>
          <w:p w14:paraId="23BF248C" w14:textId="77777777" w:rsidR="0084489F" w:rsidRDefault="00110FE6">
            <w:pPr>
              <w:pStyle w:val="Compact"/>
            </w:pPr>
            <w:r>
              <w:t>-</w:t>
            </w:r>
          </w:p>
        </w:tc>
        <w:tc>
          <w:tcPr>
            <w:tcW w:w="296" w:type="dxa"/>
          </w:tcPr>
          <w:p w14:paraId="76E9C5A1" w14:textId="77777777" w:rsidR="0084489F" w:rsidRDefault="00110FE6">
            <w:pPr>
              <w:pStyle w:val="Compact"/>
            </w:pPr>
            <w:r>
              <w:t>-</w:t>
            </w:r>
          </w:p>
        </w:tc>
        <w:tc>
          <w:tcPr>
            <w:tcW w:w="296" w:type="dxa"/>
          </w:tcPr>
          <w:p w14:paraId="014FA93A" w14:textId="77777777" w:rsidR="0084489F" w:rsidRDefault="00110FE6">
            <w:pPr>
              <w:pStyle w:val="Compact"/>
            </w:pPr>
            <w:r>
              <w:t>-</w:t>
            </w:r>
          </w:p>
        </w:tc>
        <w:tc>
          <w:tcPr>
            <w:tcW w:w="6322" w:type="dxa"/>
            <w:gridSpan w:val="7"/>
          </w:tcPr>
          <w:p w14:paraId="681BD3BC" w14:textId="77777777" w:rsidR="0084489F" w:rsidRDefault="00110FE6">
            <w:pPr>
              <w:pStyle w:val="Compact"/>
            </w:pPr>
            <w:r>
              <w:rPr>
                <w:rStyle w:val="VerbatimChar"/>
              </w:rPr>
              <w:t>E72_Objet_juridique</w:t>
            </w:r>
          </w:p>
        </w:tc>
      </w:tr>
      <w:tr w:rsidR="0084489F" w14:paraId="5FFF919B" w14:textId="77777777" w:rsidTr="00CC39FB">
        <w:tc>
          <w:tcPr>
            <w:tcW w:w="737" w:type="dxa"/>
          </w:tcPr>
          <w:p w14:paraId="484E7464" w14:textId="77777777" w:rsidR="0084489F" w:rsidRDefault="00110FE6">
            <w:pPr>
              <w:pStyle w:val="Compact"/>
            </w:pPr>
            <w:r>
              <w:t>E18</w:t>
            </w:r>
          </w:p>
        </w:tc>
        <w:tc>
          <w:tcPr>
            <w:tcW w:w="346" w:type="dxa"/>
          </w:tcPr>
          <w:p w14:paraId="04D3F321" w14:textId="77777777" w:rsidR="0084489F" w:rsidRDefault="00110FE6">
            <w:pPr>
              <w:pStyle w:val="Compact"/>
            </w:pPr>
            <w:r>
              <w:t>-</w:t>
            </w:r>
          </w:p>
        </w:tc>
        <w:tc>
          <w:tcPr>
            <w:tcW w:w="296" w:type="dxa"/>
          </w:tcPr>
          <w:p w14:paraId="5222E173" w14:textId="77777777" w:rsidR="0084489F" w:rsidRDefault="00110FE6">
            <w:pPr>
              <w:pStyle w:val="Compact"/>
            </w:pPr>
            <w:r>
              <w:t>-</w:t>
            </w:r>
          </w:p>
        </w:tc>
        <w:tc>
          <w:tcPr>
            <w:tcW w:w="296" w:type="dxa"/>
          </w:tcPr>
          <w:p w14:paraId="1F2FD5EA" w14:textId="77777777" w:rsidR="0084489F" w:rsidRDefault="00110FE6">
            <w:pPr>
              <w:pStyle w:val="Compact"/>
            </w:pPr>
            <w:r>
              <w:t>-</w:t>
            </w:r>
          </w:p>
        </w:tc>
        <w:tc>
          <w:tcPr>
            <w:tcW w:w="296" w:type="dxa"/>
          </w:tcPr>
          <w:p w14:paraId="092E4362" w14:textId="77777777" w:rsidR="0084489F" w:rsidRDefault="00110FE6">
            <w:pPr>
              <w:pStyle w:val="Compact"/>
            </w:pPr>
            <w:r>
              <w:t>-</w:t>
            </w:r>
          </w:p>
        </w:tc>
        <w:tc>
          <w:tcPr>
            <w:tcW w:w="6026" w:type="dxa"/>
            <w:gridSpan w:val="6"/>
          </w:tcPr>
          <w:p w14:paraId="4EDBC41E" w14:textId="77777777" w:rsidR="0084489F" w:rsidRDefault="00110FE6">
            <w:pPr>
              <w:pStyle w:val="Compact"/>
            </w:pPr>
            <w:r>
              <w:rPr>
                <w:rStyle w:val="VerbatimChar"/>
              </w:rPr>
              <w:t>E18_Chose_matérielle</w:t>
            </w:r>
          </w:p>
        </w:tc>
      </w:tr>
      <w:tr w:rsidR="0084489F" w14:paraId="6CD2D7E3" w14:textId="77777777" w:rsidTr="00CC39FB">
        <w:tc>
          <w:tcPr>
            <w:tcW w:w="737" w:type="dxa"/>
          </w:tcPr>
          <w:p w14:paraId="6A81D7EC" w14:textId="77777777" w:rsidR="0084489F" w:rsidRDefault="00110FE6">
            <w:pPr>
              <w:pStyle w:val="Compact"/>
            </w:pPr>
            <w:r>
              <w:t>E19</w:t>
            </w:r>
          </w:p>
        </w:tc>
        <w:tc>
          <w:tcPr>
            <w:tcW w:w="346" w:type="dxa"/>
          </w:tcPr>
          <w:p w14:paraId="1245792A" w14:textId="77777777" w:rsidR="0084489F" w:rsidRDefault="00110FE6">
            <w:pPr>
              <w:pStyle w:val="Compact"/>
            </w:pPr>
            <w:r>
              <w:t>-</w:t>
            </w:r>
          </w:p>
        </w:tc>
        <w:tc>
          <w:tcPr>
            <w:tcW w:w="296" w:type="dxa"/>
          </w:tcPr>
          <w:p w14:paraId="0E46007A" w14:textId="77777777" w:rsidR="0084489F" w:rsidRDefault="00110FE6">
            <w:pPr>
              <w:pStyle w:val="Compact"/>
            </w:pPr>
            <w:r>
              <w:t>-</w:t>
            </w:r>
          </w:p>
        </w:tc>
        <w:tc>
          <w:tcPr>
            <w:tcW w:w="296" w:type="dxa"/>
          </w:tcPr>
          <w:p w14:paraId="2E8CEEFC" w14:textId="77777777" w:rsidR="0084489F" w:rsidRDefault="00110FE6">
            <w:pPr>
              <w:pStyle w:val="Compact"/>
            </w:pPr>
            <w:r>
              <w:t>-</w:t>
            </w:r>
          </w:p>
        </w:tc>
        <w:tc>
          <w:tcPr>
            <w:tcW w:w="296" w:type="dxa"/>
          </w:tcPr>
          <w:p w14:paraId="6FB908E5" w14:textId="77777777" w:rsidR="0084489F" w:rsidRDefault="00110FE6">
            <w:pPr>
              <w:pStyle w:val="Compact"/>
            </w:pPr>
            <w:r>
              <w:t>-</w:t>
            </w:r>
          </w:p>
        </w:tc>
        <w:tc>
          <w:tcPr>
            <w:tcW w:w="296" w:type="dxa"/>
          </w:tcPr>
          <w:p w14:paraId="289720BE" w14:textId="77777777" w:rsidR="0084489F" w:rsidRDefault="00110FE6">
            <w:pPr>
              <w:pStyle w:val="Compact"/>
            </w:pPr>
            <w:r>
              <w:t>-</w:t>
            </w:r>
          </w:p>
        </w:tc>
        <w:tc>
          <w:tcPr>
            <w:tcW w:w="5730" w:type="dxa"/>
            <w:gridSpan w:val="5"/>
          </w:tcPr>
          <w:p w14:paraId="48CFF410" w14:textId="77777777" w:rsidR="0084489F" w:rsidRDefault="00110FE6">
            <w:pPr>
              <w:pStyle w:val="Compact"/>
            </w:pPr>
            <w:r>
              <w:rPr>
                <w:rStyle w:val="VerbatimChar"/>
              </w:rPr>
              <w:t>E19_Objet_matériel</w:t>
            </w:r>
          </w:p>
        </w:tc>
      </w:tr>
      <w:tr w:rsidR="0084489F" w14:paraId="4D73AE4E" w14:textId="77777777" w:rsidTr="00CC39FB">
        <w:tc>
          <w:tcPr>
            <w:tcW w:w="737" w:type="dxa"/>
          </w:tcPr>
          <w:p w14:paraId="6FB103A4" w14:textId="77777777" w:rsidR="0084489F" w:rsidRDefault="00110FE6">
            <w:pPr>
              <w:pStyle w:val="Compact"/>
            </w:pPr>
            <w:r>
              <w:t>E20</w:t>
            </w:r>
          </w:p>
        </w:tc>
        <w:tc>
          <w:tcPr>
            <w:tcW w:w="346" w:type="dxa"/>
          </w:tcPr>
          <w:p w14:paraId="74E5A53C" w14:textId="77777777" w:rsidR="0084489F" w:rsidRDefault="00110FE6">
            <w:pPr>
              <w:pStyle w:val="Compact"/>
            </w:pPr>
            <w:r>
              <w:t>-</w:t>
            </w:r>
          </w:p>
        </w:tc>
        <w:tc>
          <w:tcPr>
            <w:tcW w:w="296" w:type="dxa"/>
          </w:tcPr>
          <w:p w14:paraId="2900D5FA" w14:textId="77777777" w:rsidR="0084489F" w:rsidRDefault="00110FE6">
            <w:pPr>
              <w:pStyle w:val="Compact"/>
            </w:pPr>
            <w:r>
              <w:t>-</w:t>
            </w:r>
          </w:p>
        </w:tc>
        <w:tc>
          <w:tcPr>
            <w:tcW w:w="296" w:type="dxa"/>
          </w:tcPr>
          <w:p w14:paraId="201D8FF2" w14:textId="77777777" w:rsidR="0084489F" w:rsidRDefault="00110FE6">
            <w:pPr>
              <w:pStyle w:val="Compact"/>
            </w:pPr>
            <w:r>
              <w:t>-</w:t>
            </w:r>
          </w:p>
        </w:tc>
        <w:tc>
          <w:tcPr>
            <w:tcW w:w="296" w:type="dxa"/>
          </w:tcPr>
          <w:p w14:paraId="2927EC44" w14:textId="77777777" w:rsidR="0084489F" w:rsidRDefault="00110FE6">
            <w:pPr>
              <w:pStyle w:val="Compact"/>
            </w:pPr>
            <w:r>
              <w:t>-</w:t>
            </w:r>
          </w:p>
        </w:tc>
        <w:tc>
          <w:tcPr>
            <w:tcW w:w="296" w:type="dxa"/>
          </w:tcPr>
          <w:p w14:paraId="7B9FACC3" w14:textId="77777777" w:rsidR="0084489F" w:rsidRDefault="00110FE6">
            <w:pPr>
              <w:pStyle w:val="Compact"/>
            </w:pPr>
            <w:r>
              <w:t>-</w:t>
            </w:r>
          </w:p>
        </w:tc>
        <w:tc>
          <w:tcPr>
            <w:tcW w:w="554" w:type="dxa"/>
          </w:tcPr>
          <w:p w14:paraId="37B3C0A8" w14:textId="77777777" w:rsidR="0084489F" w:rsidRDefault="00110FE6">
            <w:pPr>
              <w:pStyle w:val="Compact"/>
            </w:pPr>
            <w:r>
              <w:t>-</w:t>
            </w:r>
          </w:p>
        </w:tc>
        <w:tc>
          <w:tcPr>
            <w:tcW w:w="5176" w:type="dxa"/>
            <w:gridSpan w:val="4"/>
          </w:tcPr>
          <w:p w14:paraId="05F2C4C7" w14:textId="77777777" w:rsidR="0084489F" w:rsidRDefault="00110FE6">
            <w:pPr>
              <w:pStyle w:val="Compact"/>
            </w:pPr>
            <w:r>
              <w:rPr>
                <w:rStyle w:val="VerbatimChar"/>
              </w:rPr>
              <w:t>E20_Objet_biologique</w:t>
            </w:r>
          </w:p>
        </w:tc>
      </w:tr>
      <w:tr w:rsidR="0084489F" w14:paraId="2CBE0971" w14:textId="77777777" w:rsidTr="00CC39FB">
        <w:tc>
          <w:tcPr>
            <w:tcW w:w="737" w:type="dxa"/>
          </w:tcPr>
          <w:p w14:paraId="69F2C006" w14:textId="77777777" w:rsidR="0084489F" w:rsidRDefault="00110FE6">
            <w:pPr>
              <w:pStyle w:val="Compact"/>
            </w:pPr>
            <w:r>
              <w:t>E21</w:t>
            </w:r>
          </w:p>
        </w:tc>
        <w:tc>
          <w:tcPr>
            <w:tcW w:w="346" w:type="dxa"/>
          </w:tcPr>
          <w:p w14:paraId="20BD9048" w14:textId="77777777" w:rsidR="0084489F" w:rsidRDefault="00110FE6">
            <w:pPr>
              <w:pStyle w:val="Compact"/>
            </w:pPr>
            <w:r>
              <w:t>-</w:t>
            </w:r>
          </w:p>
        </w:tc>
        <w:tc>
          <w:tcPr>
            <w:tcW w:w="296" w:type="dxa"/>
          </w:tcPr>
          <w:p w14:paraId="2354D56D" w14:textId="77777777" w:rsidR="0084489F" w:rsidRDefault="00110FE6">
            <w:pPr>
              <w:pStyle w:val="Compact"/>
            </w:pPr>
            <w:r>
              <w:t>-</w:t>
            </w:r>
          </w:p>
        </w:tc>
        <w:tc>
          <w:tcPr>
            <w:tcW w:w="296" w:type="dxa"/>
          </w:tcPr>
          <w:p w14:paraId="088C8414" w14:textId="77777777" w:rsidR="0084489F" w:rsidRDefault="00110FE6">
            <w:pPr>
              <w:pStyle w:val="Compact"/>
            </w:pPr>
            <w:r>
              <w:t>-</w:t>
            </w:r>
          </w:p>
        </w:tc>
        <w:tc>
          <w:tcPr>
            <w:tcW w:w="296" w:type="dxa"/>
          </w:tcPr>
          <w:p w14:paraId="11B39FB4" w14:textId="77777777" w:rsidR="0084489F" w:rsidRDefault="00110FE6">
            <w:pPr>
              <w:pStyle w:val="Compact"/>
            </w:pPr>
            <w:r>
              <w:t>-</w:t>
            </w:r>
          </w:p>
        </w:tc>
        <w:tc>
          <w:tcPr>
            <w:tcW w:w="296" w:type="dxa"/>
          </w:tcPr>
          <w:p w14:paraId="330264DA" w14:textId="77777777" w:rsidR="0084489F" w:rsidRDefault="00110FE6">
            <w:pPr>
              <w:pStyle w:val="Compact"/>
            </w:pPr>
            <w:r>
              <w:t>-</w:t>
            </w:r>
          </w:p>
        </w:tc>
        <w:tc>
          <w:tcPr>
            <w:tcW w:w="554" w:type="dxa"/>
          </w:tcPr>
          <w:p w14:paraId="7DE3DC54" w14:textId="77777777" w:rsidR="0084489F" w:rsidRDefault="00110FE6">
            <w:pPr>
              <w:pStyle w:val="Compact"/>
            </w:pPr>
            <w:r>
              <w:t>-</w:t>
            </w:r>
          </w:p>
        </w:tc>
        <w:tc>
          <w:tcPr>
            <w:tcW w:w="755" w:type="dxa"/>
          </w:tcPr>
          <w:p w14:paraId="29887A41" w14:textId="77777777" w:rsidR="0084489F" w:rsidRDefault="00110FE6">
            <w:pPr>
              <w:pStyle w:val="Compact"/>
            </w:pPr>
            <w:r>
              <w:t>-</w:t>
            </w:r>
          </w:p>
        </w:tc>
        <w:tc>
          <w:tcPr>
            <w:tcW w:w="4421" w:type="dxa"/>
            <w:gridSpan w:val="3"/>
          </w:tcPr>
          <w:p w14:paraId="73C6CD47" w14:textId="77777777" w:rsidR="0084489F" w:rsidRDefault="00110FE6">
            <w:pPr>
              <w:pStyle w:val="Compact"/>
            </w:pPr>
            <w:r>
              <w:rPr>
                <w:rStyle w:val="VerbatimChar"/>
              </w:rPr>
              <w:t>E21_Personne</w:t>
            </w:r>
          </w:p>
        </w:tc>
      </w:tr>
      <w:tr w:rsidR="0084489F" w14:paraId="487C1F63" w14:textId="77777777" w:rsidTr="00CC39FB">
        <w:tc>
          <w:tcPr>
            <w:tcW w:w="737" w:type="dxa"/>
          </w:tcPr>
          <w:p w14:paraId="117CF637" w14:textId="77777777" w:rsidR="0084489F" w:rsidRDefault="00110FE6">
            <w:pPr>
              <w:pStyle w:val="Compact"/>
            </w:pPr>
            <w:r>
              <w:t>E22</w:t>
            </w:r>
          </w:p>
        </w:tc>
        <w:tc>
          <w:tcPr>
            <w:tcW w:w="346" w:type="dxa"/>
          </w:tcPr>
          <w:p w14:paraId="01FE5E5F" w14:textId="77777777" w:rsidR="0084489F" w:rsidRDefault="00110FE6">
            <w:pPr>
              <w:pStyle w:val="Compact"/>
            </w:pPr>
            <w:r>
              <w:t>-</w:t>
            </w:r>
          </w:p>
        </w:tc>
        <w:tc>
          <w:tcPr>
            <w:tcW w:w="296" w:type="dxa"/>
          </w:tcPr>
          <w:p w14:paraId="16771371" w14:textId="77777777" w:rsidR="0084489F" w:rsidRDefault="00110FE6">
            <w:pPr>
              <w:pStyle w:val="Compact"/>
            </w:pPr>
            <w:r>
              <w:t>-</w:t>
            </w:r>
          </w:p>
        </w:tc>
        <w:tc>
          <w:tcPr>
            <w:tcW w:w="296" w:type="dxa"/>
          </w:tcPr>
          <w:p w14:paraId="7131A0FB" w14:textId="77777777" w:rsidR="0084489F" w:rsidRDefault="00110FE6">
            <w:pPr>
              <w:pStyle w:val="Compact"/>
            </w:pPr>
            <w:r>
              <w:t>-</w:t>
            </w:r>
          </w:p>
        </w:tc>
        <w:tc>
          <w:tcPr>
            <w:tcW w:w="296" w:type="dxa"/>
          </w:tcPr>
          <w:p w14:paraId="17F9A03E" w14:textId="77777777" w:rsidR="0084489F" w:rsidRDefault="00110FE6">
            <w:pPr>
              <w:pStyle w:val="Compact"/>
            </w:pPr>
            <w:r>
              <w:t>-</w:t>
            </w:r>
          </w:p>
        </w:tc>
        <w:tc>
          <w:tcPr>
            <w:tcW w:w="296" w:type="dxa"/>
          </w:tcPr>
          <w:p w14:paraId="5E852318" w14:textId="77777777" w:rsidR="0084489F" w:rsidRDefault="00110FE6">
            <w:pPr>
              <w:pStyle w:val="Compact"/>
            </w:pPr>
            <w:r>
              <w:t>-</w:t>
            </w:r>
          </w:p>
        </w:tc>
        <w:tc>
          <w:tcPr>
            <w:tcW w:w="554" w:type="dxa"/>
          </w:tcPr>
          <w:p w14:paraId="34A02EE1" w14:textId="77777777" w:rsidR="0084489F" w:rsidRDefault="00110FE6">
            <w:pPr>
              <w:pStyle w:val="Compact"/>
            </w:pPr>
            <w:r>
              <w:t>-</w:t>
            </w:r>
          </w:p>
        </w:tc>
        <w:tc>
          <w:tcPr>
            <w:tcW w:w="5176" w:type="dxa"/>
            <w:gridSpan w:val="4"/>
          </w:tcPr>
          <w:p w14:paraId="00333B71" w14:textId="77777777" w:rsidR="0084489F" w:rsidRDefault="00110FE6">
            <w:pPr>
              <w:pStyle w:val="Compact"/>
            </w:pPr>
            <w:r>
              <w:rPr>
                <w:rStyle w:val="VerbatimChar"/>
              </w:rPr>
              <w:t>E22_Objet_élaboré_par_l’humain</w:t>
            </w:r>
          </w:p>
        </w:tc>
      </w:tr>
      <w:tr w:rsidR="0084489F" w14:paraId="0E7CE096" w14:textId="77777777" w:rsidTr="00CC39FB">
        <w:tc>
          <w:tcPr>
            <w:tcW w:w="737" w:type="dxa"/>
          </w:tcPr>
          <w:p w14:paraId="5CCD01CA" w14:textId="77777777" w:rsidR="0084489F" w:rsidRDefault="00110FE6">
            <w:pPr>
              <w:pStyle w:val="Compact"/>
            </w:pPr>
            <w:r>
              <w:t>E24</w:t>
            </w:r>
          </w:p>
        </w:tc>
        <w:tc>
          <w:tcPr>
            <w:tcW w:w="346" w:type="dxa"/>
          </w:tcPr>
          <w:p w14:paraId="3FCA8F07" w14:textId="77777777" w:rsidR="0084489F" w:rsidRDefault="00110FE6">
            <w:pPr>
              <w:pStyle w:val="Compact"/>
            </w:pPr>
            <w:r>
              <w:t>-</w:t>
            </w:r>
          </w:p>
        </w:tc>
        <w:tc>
          <w:tcPr>
            <w:tcW w:w="296" w:type="dxa"/>
          </w:tcPr>
          <w:p w14:paraId="58DDE7EB" w14:textId="77777777" w:rsidR="0084489F" w:rsidRDefault="00110FE6">
            <w:pPr>
              <w:pStyle w:val="Compact"/>
            </w:pPr>
            <w:r>
              <w:t>-</w:t>
            </w:r>
          </w:p>
        </w:tc>
        <w:tc>
          <w:tcPr>
            <w:tcW w:w="296" w:type="dxa"/>
          </w:tcPr>
          <w:p w14:paraId="5416FD2F" w14:textId="77777777" w:rsidR="0084489F" w:rsidRDefault="00110FE6">
            <w:pPr>
              <w:pStyle w:val="Compact"/>
            </w:pPr>
            <w:r>
              <w:t>-</w:t>
            </w:r>
          </w:p>
        </w:tc>
        <w:tc>
          <w:tcPr>
            <w:tcW w:w="296" w:type="dxa"/>
          </w:tcPr>
          <w:p w14:paraId="10FBD39C" w14:textId="77777777" w:rsidR="0084489F" w:rsidRDefault="00110FE6">
            <w:pPr>
              <w:pStyle w:val="Compact"/>
            </w:pPr>
            <w:r>
              <w:t>-</w:t>
            </w:r>
          </w:p>
        </w:tc>
        <w:tc>
          <w:tcPr>
            <w:tcW w:w="296" w:type="dxa"/>
          </w:tcPr>
          <w:p w14:paraId="27F1D1DA" w14:textId="77777777" w:rsidR="0084489F" w:rsidRDefault="00110FE6">
            <w:pPr>
              <w:pStyle w:val="Compact"/>
            </w:pPr>
            <w:r>
              <w:t>-</w:t>
            </w:r>
          </w:p>
        </w:tc>
        <w:tc>
          <w:tcPr>
            <w:tcW w:w="5730" w:type="dxa"/>
            <w:gridSpan w:val="5"/>
          </w:tcPr>
          <w:p w14:paraId="030C6B4B" w14:textId="77777777" w:rsidR="0084489F" w:rsidRDefault="00110FE6">
            <w:pPr>
              <w:pStyle w:val="Compact"/>
            </w:pPr>
            <w:r>
              <w:rPr>
                <w:rStyle w:val="VerbatimChar"/>
              </w:rPr>
              <w:t>E24_Chose_matérielle_élaborée_par_l’humain</w:t>
            </w:r>
          </w:p>
        </w:tc>
      </w:tr>
      <w:tr w:rsidR="0084489F" w14:paraId="53B7679B" w14:textId="77777777" w:rsidTr="00CC39FB">
        <w:tc>
          <w:tcPr>
            <w:tcW w:w="737" w:type="dxa"/>
          </w:tcPr>
          <w:p w14:paraId="67C080C8" w14:textId="77777777" w:rsidR="0084489F" w:rsidRDefault="00110FE6">
            <w:pPr>
              <w:pStyle w:val="Compact"/>
            </w:pPr>
            <w:r>
              <w:lastRenderedPageBreak/>
              <w:t>E22</w:t>
            </w:r>
          </w:p>
        </w:tc>
        <w:tc>
          <w:tcPr>
            <w:tcW w:w="346" w:type="dxa"/>
          </w:tcPr>
          <w:p w14:paraId="5F196287" w14:textId="77777777" w:rsidR="0084489F" w:rsidRDefault="00110FE6">
            <w:pPr>
              <w:pStyle w:val="Compact"/>
            </w:pPr>
            <w:r>
              <w:t>-</w:t>
            </w:r>
          </w:p>
        </w:tc>
        <w:tc>
          <w:tcPr>
            <w:tcW w:w="296" w:type="dxa"/>
          </w:tcPr>
          <w:p w14:paraId="6BE5C821" w14:textId="77777777" w:rsidR="0084489F" w:rsidRDefault="00110FE6">
            <w:pPr>
              <w:pStyle w:val="Compact"/>
            </w:pPr>
            <w:r>
              <w:t>-</w:t>
            </w:r>
          </w:p>
        </w:tc>
        <w:tc>
          <w:tcPr>
            <w:tcW w:w="296" w:type="dxa"/>
          </w:tcPr>
          <w:p w14:paraId="693B9A30" w14:textId="77777777" w:rsidR="0084489F" w:rsidRDefault="00110FE6">
            <w:pPr>
              <w:pStyle w:val="Compact"/>
            </w:pPr>
            <w:r>
              <w:t>-</w:t>
            </w:r>
          </w:p>
        </w:tc>
        <w:tc>
          <w:tcPr>
            <w:tcW w:w="296" w:type="dxa"/>
          </w:tcPr>
          <w:p w14:paraId="2E971B8D" w14:textId="77777777" w:rsidR="0084489F" w:rsidRDefault="00110FE6">
            <w:pPr>
              <w:pStyle w:val="Compact"/>
            </w:pPr>
            <w:r>
              <w:t>-</w:t>
            </w:r>
          </w:p>
        </w:tc>
        <w:tc>
          <w:tcPr>
            <w:tcW w:w="296" w:type="dxa"/>
          </w:tcPr>
          <w:p w14:paraId="7608AA37" w14:textId="77777777" w:rsidR="0084489F" w:rsidRDefault="00110FE6">
            <w:pPr>
              <w:pStyle w:val="Compact"/>
            </w:pPr>
            <w:r>
              <w:t>-</w:t>
            </w:r>
          </w:p>
        </w:tc>
        <w:tc>
          <w:tcPr>
            <w:tcW w:w="554" w:type="dxa"/>
          </w:tcPr>
          <w:p w14:paraId="4576F073" w14:textId="77777777" w:rsidR="0084489F" w:rsidRDefault="00110FE6">
            <w:pPr>
              <w:pStyle w:val="Compact"/>
            </w:pPr>
            <w:r>
              <w:t>-</w:t>
            </w:r>
          </w:p>
        </w:tc>
        <w:tc>
          <w:tcPr>
            <w:tcW w:w="5176" w:type="dxa"/>
            <w:gridSpan w:val="4"/>
          </w:tcPr>
          <w:p w14:paraId="7EF337FA" w14:textId="77777777" w:rsidR="0084489F" w:rsidRDefault="00110FE6">
            <w:pPr>
              <w:pStyle w:val="Compact"/>
            </w:pPr>
            <w:r>
              <w:rPr>
                <w:rStyle w:val="VerbatimChar"/>
                <w:i/>
                <w:iCs/>
              </w:rPr>
              <w:t>E22_Objet_élaboré_par_l’humain</w:t>
            </w:r>
          </w:p>
        </w:tc>
      </w:tr>
      <w:tr w:rsidR="0084489F" w14:paraId="013F87F6" w14:textId="77777777" w:rsidTr="00CC39FB">
        <w:tc>
          <w:tcPr>
            <w:tcW w:w="737" w:type="dxa"/>
          </w:tcPr>
          <w:p w14:paraId="3E0E93D4" w14:textId="77777777" w:rsidR="0084489F" w:rsidRDefault="00110FE6">
            <w:pPr>
              <w:pStyle w:val="Compact"/>
            </w:pPr>
            <w:r>
              <w:t>E25</w:t>
            </w:r>
          </w:p>
        </w:tc>
        <w:tc>
          <w:tcPr>
            <w:tcW w:w="346" w:type="dxa"/>
          </w:tcPr>
          <w:p w14:paraId="504A02C8" w14:textId="77777777" w:rsidR="0084489F" w:rsidRDefault="00110FE6">
            <w:pPr>
              <w:pStyle w:val="Compact"/>
            </w:pPr>
            <w:r>
              <w:t>-</w:t>
            </w:r>
          </w:p>
        </w:tc>
        <w:tc>
          <w:tcPr>
            <w:tcW w:w="296" w:type="dxa"/>
          </w:tcPr>
          <w:p w14:paraId="42599988" w14:textId="77777777" w:rsidR="0084489F" w:rsidRDefault="00110FE6">
            <w:pPr>
              <w:pStyle w:val="Compact"/>
            </w:pPr>
            <w:r>
              <w:t>-</w:t>
            </w:r>
          </w:p>
        </w:tc>
        <w:tc>
          <w:tcPr>
            <w:tcW w:w="296" w:type="dxa"/>
          </w:tcPr>
          <w:p w14:paraId="0263DF4F" w14:textId="77777777" w:rsidR="0084489F" w:rsidRDefault="00110FE6">
            <w:pPr>
              <w:pStyle w:val="Compact"/>
            </w:pPr>
            <w:r>
              <w:t>-</w:t>
            </w:r>
          </w:p>
        </w:tc>
        <w:tc>
          <w:tcPr>
            <w:tcW w:w="296" w:type="dxa"/>
          </w:tcPr>
          <w:p w14:paraId="4C7A9890" w14:textId="77777777" w:rsidR="0084489F" w:rsidRDefault="00110FE6">
            <w:pPr>
              <w:pStyle w:val="Compact"/>
            </w:pPr>
            <w:r>
              <w:t>-</w:t>
            </w:r>
          </w:p>
        </w:tc>
        <w:tc>
          <w:tcPr>
            <w:tcW w:w="296" w:type="dxa"/>
          </w:tcPr>
          <w:p w14:paraId="163BB55E" w14:textId="77777777" w:rsidR="0084489F" w:rsidRDefault="00110FE6">
            <w:pPr>
              <w:pStyle w:val="Compact"/>
            </w:pPr>
            <w:r>
              <w:t>-</w:t>
            </w:r>
          </w:p>
        </w:tc>
        <w:tc>
          <w:tcPr>
            <w:tcW w:w="554" w:type="dxa"/>
          </w:tcPr>
          <w:p w14:paraId="0BA99498" w14:textId="77777777" w:rsidR="0084489F" w:rsidRDefault="00110FE6">
            <w:pPr>
              <w:pStyle w:val="Compact"/>
            </w:pPr>
            <w:r>
              <w:t>-</w:t>
            </w:r>
          </w:p>
        </w:tc>
        <w:tc>
          <w:tcPr>
            <w:tcW w:w="5176" w:type="dxa"/>
            <w:gridSpan w:val="4"/>
          </w:tcPr>
          <w:p w14:paraId="03B63C9A" w14:textId="77777777" w:rsidR="0084489F" w:rsidRDefault="00110FE6">
            <w:pPr>
              <w:pStyle w:val="Compact"/>
            </w:pPr>
            <w:r>
              <w:rPr>
                <w:rStyle w:val="VerbatimChar"/>
              </w:rPr>
              <w:t>E25_Caractéristique_élaborée_par_l’humain</w:t>
            </w:r>
          </w:p>
        </w:tc>
      </w:tr>
      <w:tr w:rsidR="0084489F" w14:paraId="60DFD61B" w14:textId="77777777" w:rsidTr="00CC39FB">
        <w:tc>
          <w:tcPr>
            <w:tcW w:w="737" w:type="dxa"/>
          </w:tcPr>
          <w:p w14:paraId="7D4F9BB1" w14:textId="77777777" w:rsidR="0084489F" w:rsidRDefault="00110FE6">
            <w:pPr>
              <w:pStyle w:val="Compact"/>
            </w:pPr>
            <w:r>
              <w:t>E78</w:t>
            </w:r>
          </w:p>
        </w:tc>
        <w:tc>
          <w:tcPr>
            <w:tcW w:w="346" w:type="dxa"/>
          </w:tcPr>
          <w:p w14:paraId="7214BF66" w14:textId="77777777" w:rsidR="0084489F" w:rsidRDefault="00110FE6">
            <w:pPr>
              <w:pStyle w:val="Compact"/>
            </w:pPr>
            <w:r>
              <w:t>-</w:t>
            </w:r>
          </w:p>
        </w:tc>
        <w:tc>
          <w:tcPr>
            <w:tcW w:w="296" w:type="dxa"/>
          </w:tcPr>
          <w:p w14:paraId="20FF993A" w14:textId="77777777" w:rsidR="0084489F" w:rsidRDefault="00110FE6">
            <w:pPr>
              <w:pStyle w:val="Compact"/>
            </w:pPr>
            <w:r>
              <w:t>-</w:t>
            </w:r>
          </w:p>
        </w:tc>
        <w:tc>
          <w:tcPr>
            <w:tcW w:w="296" w:type="dxa"/>
          </w:tcPr>
          <w:p w14:paraId="08A61293" w14:textId="77777777" w:rsidR="0084489F" w:rsidRDefault="00110FE6">
            <w:pPr>
              <w:pStyle w:val="Compact"/>
            </w:pPr>
            <w:r>
              <w:t>-</w:t>
            </w:r>
          </w:p>
        </w:tc>
        <w:tc>
          <w:tcPr>
            <w:tcW w:w="296" w:type="dxa"/>
          </w:tcPr>
          <w:p w14:paraId="66235656" w14:textId="77777777" w:rsidR="0084489F" w:rsidRDefault="00110FE6">
            <w:pPr>
              <w:pStyle w:val="Compact"/>
            </w:pPr>
            <w:r>
              <w:t>-</w:t>
            </w:r>
          </w:p>
        </w:tc>
        <w:tc>
          <w:tcPr>
            <w:tcW w:w="296" w:type="dxa"/>
          </w:tcPr>
          <w:p w14:paraId="74B3FF46" w14:textId="77777777" w:rsidR="0084489F" w:rsidRDefault="00110FE6">
            <w:pPr>
              <w:pStyle w:val="Compact"/>
            </w:pPr>
            <w:r>
              <w:t>-</w:t>
            </w:r>
          </w:p>
        </w:tc>
        <w:tc>
          <w:tcPr>
            <w:tcW w:w="554" w:type="dxa"/>
          </w:tcPr>
          <w:p w14:paraId="38551F0F" w14:textId="77777777" w:rsidR="0084489F" w:rsidRDefault="00110FE6">
            <w:pPr>
              <w:pStyle w:val="Compact"/>
            </w:pPr>
            <w:r>
              <w:t>-</w:t>
            </w:r>
          </w:p>
        </w:tc>
        <w:tc>
          <w:tcPr>
            <w:tcW w:w="5176" w:type="dxa"/>
            <w:gridSpan w:val="4"/>
          </w:tcPr>
          <w:p w14:paraId="34955B64" w14:textId="77777777" w:rsidR="0084489F" w:rsidRDefault="00110FE6">
            <w:pPr>
              <w:pStyle w:val="Compact"/>
            </w:pPr>
            <w:r>
              <w:rPr>
                <w:rStyle w:val="VerbatimChar"/>
              </w:rPr>
              <w:t>E78_Collection</w:t>
            </w:r>
          </w:p>
        </w:tc>
      </w:tr>
      <w:tr w:rsidR="0084489F" w14:paraId="0E25E6AE" w14:textId="77777777" w:rsidTr="00CC39FB">
        <w:tc>
          <w:tcPr>
            <w:tcW w:w="737" w:type="dxa"/>
          </w:tcPr>
          <w:p w14:paraId="0625AE4B" w14:textId="77777777" w:rsidR="0084489F" w:rsidRDefault="00110FE6">
            <w:pPr>
              <w:pStyle w:val="Compact"/>
            </w:pPr>
            <w:r>
              <w:t>E26</w:t>
            </w:r>
          </w:p>
        </w:tc>
        <w:tc>
          <w:tcPr>
            <w:tcW w:w="346" w:type="dxa"/>
          </w:tcPr>
          <w:p w14:paraId="6E9C169C" w14:textId="77777777" w:rsidR="0084489F" w:rsidRDefault="00110FE6">
            <w:pPr>
              <w:pStyle w:val="Compact"/>
            </w:pPr>
            <w:r>
              <w:t>-</w:t>
            </w:r>
          </w:p>
        </w:tc>
        <w:tc>
          <w:tcPr>
            <w:tcW w:w="296" w:type="dxa"/>
          </w:tcPr>
          <w:p w14:paraId="751C54AE" w14:textId="77777777" w:rsidR="0084489F" w:rsidRDefault="00110FE6">
            <w:pPr>
              <w:pStyle w:val="Compact"/>
            </w:pPr>
            <w:r>
              <w:t>-</w:t>
            </w:r>
          </w:p>
        </w:tc>
        <w:tc>
          <w:tcPr>
            <w:tcW w:w="296" w:type="dxa"/>
          </w:tcPr>
          <w:p w14:paraId="5AE99AB5" w14:textId="77777777" w:rsidR="0084489F" w:rsidRDefault="00110FE6">
            <w:pPr>
              <w:pStyle w:val="Compact"/>
            </w:pPr>
            <w:r>
              <w:t>-</w:t>
            </w:r>
          </w:p>
        </w:tc>
        <w:tc>
          <w:tcPr>
            <w:tcW w:w="296" w:type="dxa"/>
          </w:tcPr>
          <w:p w14:paraId="4EE10990" w14:textId="77777777" w:rsidR="0084489F" w:rsidRDefault="00110FE6">
            <w:pPr>
              <w:pStyle w:val="Compact"/>
            </w:pPr>
            <w:r>
              <w:t>-</w:t>
            </w:r>
          </w:p>
        </w:tc>
        <w:tc>
          <w:tcPr>
            <w:tcW w:w="296" w:type="dxa"/>
          </w:tcPr>
          <w:p w14:paraId="2A38C429" w14:textId="77777777" w:rsidR="0084489F" w:rsidRDefault="00110FE6">
            <w:pPr>
              <w:pStyle w:val="Compact"/>
            </w:pPr>
            <w:r>
              <w:t>-</w:t>
            </w:r>
          </w:p>
        </w:tc>
        <w:tc>
          <w:tcPr>
            <w:tcW w:w="5730" w:type="dxa"/>
            <w:gridSpan w:val="5"/>
          </w:tcPr>
          <w:p w14:paraId="5ECA337B" w14:textId="77777777" w:rsidR="0084489F" w:rsidRDefault="00110FE6">
            <w:pPr>
              <w:pStyle w:val="Compact"/>
            </w:pPr>
            <w:r>
              <w:rPr>
                <w:rStyle w:val="VerbatimChar"/>
              </w:rPr>
              <w:t>E26_Caractéristique_physique</w:t>
            </w:r>
          </w:p>
        </w:tc>
      </w:tr>
      <w:tr w:rsidR="0084489F" w14:paraId="375EE7E1" w14:textId="77777777" w:rsidTr="00CC39FB">
        <w:tc>
          <w:tcPr>
            <w:tcW w:w="737" w:type="dxa"/>
          </w:tcPr>
          <w:p w14:paraId="5F0F5163" w14:textId="77777777" w:rsidR="0084489F" w:rsidRDefault="00110FE6">
            <w:pPr>
              <w:pStyle w:val="Compact"/>
            </w:pPr>
            <w:r>
              <w:t>E27</w:t>
            </w:r>
          </w:p>
        </w:tc>
        <w:tc>
          <w:tcPr>
            <w:tcW w:w="346" w:type="dxa"/>
          </w:tcPr>
          <w:p w14:paraId="69B23B4C" w14:textId="77777777" w:rsidR="0084489F" w:rsidRDefault="00110FE6">
            <w:pPr>
              <w:pStyle w:val="Compact"/>
            </w:pPr>
            <w:r>
              <w:t>-</w:t>
            </w:r>
          </w:p>
        </w:tc>
        <w:tc>
          <w:tcPr>
            <w:tcW w:w="296" w:type="dxa"/>
          </w:tcPr>
          <w:p w14:paraId="7599C7DF" w14:textId="77777777" w:rsidR="0084489F" w:rsidRDefault="00110FE6">
            <w:pPr>
              <w:pStyle w:val="Compact"/>
            </w:pPr>
            <w:r>
              <w:t>-</w:t>
            </w:r>
          </w:p>
        </w:tc>
        <w:tc>
          <w:tcPr>
            <w:tcW w:w="296" w:type="dxa"/>
          </w:tcPr>
          <w:p w14:paraId="27959A1E" w14:textId="77777777" w:rsidR="0084489F" w:rsidRDefault="00110FE6">
            <w:pPr>
              <w:pStyle w:val="Compact"/>
            </w:pPr>
            <w:r>
              <w:t>-</w:t>
            </w:r>
          </w:p>
        </w:tc>
        <w:tc>
          <w:tcPr>
            <w:tcW w:w="296" w:type="dxa"/>
          </w:tcPr>
          <w:p w14:paraId="31463E27" w14:textId="77777777" w:rsidR="0084489F" w:rsidRDefault="00110FE6">
            <w:pPr>
              <w:pStyle w:val="Compact"/>
            </w:pPr>
            <w:r>
              <w:t>-</w:t>
            </w:r>
          </w:p>
        </w:tc>
        <w:tc>
          <w:tcPr>
            <w:tcW w:w="296" w:type="dxa"/>
          </w:tcPr>
          <w:p w14:paraId="6ECB1C0E" w14:textId="77777777" w:rsidR="0084489F" w:rsidRDefault="00110FE6">
            <w:pPr>
              <w:pStyle w:val="Compact"/>
            </w:pPr>
            <w:r>
              <w:t>-</w:t>
            </w:r>
          </w:p>
        </w:tc>
        <w:tc>
          <w:tcPr>
            <w:tcW w:w="554" w:type="dxa"/>
          </w:tcPr>
          <w:p w14:paraId="010046A4" w14:textId="77777777" w:rsidR="0084489F" w:rsidRDefault="00110FE6">
            <w:pPr>
              <w:pStyle w:val="Compact"/>
            </w:pPr>
            <w:r>
              <w:t>-</w:t>
            </w:r>
          </w:p>
        </w:tc>
        <w:tc>
          <w:tcPr>
            <w:tcW w:w="5176" w:type="dxa"/>
            <w:gridSpan w:val="4"/>
          </w:tcPr>
          <w:p w14:paraId="02A2B74E" w14:textId="77777777" w:rsidR="0084489F" w:rsidRDefault="00110FE6">
            <w:pPr>
              <w:pStyle w:val="Compact"/>
            </w:pPr>
            <w:r>
              <w:rPr>
                <w:rStyle w:val="VerbatimChar"/>
              </w:rPr>
              <w:t>E27_Site</w:t>
            </w:r>
          </w:p>
        </w:tc>
      </w:tr>
      <w:tr w:rsidR="0084489F" w14:paraId="7AFF86DF" w14:textId="77777777" w:rsidTr="00CC39FB">
        <w:tc>
          <w:tcPr>
            <w:tcW w:w="737" w:type="dxa"/>
          </w:tcPr>
          <w:p w14:paraId="4EF27F16" w14:textId="77777777" w:rsidR="0084489F" w:rsidRDefault="00110FE6">
            <w:pPr>
              <w:pStyle w:val="Compact"/>
            </w:pPr>
            <w:r>
              <w:t>E25</w:t>
            </w:r>
          </w:p>
        </w:tc>
        <w:tc>
          <w:tcPr>
            <w:tcW w:w="346" w:type="dxa"/>
          </w:tcPr>
          <w:p w14:paraId="48024024" w14:textId="77777777" w:rsidR="0084489F" w:rsidRDefault="00110FE6">
            <w:pPr>
              <w:pStyle w:val="Compact"/>
            </w:pPr>
            <w:r>
              <w:t>-</w:t>
            </w:r>
          </w:p>
        </w:tc>
        <w:tc>
          <w:tcPr>
            <w:tcW w:w="296" w:type="dxa"/>
          </w:tcPr>
          <w:p w14:paraId="1963740E" w14:textId="77777777" w:rsidR="0084489F" w:rsidRDefault="00110FE6">
            <w:pPr>
              <w:pStyle w:val="Compact"/>
            </w:pPr>
            <w:r>
              <w:t>-</w:t>
            </w:r>
          </w:p>
        </w:tc>
        <w:tc>
          <w:tcPr>
            <w:tcW w:w="296" w:type="dxa"/>
          </w:tcPr>
          <w:p w14:paraId="176801CC" w14:textId="77777777" w:rsidR="0084489F" w:rsidRDefault="00110FE6">
            <w:pPr>
              <w:pStyle w:val="Compact"/>
            </w:pPr>
            <w:r>
              <w:t>-</w:t>
            </w:r>
          </w:p>
        </w:tc>
        <w:tc>
          <w:tcPr>
            <w:tcW w:w="296" w:type="dxa"/>
          </w:tcPr>
          <w:p w14:paraId="0C19B83E" w14:textId="77777777" w:rsidR="0084489F" w:rsidRDefault="00110FE6">
            <w:pPr>
              <w:pStyle w:val="Compact"/>
            </w:pPr>
            <w:r>
              <w:t>-</w:t>
            </w:r>
          </w:p>
        </w:tc>
        <w:tc>
          <w:tcPr>
            <w:tcW w:w="296" w:type="dxa"/>
          </w:tcPr>
          <w:p w14:paraId="51BDE0CA" w14:textId="77777777" w:rsidR="0084489F" w:rsidRDefault="00110FE6">
            <w:pPr>
              <w:pStyle w:val="Compact"/>
            </w:pPr>
            <w:r>
              <w:t>-</w:t>
            </w:r>
          </w:p>
        </w:tc>
        <w:tc>
          <w:tcPr>
            <w:tcW w:w="554" w:type="dxa"/>
          </w:tcPr>
          <w:p w14:paraId="7C657D0C" w14:textId="77777777" w:rsidR="0084489F" w:rsidRDefault="00110FE6">
            <w:pPr>
              <w:pStyle w:val="Compact"/>
            </w:pPr>
            <w:r>
              <w:t>-</w:t>
            </w:r>
          </w:p>
        </w:tc>
        <w:tc>
          <w:tcPr>
            <w:tcW w:w="5176" w:type="dxa"/>
            <w:gridSpan w:val="4"/>
          </w:tcPr>
          <w:p w14:paraId="5C7B2321" w14:textId="77777777" w:rsidR="0084489F" w:rsidRDefault="00110FE6">
            <w:pPr>
              <w:pStyle w:val="Compact"/>
            </w:pPr>
            <w:r>
              <w:rPr>
                <w:rStyle w:val="VerbatimChar"/>
                <w:i/>
                <w:iCs/>
              </w:rPr>
              <w:t>E25_Caractéristique_élaborée_par_l’humain</w:t>
            </w:r>
          </w:p>
        </w:tc>
      </w:tr>
      <w:tr w:rsidR="0084489F" w14:paraId="7D93CEA4" w14:textId="77777777" w:rsidTr="00CC39FB">
        <w:tc>
          <w:tcPr>
            <w:tcW w:w="737" w:type="dxa"/>
          </w:tcPr>
          <w:p w14:paraId="37E609B4" w14:textId="77777777" w:rsidR="0084489F" w:rsidRDefault="00110FE6">
            <w:pPr>
              <w:pStyle w:val="Compact"/>
            </w:pPr>
            <w:r>
              <w:t>E90</w:t>
            </w:r>
          </w:p>
        </w:tc>
        <w:tc>
          <w:tcPr>
            <w:tcW w:w="346" w:type="dxa"/>
          </w:tcPr>
          <w:p w14:paraId="0F0F1F6D" w14:textId="77777777" w:rsidR="0084489F" w:rsidRDefault="00110FE6">
            <w:pPr>
              <w:pStyle w:val="Compact"/>
            </w:pPr>
            <w:r>
              <w:t>-</w:t>
            </w:r>
          </w:p>
        </w:tc>
        <w:tc>
          <w:tcPr>
            <w:tcW w:w="296" w:type="dxa"/>
          </w:tcPr>
          <w:p w14:paraId="523554B0" w14:textId="77777777" w:rsidR="0084489F" w:rsidRDefault="00110FE6">
            <w:pPr>
              <w:pStyle w:val="Compact"/>
            </w:pPr>
            <w:r>
              <w:t>-</w:t>
            </w:r>
          </w:p>
        </w:tc>
        <w:tc>
          <w:tcPr>
            <w:tcW w:w="296" w:type="dxa"/>
          </w:tcPr>
          <w:p w14:paraId="62FED7B3" w14:textId="77777777" w:rsidR="0084489F" w:rsidRDefault="00110FE6">
            <w:pPr>
              <w:pStyle w:val="Compact"/>
            </w:pPr>
            <w:r>
              <w:t>-</w:t>
            </w:r>
          </w:p>
        </w:tc>
        <w:tc>
          <w:tcPr>
            <w:tcW w:w="296" w:type="dxa"/>
          </w:tcPr>
          <w:p w14:paraId="65A5E037" w14:textId="77777777" w:rsidR="0084489F" w:rsidRDefault="00110FE6">
            <w:pPr>
              <w:pStyle w:val="Compact"/>
            </w:pPr>
            <w:r>
              <w:t>-</w:t>
            </w:r>
          </w:p>
        </w:tc>
        <w:tc>
          <w:tcPr>
            <w:tcW w:w="6026" w:type="dxa"/>
            <w:gridSpan w:val="6"/>
          </w:tcPr>
          <w:p w14:paraId="2797974B" w14:textId="77777777" w:rsidR="0084489F" w:rsidRDefault="00110FE6">
            <w:pPr>
              <w:pStyle w:val="Compact"/>
            </w:pPr>
            <w:r>
              <w:rPr>
                <w:rStyle w:val="VerbatimChar"/>
              </w:rPr>
              <w:t>E90_Objet_symbolique</w:t>
            </w:r>
          </w:p>
        </w:tc>
      </w:tr>
      <w:tr w:rsidR="0084489F" w14:paraId="076EBE0C" w14:textId="77777777" w:rsidTr="00CC39FB">
        <w:tc>
          <w:tcPr>
            <w:tcW w:w="737" w:type="dxa"/>
          </w:tcPr>
          <w:p w14:paraId="2A6B64D6" w14:textId="77777777" w:rsidR="0084489F" w:rsidRDefault="00110FE6">
            <w:pPr>
              <w:pStyle w:val="Compact"/>
            </w:pPr>
            <w:r>
              <w:t>E73</w:t>
            </w:r>
          </w:p>
        </w:tc>
        <w:tc>
          <w:tcPr>
            <w:tcW w:w="346" w:type="dxa"/>
          </w:tcPr>
          <w:p w14:paraId="750837F0" w14:textId="77777777" w:rsidR="0084489F" w:rsidRDefault="00110FE6">
            <w:pPr>
              <w:pStyle w:val="Compact"/>
            </w:pPr>
            <w:r>
              <w:t>-</w:t>
            </w:r>
          </w:p>
        </w:tc>
        <w:tc>
          <w:tcPr>
            <w:tcW w:w="296" w:type="dxa"/>
          </w:tcPr>
          <w:p w14:paraId="5756D5FE" w14:textId="77777777" w:rsidR="0084489F" w:rsidRDefault="00110FE6">
            <w:pPr>
              <w:pStyle w:val="Compact"/>
            </w:pPr>
            <w:r>
              <w:t>-</w:t>
            </w:r>
          </w:p>
        </w:tc>
        <w:tc>
          <w:tcPr>
            <w:tcW w:w="296" w:type="dxa"/>
          </w:tcPr>
          <w:p w14:paraId="395C4904" w14:textId="77777777" w:rsidR="0084489F" w:rsidRDefault="00110FE6">
            <w:pPr>
              <w:pStyle w:val="Compact"/>
            </w:pPr>
            <w:r>
              <w:t>-</w:t>
            </w:r>
          </w:p>
        </w:tc>
        <w:tc>
          <w:tcPr>
            <w:tcW w:w="296" w:type="dxa"/>
          </w:tcPr>
          <w:p w14:paraId="2469ECD5" w14:textId="77777777" w:rsidR="0084489F" w:rsidRDefault="00110FE6">
            <w:pPr>
              <w:pStyle w:val="Compact"/>
            </w:pPr>
            <w:r>
              <w:t>-</w:t>
            </w:r>
          </w:p>
        </w:tc>
        <w:tc>
          <w:tcPr>
            <w:tcW w:w="296" w:type="dxa"/>
          </w:tcPr>
          <w:p w14:paraId="0EAF5AB5" w14:textId="77777777" w:rsidR="0084489F" w:rsidRDefault="00110FE6">
            <w:pPr>
              <w:pStyle w:val="Compact"/>
            </w:pPr>
            <w:r>
              <w:t>-</w:t>
            </w:r>
          </w:p>
        </w:tc>
        <w:tc>
          <w:tcPr>
            <w:tcW w:w="5730" w:type="dxa"/>
            <w:gridSpan w:val="5"/>
          </w:tcPr>
          <w:p w14:paraId="7837957C" w14:textId="77777777" w:rsidR="0084489F" w:rsidRDefault="00110FE6">
            <w:pPr>
              <w:pStyle w:val="Compact"/>
            </w:pPr>
            <w:r>
              <w:rPr>
                <w:rStyle w:val="VerbatimChar"/>
              </w:rPr>
              <w:t>E73_Objet_informationnel</w:t>
            </w:r>
          </w:p>
        </w:tc>
      </w:tr>
      <w:tr w:rsidR="0084489F" w14:paraId="48D26397" w14:textId="77777777" w:rsidTr="00CC39FB">
        <w:tc>
          <w:tcPr>
            <w:tcW w:w="737" w:type="dxa"/>
          </w:tcPr>
          <w:p w14:paraId="3E7D798C" w14:textId="77777777" w:rsidR="0084489F" w:rsidRDefault="00110FE6">
            <w:pPr>
              <w:pStyle w:val="Compact"/>
            </w:pPr>
            <w:r>
              <w:t>E29</w:t>
            </w:r>
          </w:p>
        </w:tc>
        <w:tc>
          <w:tcPr>
            <w:tcW w:w="346" w:type="dxa"/>
          </w:tcPr>
          <w:p w14:paraId="6EACC99F" w14:textId="77777777" w:rsidR="0084489F" w:rsidRDefault="00110FE6">
            <w:pPr>
              <w:pStyle w:val="Compact"/>
            </w:pPr>
            <w:r>
              <w:t>-</w:t>
            </w:r>
          </w:p>
        </w:tc>
        <w:tc>
          <w:tcPr>
            <w:tcW w:w="296" w:type="dxa"/>
          </w:tcPr>
          <w:p w14:paraId="75BFC9D3" w14:textId="77777777" w:rsidR="0084489F" w:rsidRDefault="00110FE6">
            <w:pPr>
              <w:pStyle w:val="Compact"/>
            </w:pPr>
            <w:r>
              <w:t>-</w:t>
            </w:r>
          </w:p>
        </w:tc>
        <w:tc>
          <w:tcPr>
            <w:tcW w:w="296" w:type="dxa"/>
          </w:tcPr>
          <w:p w14:paraId="59AEA79A" w14:textId="77777777" w:rsidR="0084489F" w:rsidRDefault="00110FE6">
            <w:pPr>
              <w:pStyle w:val="Compact"/>
            </w:pPr>
            <w:r>
              <w:t>-</w:t>
            </w:r>
          </w:p>
        </w:tc>
        <w:tc>
          <w:tcPr>
            <w:tcW w:w="296" w:type="dxa"/>
          </w:tcPr>
          <w:p w14:paraId="1C6093D7" w14:textId="77777777" w:rsidR="0084489F" w:rsidRDefault="00110FE6">
            <w:pPr>
              <w:pStyle w:val="Compact"/>
            </w:pPr>
            <w:r>
              <w:t>-</w:t>
            </w:r>
          </w:p>
        </w:tc>
        <w:tc>
          <w:tcPr>
            <w:tcW w:w="296" w:type="dxa"/>
          </w:tcPr>
          <w:p w14:paraId="4014713A" w14:textId="77777777" w:rsidR="0084489F" w:rsidRDefault="00110FE6">
            <w:pPr>
              <w:pStyle w:val="Compact"/>
            </w:pPr>
            <w:r>
              <w:t>-</w:t>
            </w:r>
          </w:p>
        </w:tc>
        <w:tc>
          <w:tcPr>
            <w:tcW w:w="554" w:type="dxa"/>
          </w:tcPr>
          <w:p w14:paraId="6B489AE7" w14:textId="77777777" w:rsidR="0084489F" w:rsidRDefault="00110FE6">
            <w:pPr>
              <w:pStyle w:val="Compact"/>
            </w:pPr>
            <w:r>
              <w:t>-</w:t>
            </w:r>
          </w:p>
        </w:tc>
        <w:tc>
          <w:tcPr>
            <w:tcW w:w="5176" w:type="dxa"/>
            <w:gridSpan w:val="4"/>
          </w:tcPr>
          <w:p w14:paraId="5B6B9224" w14:textId="77777777" w:rsidR="0084489F" w:rsidRDefault="00110FE6">
            <w:pPr>
              <w:pStyle w:val="Compact"/>
            </w:pPr>
            <w:r>
              <w:rPr>
                <w:rStyle w:val="VerbatimChar"/>
              </w:rPr>
              <w:t>E29_Conceptualisation_ou_procédure</w:t>
            </w:r>
          </w:p>
        </w:tc>
      </w:tr>
      <w:tr w:rsidR="0084489F" w14:paraId="598CACF9" w14:textId="77777777" w:rsidTr="00CC39FB">
        <w:tc>
          <w:tcPr>
            <w:tcW w:w="737" w:type="dxa"/>
          </w:tcPr>
          <w:p w14:paraId="4A438301" w14:textId="77777777" w:rsidR="0084489F" w:rsidRDefault="00110FE6">
            <w:pPr>
              <w:pStyle w:val="Compact"/>
            </w:pPr>
            <w:r>
              <w:t>E31</w:t>
            </w:r>
          </w:p>
        </w:tc>
        <w:tc>
          <w:tcPr>
            <w:tcW w:w="346" w:type="dxa"/>
          </w:tcPr>
          <w:p w14:paraId="1B058D77" w14:textId="77777777" w:rsidR="0084489F" w:rsidRDefault="00110FE6">
            <w:pPr>
              <w:pStyle w:val="Compact"/>
            </w:pPr>
            <w:r>
              <w:t>-</w:t>
            </w:r>
          </w:p>
        </w:tc>
        <w:tc>
          <w:tcPr>
            <w:tcW w:w="296" w:type="dxa"/>
          </w:tcPr>
          <w:p w14:paraId="3F10C860" w14:textId="77777777" w:rsidR="0084489F" w:rsidRDefault="00110FE6">
            <w:pPr>
              <w:pStyle w:val="Compact"/>
            </w:pPr>
            <w:r>
              <w:t>-</w:t>
            </w:r>
          </w:p>
        </w:tc>
        <w:tc>
          <w:tcPr>
            <w:tcW w:w="296" w:type="dxa"/>
          </w:tcPr>
          <w:p w14:paraId="01E3E2EB" w14:textId="77777777" w:rsidR="0084489F" w:rsidRDefault="00110FE6">
            <w:pPr>
              <w:pStyle w:val="Compact"/>
            </w:pPr>
            <w:r>
              <w:t>-</w:t>
            </w:r>
          </w:p>
        </w:tc>
        <w:tc>
          <w:tcPr>
            <w:tcW w:w="296" w:type="dxa"/>
          </w:tcPr>
          <w:p w14:paraId="1E851542" w14:textId="77777777" w:rsidR="0084489F" w:rsidRDefault="00110FE6">
            <w:pPr>
              <w:pStyle w:val="Compact"/>
            </w:pPr>
            <w:r>
              <w:t>-</w:t>
            </w:r>
          </w:p>
        </w:tc>
        <w:tc>
          <w:tcPr>
            <w:tcW w:w="296" w:type="dxa"/>
          </w:tcPr>
          <w:p w14:paraId="728D4E2E" w14:textId="77777777" w:rsidR="0084489F" w:rsidRDefault="00110FE6">
            <w:pPr>
              <w:pStyle w:val="Compact"/>
            </w:pPr>
            <w:r>
              <w:t>-</w:t>
            </w:r>
          </w:p>
        </w:tc>
        <w:tc>
          <w:tcPr>
            <w:tcW w:w="554" w:type="dxa"/>
          </w:tcPr>
          <w:p w14:paraId="31FD3D50" w14:textId="77777777" w:rsidR="0084489F" w:rsidRDefault="00110FE6">
            <w:pPr>
              <w:pStyle w:val="Compact"/>
            </w:pPr>
            <w:r>
              <w:t>-</w:t>
            </w:r>
          </w:p>
        </w:tc>
        <w:tc>
          <w:tcPr>
            <w:tcW w:w="5176" w:type="dxa"/>
            <w:gridSpan w:val="4"/>
          </w:tcPr>
          <w:p w14:paraId="5B25F09D" w14:textId="77777777" w:rsidR="0084489F" w:rsidRDefault="00110FE6">
            <w:pPr>
              <w:pStyle w:val="Compact"/>
            </w:pPr>
            <w:r>
              <w:rPr>
                <w:rStyle w:val="VerbatimChar"/>
              </w:rPr>
              <w:t>E31_Document</w:t>
            </w:r>
          </w:p>
        </w:tc>
      </w:tr>
      <w:tr w:rsidR="0084489F" w14:paraId="111B782C" w14:textId="77777777" w:rsidTr="00CC39FB">
        <w:tc>
          <w:tcPr>
            <w:tcW w:w="737" w:type="dxa"/>
          </w:tcPr>
          <w:p w14:paraId="04D4A28E" w14:textId="77777777" w:rsidR="0084489F" w:rsidRDefault="00110FE6">
            <w:pPr>
              <w:pStyle w:val="Compact"/>
            </w:pPr>
            <w:r>
              <w:t>E32</w:t>
            </w:r>
          </w:p>
        </w:tc>
        <w:tc>
          <w:tcPr>
            <w:tcW w:w="346" w:type="dxa"/>
          </w:tcPr>
          <w:p w14:paraId="6C6CC9BF" w14:textId="77777777" w:rsidR="0084489F" w:rsidRDefault="00110FE6">
            <w:pPr>
              <w:pStyle w:val="Compact"/>
            </w:pPr>
            <w:r>
              <w:t>-</w:t>
            </w:r>
          </w:p>
        </w:tc>
        <w:tc>
          <w:tcPr>
            <w:tcW w:w="296" w:type="dxa"/>
          </w:tcPr>
          <w:p w14:paraId="24848C04" w14:textId="77777777" w:rsidR="0084489F" w:rsidRDefault="00110FE6">
            <w:pPr>
              <w:pStyle w:val="Compact"/>
            </w:pPr>
            <w:r>
              <w:t>-</w:t>
            </w:r>
          </w:p>
        </w:tc>
        <w:tc>
          <w:tcPr>
            <w:tcW w:w="296" w:type="dxa"/>
          </w:tcPr>
          <w:p w14:paraId="0BFC3106" w14:textId="77777777" w:rsidR="0084489F" w:rsidRDefault="00110FE6">
            <w:pPr>
              <w:pStyle w:val="Compact"/>
            </w:pPr>
            <w:r>
              <w:t>-</w:t>
            </w:r>
          </w:p>
        </w:tc>
        <w:tc>
          <w:tcPr>
            <w:tcW w:w="296" w:type="dxa"/>
          </w:tcPr>
          <w:p w14:paraId="64F1762A" w14:textId="77777777" w:rsidR="0084489F" w:rsidRDefault="00110FE6">
            <w:pPr>
              <w:pStyle w:val="Compact"/>
            </w:pPr>
            <w:r>
              <w:t>-</w:t>
            </w:r>
          </w:p>
        </w:tc>
        <w:tc>
          <w:tcPr>
            <w:tcW w:w="296" w:type="dxa"/>
          </w:tcPr>
          <w:p w14:paraId="1E4F11EF" w14:textId="77777777" w:rsidR="0084489F" w:rsidRDefault="00110FE6">
            <w:pPr>
              <w:pStyle w:val="Compact"/>
            </w:pPr>
            <w:r>
              <w:t>-</w:t>
            </w:r>
          </w:p>
        </w:tc>
        <w:tc>
          <w:tcPr>
            <w:tcW w:w="554" w:type="dxa"/>
          </w:tcPr>
          <w:p w14:paraId="5A6FCE25" w14:textId="77777777" w:rsidR="0084489F" w:rsidRDefault="00110FE6">
            <w:pPr>
              <w:pStyle w:val="Compact"/>
            </w:pPr>
            <w:r>
              <w:t>-</w:t>
            </w:r>
          </w:p>
        </w:tc>
        <w:tc>
          <w:tcPr>
            <w:tcW w:w="755" w:type="dxa"/>
          </w:tcPr>
          <w:p w14:paraId="0E4456DB" w14:textId="77777777" w:rsidR="0084489F" w:rsidRDefault="00110FE6">
            <w:pPr>
              <w:pStyle w:val="Compact"/>
            </w:pPr>
            <w:r>
              <w:t>-</w:t>
            </w:r>
          </w:p>
        </w:tc>
        <w:tc>
          <w:tcPr>
            <w:tcW w:w="4421" w:type="dxa"/>
            <w:gridSpan w:val="3"/>
          </w:tcPr>
          <w:p w14:paraId="6EC4DB3C" w14:textId="77777777" w:rsidR="0084489F" w:rsidRDefault="00110FE6">
            <w:pPr>
              <w:pStyle w:val="Compact"/>
            </w:pPr>
            <w:r>
              <w:rPr>
                <w:rStyle w:val="VerbatimChar"/>
              </w:rPr>
              <w:t>E32_Document_de_référence</w:t>
            </w:r>
          </w:p>
        </w:tc>
      </w:tr>
      <w:tr w:rsidR="0084489F" w14:paraId="5AF7074F" w14:textId="77777777" w:rsidTr="00CC39FB">
        <w:tc>
          <w:tcPr>
            <w:tcW w:w="737" w:type="dxa"/>
          </w:tcPr>
          <w:p w14:paraId="65DDEEB3" w14:textId="77777777" w:rsidR="0084489F" w:rsidRDefault="00110FE6">
            <w:pPr>
              <w:pStyle w:val="Compact"/>
            </w:pPr>
            <w:r>
              <w:t>E33</w:t>
            </w:r>
          </w:p>
        </w:tc>
        <w:tc>
          <w:tcPr>
            <w:tcW w:w="346" w:type="dxa"/>
          </w:tcPr>
          <w:p w14:paraId="0E1B2425" w14:textId="77777777" w:rsidR="0084489F" w:rsidRDefault="00110FE6">
            <w:pPr>
              <w:pStyle w:val="Compact"/>
            </w:pPr>
            <w:r>
              <w:t>-</w:t>
            </w:r>
          </w:p>
        </w:tc>
        <w:tc>
          <w:tcPr>
            <w:tcW w:w="296" w:type="dxa"/>
          </w:tcPr>
          <w:p w14:paraId="42464E1F" w14:textId="77777777" w:rsidR="0084489F" w:rsidRDefault="00110FE6">
            <w:pPr>
              <w:pStyle w:val="Compact"/>
            </w:pPr>
            <w:r>
              <w:t>-</w:t>
            </w:r>
          </w:p>
        </w:tc>
        <w:tc>
          <w:tcPr>
            <w:tcW w:w="296" w:type="dxa"/>
          </w:tcPr>
          <w:p w14:paraId="1E2FDB52" w14:textId="77777777" w:rsidR="0084489F" w:rsidRDefault="00110FE6">
            <w:pPr>
              <w:pStyle w:val="Compact"/>
            </w:pPr>
            <w:r>
              <w:t>-</w:t>
            </w:r>
          </w:p>
        </w:tc>
        <w:tc>
          <w:tcPr>
            <w:tcW w:w="296" w:type="dxa"/>
          </w:tcPr>
          <w:p w14:paraId="2CFDAD62" w14:textId="77777777" w:rsidR="0084489F" w:rsidRDefault="00110FE6">
            <w:pPr>
              <w:pStyle w:val="Compact"/>
            </w:pPr>
            <w:r>
              <w:t>-</w:t>
            </w:r>
          </w:p>
        </w:tc>
        <w:tc>
          <w:tcPr>
            <w:tcW w:w="296" w:type="dxa"/>
          </w:tcPr>
          <w:p w14:paraId="1AF16537" w14:textId="77777777" w:rsidR="0084489F" w:rsidRDefault="00110FE6">
            <w:pPr>
              <w:pStyle w:val="Compact"/>
            </w:pPr>
            <w:r>
              <w:t>-</w:t>
            </w:r>
          </w:p>
        </w:tc>
        <w:tc>
          <w:tcPr>
            <w:tcW w:w="554" w:type="dxa"/>
          </w:tcPr>
          <w:p w14:paraId="39C4B5F0" w14:textId="77777777" w:rsidR="0084489F" w:rsidRDefault="00110FE6">
            <w:pPr>
              <w:pStyle w:val="Compact"/>
            </w:pPr>
            <w:r>
              <w:t>-</w:t>
            </w:r>
          </w:p>
        </w:tc>
        <w:tc>
          <w:tcPr>
            <w:tcW w:w="5176" w:type="dxa"/>
            <w:gridSpan w:val="4"/>
          </w:tcPr>
          <w:p w14:paraId="4A84928D" w14:textId="77777777" w:rsidR="0084489F" w:rsidRDefault="00110FE6">
            <w:pPr>
              <w:pStyle w:val="Compact"/>
            </w:pPr>
            <w:r>
              <w:rPr>
                <w:rStyle w:val="VerbatimChar"/>
              </w:rPr>
              <w:t>E33_Objet_linguistique</w:t>
            </w:r>
          </w:p>
        </w:tc>
      </w:tr>
      <w:tr w:rsidR="0084489F" w14:paraId="32990C87" w14:textId="77777777" w:rsidTr="00CC39FB">
        <w:tc>
          <w:tcPr>
            <w:tcW w:w="737" w:type="dxa"/>
          </w:tcPr>
          <w:p w14:paraId="51E0449B" w14:textId="77777777" w:rsidR="0084489F" w:rsidRDefault="00110FE6">
            <w:pPr>
              <w:pStyle w:val="Compact"/>
            </w:pPr>
            <w:r>
              <w:t>E34</w:t>
            </w:r>
          </w:p>
        </w:tc>
        <w:tc>
          <w:tcPr>
            <w:tcW w:w="346" w:type="dxa"/>
          </w:tcPr>
          <w:p w14:paraId="23B4BF29" w14:textId="77777777" w:rsidR="0084489F" w:rsidRDefault="00110FE6">
            <w:pPr>
              <w:pStyle w:val="Compact"/>
            </w:pPr>
            <w:r>
              <w:t>-</w:t>
            </w:r>
          </w:p>
        </w:tc>
        <w:tc>
          <w:tcPr>
            <w:tcW w:w="296" w:type="dxa"/>
          </w:tcPr>
          <w:p w14:paraId="68163AFE" w14:textId="77777777" w:rsidR="0084489F" w:rsidRDefault="00110FE6">
            <w:pPr>
              <w:pStyle w:val="Compact"/>
            </w:pPr>
            <w:r>
              <w:t>-</w:t>
            </w:r>
          </w:p>
        </w:tc>
        <w:tc>
          <w:tcPr>
            <w:tcW w:w="296" w:type="dxa"/>
          </w:tcPr>
          <w:p w14:paraId="37E21DD5" w14:textId="77777777" w:rsidR="0084489F" w:rsidRDefault="00110FE6">
            <w:pPr>
              <w:pStyle w:val="Compact"/>
            </w:pPr>
            <w:r>
              <w:t>-</w:t>
            </w:r>
          </w:p>
        </w:tc>
        <w:tc>
          <w:tcPr>
            <w:tcW w:w="296" w:type="dxa"/>
          </w:tcPr>
          <w:p w14:paraId="789F3C02" w14:textId="77777777" w:rsidR="0084489F" w:rsidRDefault="00110FE6">
            <w:pPr>
              <w:pStyle w:val="Compact"/>
            </w:pPr>
            <w:r>
              <w:t>-</w:t>
            </w:r>
          </w:p>
        </w:tc>
        <w:tc>
          <w:tcPr>
            <w:tcW w:w="296" w:type="dxa"/>
          </w:tcPr>
          <w:p w14:paraId="0FCE0B72" w14:textId="77777777" w:rsidR="0084489F" w:rsidRDefault="00110FE6">
            <w:pPr>
              <w:pStyle w:val="Compact"/>
            </w:pPr>
            <w:r>
              <w:t>-</w:t>
            </w:r>
          </w:p>
        </w:tc>
        <w:tc>
          <w:tcPr>
            <w:tcW w:w="554" w:type="dxa"/>
          </w:tcPr>
          <w:p w14:paraId="6E99CB7C" w14:textId="77777777" w:rsidR="0084489F" w:rsidRDefault="00110FE6">
            <w:pPr>
              <w:pStyle w:val="Compact"/>
            </w:pPr>
            <w:r>
              <w:t>-</w:t>
            </w:r>
          </w:p>
        </w:tc>
        <w:tc>
          <w:tcPr>
            <w:tcW w:w="755" w:type="dxa"/>
          </w:tcPr>
          <w:p w14:paraId="1D20414B" w14:textId="77777777" w:rsidR="0084489F" w:rsidRDefault="00110FE6">
            <w:pPr>
              <w:pStyle w:val="Compact"/>
            </w:pPr>
            <w:r>
              <w:t>-</w:t>
            </w:r>
          </w:p>
        </w:tc>
        <w:tc>
          <w:tcPr>
            <w:tcW w:w="4421" w:type="dxa"/>
            <w:gridSpan w:val="3"/>
          </w:tcPr>
          <w:p w14:paraId="7975ADCA" w14:textId="77777777" w:rsidR="0084489F" w:rsidRDefault="00110FE6">
            <w:pPr>
              <w:pStyle w:val="Compact"/>
            </w:pPr>
            <w:r>
              <w:rPr>
                <w:rStyle w:val="VerbatimChar"/>
              </w:rPr>
              <w:t>E34_Inscription</w:t>
            </w:r>
          </w:p>
        </w:tc>
      </w:tr>
      <w:tr w:rsidR="0084489F" w14:paraId="34D2460F" w14:textId="77777777" w:rsidTr="00CC39FB">
        <w:tc>
          <w:tcPr>
            <w:tcW w:w="737" w:type="dxa"/>
          </w:tcPr>
          <w:p w14:paraId="3482717C" w14:textId="77777777" w:rsidR="0084489F" w:rsidRDefault="00110FE6">
            <w:pPr>
              <w:pStyle w:val="Compact"/>
            </w:pPr>
            <w:r>
              <w:t>E35</w:t>
            </w:r>
          </w:p>
        </w:tc>
        <w:tc>
          <w:tcPr>
            <w:tcW w:w="346" w:type="dxa"/>
          </w:tcPr>
          <w:p w14:paraId="0B485EBE" w14:textId="77777777" w:rsidR="0084489F" w:rsidRDefault="00110FE6">
            <w:pPr>
              <w:pStyle w:val="Compact"/>
            </w:pPr>
            <w:r>
              <w:t>-</w:t>
            </w:r>
          </w:p>
        </w:tc>
        <w:tc>
          <w:tcPr>
            <w:tcW w:w="296" w:type="dxa"/>
          </w:tcPr>
          <w:p w14:paraId="72675771" w14:textId="77777777" w:rsidR="0084489F" w:rsidRDefault="00110FE6">
            <w:pPr>
              <w:pStyle w:val="Compact"/>
            </w:pPr>
            <w:r>
              <w:t>-</w:t>
            </w:r>
          </w:p>
        </w:tc>
        <w:tc>
          <w:tcPr>
            <w:tcW w:w="296" w:type="dxa"/>
          </w:tcPr>
          <w:p w14:paraId="019281A4" w14:textId="77777777" w:rsidR="0084489F" w:rsidRDefault="00110FE6">
            <w:pPr>
              <w:pStyle w:val="Compact"/>
            </w:pPr>
            <w:r>
              <w:t>-</w:t>
            </w:r>
          </w:p>
        </w:tc>
        <w:tc>
          <w:tcPr>
            <w:tcW w:w="296" w:type="dxa"/>
          </w:tcPr>
          <w:p w14:paraId="6C842028" w14:textId="77777777" w:rsidR="0084489F" w:rsidRDefault="00110FE6">
            <w:pPr>
              <w:pStyle w:val="Compact"/>
            </w:pPr>
            <w:r>
              <w:t>-</w:t>
            </w:r>
          </w:p>
        </w:tc>
        <w:tc>
          <w:tcPr>
            <w:tcW w:w="296" w:type="dxa"/>
          </w:tcPr>
          <w:p w14:paraId="23D2857C" w14:textId="77777777" w:rsidR="0084489F" w:rsidRDefault="00110FE6">
            <w:pPr>
              <w:pStyle w:val="Compact"/>
            </w:pPr>
            <w:r>
              <w:t>-</w:t>
            </w:r>
          </w:p>
        </w:tc>
        <w:tc>
          <w:tcPr>
            <w:tcW w:w="554" w:type="dxa"/>
          </w:tcPr>
          <w:p w14:paraId="5E57BB17" w14:textId="77777777" w:rsidR="0084489F" w:rsidRDefault="00110FE6">
            <w:pPr>
              <w:pStyle w:val="Compact"/>
            </w:pPr>
            <w:r>
              <w:t>-</w:t>
            </w:r>
          </w:p>
        </w:tc>
        <w:tc>
          <w:tcPr>
            <w:tcW w:w="755" w:type="dxa"/>
          </w:tcPr>
          <w:p w14:paraId="66B14169" w14:textId="77777777" w:rsidR="0084489F" w:rsidRDefault="00110FE6">
            <w:pPr>
              <w:pStyle w:val="Compact"/>
            </w:pPr>
            <w:r>
              <w:t>-</w:t>
            </w:r>
          </w:p>
        </w:tc>
        <w:tc>
          <w:tcPr>
            <w:tcW w:w="4421" w:type="dxa"/>
            <w:gridSpan w:val="3"/>
          </w:tcPr>
          <w:p w14:paraId="3927541A" w14:textId="77777777" w:rsidR="0084489F" w:rsidRDefault="00110FE6">
            <w:pPr>
              <w:pStyle w:val="Compact"/>
            </w:pPr>
            <w:r>
              <w:rPr>
                <w:rStyle w:val="VerbatimChar"/>
              </w:rPr>
              <w:t>E35_Titre</w:t>
            </w:r>
          </w:p>
        </w:tc>
      </w:tr>
      <w:tr w:rsidR="0084489F" w14:paraId="5133FC56" w14:textId="77777777" w:rsidTr="00CC39FB">
        <w:tc>
          <w:tcPr>
            <w:tcW w:w="737" w:type="dxa"/>
          </w:tcPr>
          <w:p w14:paraId="01D67469" w14:textId="77777777" w:rsidR="0084489F" w:rsidRDefault="00110FE6">
            <w:pPr>
              <w:pStyle w:val="Compact"/>
            </w:pPr>
            <w:r>
              <w:t>E36</w:t>
            </w:r>
          </w:p>
        </w:tc>
        <w:tc>
          <w:tcPr>
            <w:tcW w:w="346" w:type="dxa"/>
          </w:tcPr>
          <w:p w14:paraId="1B3C9426" w14:textId="77777777" w:rsidR="0084489F" w:rsidRDefault="00110FE6">
            <w:pPr>
              <w:pStyle w:val="Compact"/>
            </w:pPr>
            <w:r>
              <w:t>-</w:t>
            </w:r>
          </w:p>
        </w:tc>
        <w:tc>
          <w:tcPr>
            <w:tcW w:w="296" w:type="dxa"/>
          </w:tcPr>
          <w:p w14:paraId="7E0C2B87" w14:textId="77777777" w:rsidR="0084489F" w:rsidRDefault="00110FE6">
            <w:pPr>
              <w:pStyle w:val="Compact"/>
            </w:pPr>
            <w:r>
              <w:t>-</w:t>
            </w:r>
          </w:p>
        </w:tc>
        <w:tc>
          <w:tcPr>
            <w:tcW w:w="296" w:type="dxa"/>
          </w:tcPr>
          <w:p w14:paraId="33EED3F4" w14:textId="77777777" w:rsidR="0084489F" w:rsidRDefault="00110FE6">
            <w:pPr>
              <w:pStyle w:val="Compact"/>
            </w:pPr>
            <w:r>
              <w:t>-</w:t>
            </w:r>
          </w:p>
        </w:tc>
        <w:tc>
          <w:tcPr>
            <w:tcW w:w="296" w:type="dxa"/>
          </w:tcPr>
          <w:p w14:paraId="6C45FF7F" w14:textId="77777777" w:rsidR="0084489F" w:rsidRDefault="00110FE6">
            <w:pPr>
              <w:pStyle w:val="Compact"/>
            </w:pPr>
            <w:r>
              <w:t>-</w:t>
            </w:r>
          </w:p>
        </w:tc>
        <w:tc>
          <w:tcPr>
            <w:tcW w:w="296" w:type="dxa"/>
          </w:tcPr>
          <w:p w14:paraId="54678C65" w14:textId="77777777" w:rsidR="0084489F" w:rsidRDefault="00110FE6">
            <w:pPr>
              <w:pStyle w:val="Compact"/>
            </w:pPr>
            <w:r>
              <w:t>-</w:t>
            </w:r>
          </w:p>
        </w:tc>
        <w:tc>
          <w:tcPr>
            <w:tcW w:w="554" w:type="dxa"/>
          </w:tcPr>
          <w:p w14:paraId="2381CFD7" w14:textId="77777777" w:rsidR="0084489F" w:rsidRDefault="00110FE6">
            <w:pPr>
              <w:pStyle w:val="Compact"/>
            </w:pPr>
            <w:r>
              <w:t>-</w:t>
            </w:r>
          </w:p>
        </w:tc>
        <w:tc>
          <w:tcPr>
            <w:tcW w:w="5176" w:type="dxa"/>
            <w:gridSpan w:val="4"/>
          </w:tcPr>
          <w:p w14:paraId="460F3A14" w14:textId="77777777" w:rsidR="0084489F" w:rsidRDefault="00110FE6">
            <w:pPr>
              <w:pStyle w:val="Compact"/>
            </w:pPr>
            <w:r>
              <w:rPr>
                <w:rStyle w:val="VerbatimChar"/>
              </w:rPr>
              <w:t>E36_Entité_visuelle</w:t>
            </w:r>
          </w:p>
        </w:tc>
      </w:tr>
      <w:tr w:rsidR="0084489F" w14:paraId="4ED3148A" w14:textId="77777777" w:rsidTr="00CC39FB">
        <w:tc>
          <w:tcPr>
            <w:tcW w:w="737" w:type="dxa"/>
          </w:tcPr>
          <w:p w14:paraId="52645EBC" w14:textId="77777777" w:rsidR="0084489F" w:rsidRDefault="00110FE6">
            <w:pPr>
              <w:pStyle w:val="Compact"/>
            </w:pPr>
            <w:r>
              <w:t>E37</w:t>
            </w:r>
          </w:p>
        </w:tc>
        <w:tc>
          <w:tcPr>
            <w:tcW w:w="346" w:type="dxa"/>
          </w:tcPr>
          <w:p w14:paraId="6F9336EC" w14:textId="77777777" w:rsidR="0084489F" w:rsidRDefault="00110FE6">
            <w:pPr>
              <w:pStyle w:val="Compact"/>
            </w:pPr>
            <w:r>
              <w:t>-</w:t>
            </w:r>
          </w:p>
        </w:tc>
        <w:tc>
          <w:tcPr>
            <w:tcW w:w="296" w:type="dxa"/>
          </w:tcPr>
          <w:p w14:paraId="7DAEF9C3" w14:textId="77777777" w:rsidR="0084489F" w:rsidRDefault="00110FE6">
            <w:pPr>
              <w:pStyle w:val="Compact"/>
            </w:pPr>
            <w:r>
              <w:t>-</w:t>
            </w:r>
          </w:p>
        </w:tc>
        <w:tc>
          <w:tcPr>
            <w:tcW w:w="296" w:type="dxa"/>
          </w:tcPr>
          <w:p w14:paraId="3CB09BC3" w14:textId="77777777" w:rsidR="0084489F" w:rsidRDefault="00110FE6">
            <w:pPr>
              <w:pStyle w:val="Compact"/>
            </w:pPr>
            <w:r>
              <w:t>-</w:t>
            </w:r>
          </w:p>
        </w:tc>
        <w:tc>
          <w:tcPr>
            <w:tcW w:w="296" w:type="dxa"/>
          </w:tcPr>
          <w:p w14:paraId="5E544D4C" w14:textId="77777777" w:rsidR="0084489F" w:rsidRDefault="00110FE6">
            <w:pPr>
              <w:pStyle w:val="Compact"/>
            </w:pPr>
            <w:r>
              <w:t>-</w:t>
            </w:r>
          </w:p>
        </w:tc>
        <w:tc>
          <w:tcPr>
            <w:tcW w:w="296" w:type="dxa"/>
          </w:tcPr>
          <w:p w14:paraId="6326450F" w14:textId="77777777" w:rsidR="0084489F" w:rsidRDefault="00110FE6">
            <w:pPr>
              <w:pStyle w:val="Compact"/>
            </w:pPr>
            <w:r>
              <w:t>-</w:t>
            </w:r>
          </w:p>
        </w:tc>
        <w:tc>
          <w:tcPr>
            <w:tcW w:w="554" w:type="dxa"/>
          </w:tcPr>
          <w:p w14:paraId="4E34323B" w14:textId="77777777" w:rsidR="0084489F" w:rsidRDefault="00110FE6">
            <w:pPr>
              <w:pStyle w:val="Compact"/>
            </w:pPr>
            <w:r>
              <w:t>-</w:t>
            </w:r>
          </w:p>
        </w:tc>
        <w:tc>
          <w:tcPr>
            <w:tcW w:w="755" w:type="dxa"/>
          </w:tcPr>
          <w:p w14:paraId="4377DCD9" w14:textId="77777777" w:rsidR="0084489F" w:rsidRDefault="00110FE6">
            <w:pPr>
              <w:pStyle w:val="Compact"/>
            </w:pPr>
            <w:r>
              <w:t>-</w:t>
            </w:r>
          </w:p>
        </w:tc>
        <w:tc>
          <w:tcPr>
            <w:tcW w:w="4421" w:type="dxa"/>
            <w:gridSpan w:val="3"/>
          </w:tcPr>
          <w:p w14:paraId="68603B62" w14:textId="77777777" w:rsidR="0084489F" w:rsidRDefault="00110FE6">
            <w:pPr>
              <w:pStyle w:val="Compact"/>
            </w:pPr>
            <w:r>
              <w:rPr>
                <w:rStyle w:val="VerbatimChar"/>
              </w:rPr>
              <w:t>E37_Marque</w:t>
            </w:r>
          </w:p>
        </w:tc>
      </w:tr>
      <w:tr w:rsidR="0084489F" w14:paraId="726A2F90" w14:textId="77777777" w:rsidTr="00CC39FB">
        <w:tc>
          <w:tcPr>
            <w:tcW w:w="737" w:type="dxa"/>
          </w:tcPr>
          <w:p w14:paraId="12C7C83A" w14:textId="77777777" w:rsidR="0084489F" w:rsidRDefault="00110FE6">
            <w:pPr>
              <w:pStyle w:val="Compact"/>
            </w:pPr>
            <w:r>
              <w:t>E34</w:t>
            </w:r>
          </w:p>
        </w:tc>
        <w:tc>
          <w:tcPr>
            <w:tcW w:w="346" w:type="dxa"/>
          </w:tcPr>
          <w:p w14:paraId="15592799" w14:textId="77777777" w:rsidR="0084489F" w:rsidRDefault="00110FE6">
            <w:pPr>
              <w:pStyle w:val="Compact"/>
            </w:pPr>
            <w:r>
              <w:t>-</w:t>
            </w:r>
          </w:p>
        </w:tc>
        <w:tc>
          <w:tcPr>
            <w:tcW w:w="296" w:type="dxa"/>
          </w:tcPr>
          <w:p w14:paraId="1850D9D9" w14:textId="77777777" w:rsidR="0084489F" w:rsidRDefault="00110FE6">
            <w:pPr>
              <w:pStyle w:val="Compact"/>
            </w:pPr>
            <w:r>
              <w:t>-</w:t>
            </w:r>
          </w:p>
        </w:tc>
        <w:tc>
          <w:tcPr>
            <w:tcW w:w="296" w:type="dxa"/>
          </w:tcPr>
          <w:p w14:paraId="70C21553" w14:textId="77777777" w:rsidR="0084489F" w:rsidRDefault="00110FE6">
            <w:pPr>
              <w:pStyle w:val="Compact"/>
            </w:pPr>
            <w:r>
              <w:t>-</w:t>
            </w:r>
          </w:p>
        </w:tc>
        <w:tc>
          <w:tcPr>
            <w:tcW w:w="296" w:type="dxa"/>
          </w:tcPr>
          <w:p w14:paraId="60B8F388" w14:textId="77777777" w:rsidR="0084489F" w:rsidRDefault="00110FE6">
            <w:pPr>
              <w:pStyle w:val="Compact"/>
            </w:pPr>
            <w:r>
              <w:t>-</w:t>
            </w:r>
          </w:p>
        </w:tc>
        <w:tc>
          <w:tcPr>
            <w:tcW w:w="296" w:type="dxa"/>
          </w:tcPr>
          <w:p w14:paraId="32639547" w14:textId="77777777" w:rsidR="0084489F" w:rsidRDefault="00110FE6">
            <w:pPr>
              <w:pStyle w:val="Compact"/>
            </w:pPr>
            <w:r>
              <w:t>-</w:t>
            </w:r>
          </w:p>
        </w:tc>
        <w:tc>
          <w:tcPr>
            <w:tcW w:w="554" w:type="dxa"/>
          </w:tcPr>
          <w:p w14:paraId="31629BB6" w14:textId="77777777" w:rsidR="0084489F" w:rsidRDefault="00110FE6">
            <w:pPr>
              <w:pStyle w:val="Compact"/>
            </w:pPr>
            <w:r>
              <w:t>-</w:t>
            </w:r>
          </w:p>
        </w:tc>
        <w:tc>
          <w:tcPr>
            <w:tcW w:w="755" w:type="dxa"/>
          </w:tcPr>
          <w:p w14:paraId="2EFC6392" w14:textId="77777777" w:rsidR="0084489F" w:rsidRDefault="00110FE6">
            <w:pPr>
              <w:pStyle w:val="Compact"/>
            </w:pPr>
            <w:r>
              <w:t>-</w:t>
            </w:r>
          </w:p>
        </w:tc>
        <w:tc>
          <w:tcPr>
            <w:tcW w:w="755" w:type="dxa"/>
          </w:tcPr>
          <w:p w14:paraId="23849256" w14:textId="77777777" w:rsidR="0084489F" w:rsidRDefault="00110FE6">
            <w:pPr>
              <w:pStyle w:val="Compact"/>
            </w:pPr>
            <w:r>
              <w:t>-</w:t>
            </w:r>
          </w:p>
        </w:tc>
        <w:tc>
          <w:tcPr>
            <w:tcW w:w="3666" w:type="dxa"/>
            <w:gridSpan w:val="2"/>
          </w:tcPr>
          <w:p w14:paraId="2FEEACDC" w14:textId="77777777" w:rsidR="0084489F" w:rsidRDefault="00110FE6">
            <w:pPr>
              <w:pStyle w:val="Compact"/>
            </w:pPr>
            <w:r>
              <w:rPr>
                <w:rStyle w:val="VerbatimChar"/>
              </w:rPr>
              <w:t>E34_Inscription</w:t>
            </w:r>
          </w:p>
        </w:tc>
      </w:tr>
      <w:tr w:rsidR="0084489F" w14:paraId="238A7699" w14:textId="77777777" w:rsidTr="00CC39FB">
        <w:tc>
          <w:tcPr>
            <w:tcW w:w="737" w:type="dxa"/>
          </w:tcPr>
          <w:p w14:paraId="6EAF97A1" w14:textId="77777777" w:rsidR="0084489F" w:rsidRDefault="00110FE6">
            <w:pPr>
              <w:pStyle w:val="Compact"/>
            </w:pPr>
            <w:r>
              <w:t>E41</w:t>
            </w:r>
          </w:p>
        </w:tc>
        <w:tc>
          <w:tcPr>
            <w:tcW w:w="346" w:type="dxa"/>
          </w:tcPr>
          <w:p w14:paraId="6158E01E" w14:textId="77777777" w:rsidR="0084489F" w:rsidRDefault="00110FE6">
            <w:pPr>
              <w:pStyle w:val="Compact"/>
            </w:pPr>
            <w:r>
              <w:t>-</w:t>
            </w:r>
          </w:p>
        </w:tc>
        <w:tc>
          <w:tcPr>
            <w:tcW w:w="296" w:type="dxa"/>
          </w:tcPr>
          <w:p w14:paraId="299AB6A4" w14:textId="77777777" w:rsidR="0084489F" w:rsidRDefault="00110FE6">
            <w:pPr>
              <w:pStyle w:val="Compact"/>
            </w:pPr>
            <w:r>
              <w:t>-</w:t>
            </w:r>
          </w:p>
        </w:tc>
        <w:tc>
          <w:tcPr>
            <w:tcW w:w="296" w:type="dxa"/>
          </w:tcPr>
          <w:p w14:paraId="2F5D7FF4" w14:textId="77777777" w:rsidR="0084489F" w:rsidRDefault="00110FE6">
            <w:pPr>
              <w:pStyle w:val="Compact"/>
            </w:pPr>
            <w:r>
              <w:t>-</w:t>
            </w:r>
          </w:p>
        </w:tc>
        <w:tc>
          <w:tcPr>
            <w:tcW w:w="296" w:type="dxa"/>
          </w:tcPr>
          <w:p w14:paraId="31028D55" w14:textId="77777777" w:rsidR="0084489F" w:rsidRDefault="00110FE6">
            <w:pPr>
              <w:pStyle w:val="Compact"/>
            </w:pPr>
            <w:r>
              <w:t>-</w:t>
            </w:r>
          </w:p>
        </w:tc>
        <w:tc>
          <w:tcPr>
            <w:tcW w:w="296" w:type="dxa"/>
          </w:tcPr>
          <w:p w14:paraId="49F4B99D" w14:textId="77777777" w:rsidR="0084489F" w:rsidRDefault="00110FE6">
            <w:pPr>
              <w:pStyle w:val="Compact"/>
            </w:pPr>
            <w:r>
              <w:t>-</w:t>
            </w:r>
          </w:p>
        </w:tc>
        <w:tc>
          <w:tcPr>
            <w:tcW w:w="5730" w:type="dxa"/>
            <w:gridSpan w:val="5"/>
          </w:tcPr>
          <w:p w14:paraId="4C819DAB" w14:textId="77777777" w:rsidR="0084489F" w:rsidRDefault="00110FE6">
            <w:pPr>
              <w:pStyle w:val="Compact"/>
            </w:pPr>
            <w:r>
              <w:rPr>
                <w:rStyle w:val="VerbatimChar"/>
              </w:rPr>
              <w:t>E41_Appellation</w:t>
            </w:r>
          </w:p>
        </w:tc>
      </w:tr>
      <w:tr w:rsidR="0084489F" w14:paraId="4FC0CBB1" w14:textId="77777777" w:rsidTr="00CC39FB">
        <w:tc>
          <w:tcPr>
            <w:tcW w:w="737" w:type="dxa"/>
          </w:tcPr>
          <w:p w14:paraId="11F49E62" w14:textId="77777777" w:rsidR="0084489F" w:rsidRDefault="00110FE6">
            <w:pPr>
              <w:pStyle w:val="Compact"/>
            </w:pPr>
            <w:r>
              <w:t>E42</w:t>
            </w:r>
          </w:p>
        </w:tc>
        <w:tc>
          <w:tcPr>
            <w:tcW w:w="346" w:type="dxa"/>
          </w:tcPr>
          <w:p w14:paraId="706CBE0F" w14:textId="77777777" w:rsidR="0084489F" w:rsidRDefault="00110FE6">
            <w:pPr>
              <w:pStyle w:val="Compact"/>
            </w:pPr>
            <w:r>
              <w:t>-</w:t>
            </w:r>
          </w:p>
        </w:tc>
        <w:tc>
          <w:tcPr>
            <w:tcW w:w="296" w:type="dxa"/>
          </w:tcPr>
          <w:p w14:paraId="16C448F4" w14:textId="77777777" w:rsidR="0084489F" w:rsidRDefault="00110FE6">
            <w:pPr>
              <w:pStyle w:val="Compact"/>
            </w:pPr>
            <w:r>
              <w:t>-</w:t>
            </w:r>
          </w:p>
        </w:tc>
        <w:tc>
          <w:tcPr>
            <w:tcW w:w="296" w:type="dxa"/>
          </w:tcPr>
          <w:p w14:paraId="032F63BA" w14:textId="77777777" w:rsidR="0084489F" w:rsidRDefault="00110FE6">
            <w:pPr>
              <w:pStyle w:val="Compact"/>
            </w:pPr>
            <w:r>
              <w:t>-</w:t>
            </w:r>
          </w:p>
        </w:tc>
        <w:tc>
          <w:tcPr>
            <w:tcW w:w="296" w:type="dxa"/>
          </w:tcPr>
          <w:p w14:paraId="4C119B0E" w14:textId="77777777" w:rsidR="0084489F" w:rsidRDefault="00110FE6">
            <w:pPr>
              <w:pStyle w:val="Compact"/>
            </w:pPr>
            <w:r>
              <w:t>-</w:t>
            </w:r>
          </w:p>
        </w:tc>
        <w:tc>
          <w:tcPr>
            <w:tcW w:w="296" w:type="dxa"/>
          </w:tcPr>
          <w:p w14:paraId="5A7642AD" w14:textId="77777777" w:rsidR="0084489F" w:rsidRDefault="00110FE6">
            <w:pPr>
              <w:pStyle w:val="Compact"/>
            </w:pPr>
            <w:r>
              <w:t>-</w:t>
            </w:r>
          </w:p>
        </w:tc>
        <w:tc>
          <w:tcPr>
            <w:tcW w:w="554" w:type="dxa"/>
          </w:tcPr>
          <w:p w14:paraId="05E8C87C" w14:textId="77777777" w:rsidR="0084489F" w:rsidRDefault="00110FE6">
            <w:pPr>
              <w:pStyle w:val="Compact"/>
            </w:pPr>
            <w:r>
              <w:t>-</w:t>
            </w:r>
          </w:p>
        </w:tc>
        <w:tc>
          <w:tcPr>
            <w:tcW w:w="5176" w:type="dxa"/>
            <w:gridSpan w:val="4"/>
          </w:tcPr>
          <w:p w14:paraId="4E5FE429" w14:textId="77777777" w:rsidR="0084489F" w:rsidRDefault="00110FE6">
            <w:pPr>
              <w:pStyle w:val="Compact"/>
            </w:pPr>
            <w:r>
              <w:rPr>
                <w:rStyle w:val="VerbatimChar"/>
              </w:rPr>
              <w:t>E42_Identifiant</w:t>
            </w:r>
          </w:p>
        </w:tc>
      </w:tr>
      <w:tr w:rsidR="0084489F" w14:paraId="68C3C5C8" w14:textId="77777777" w:rsidTr="00CC39FB">
        <w:tc>
          <w:tcPr>
            <w:tcW w:w="737" w:type="dxa"/>
          </w:tcPr>
          <w:p w14:paraId="32531420" w14:textId="77777777" w:rsidR="0084489F" w:rsidRDefault="00110FE6">
            <w:pPr>
              <w:pStyle w:val="Compact"/>
            </w:pPr>
            <w:r>
              <w:t>E35</w:t>
            </w:r>
          </w:p>
        </w:tc>
        <w:tc>
          <w:tcPr>
            <w:tcW w:w="346" w:type="dxa"/>
          </w:tcPr>
          <w:p w14:paraId="3837ECC3" w14:textId="77777777" w:rsidR="0084489F" w:rsidRDefault="00110FE6">
            <w:pPr>
              <w:pStyle w:val="Compact"/>
            </w:pPr>
            <w:r>
              <w:t>-</w:t>
            </w:r>
          </w:p>
        </w:tc>
        <w:tc>
          <w:tcPr>
            <w:tcW w:w="296" w:type="dxa"/>
          </w:tcPr>
          <w:p w14:paraId="5482C636" w14:textId="77777777" w:rsidR="0084489F" w:rsidRDefault="00110FE6">
            <w:pPr>
              <w:pStyle w:val="Compact"/>
            </w:pPr>
            <w:r>
              <w:t>-</w:t>
            </w:r>
          </w:p>
        </w:tc>
        <w:tc>
          <w:tcPr>
            <w:tcW w:w="296" w:type="dxa"/>
          </w:tcPr>
          <w:p w14:paraId="37FAE97F" w14:textId="77777777" w:rsidR="0084489F" w:rsidRDefault="00110FE6">
            <w:pPr>
              <w:pStyle w:val="Compact"/>
            </w:pPr>
            <w:r>
              <w:t>-</w:t>
            </w:r>
          </w:p>
        </w:tc>
        <w:tc>
          <w:tcPr>
            <w:tcW w:w="296" w:type="dxa"/>
          </w:tcPr>
          <w:p w14:paraId="2FDC8BD9" w14:textId="77777777" w:rsidR="0084489F" w:rsidRDefault="00110FE6">
            <w:pPr>
              <w:pStyle w:val="Compact"/>
            </w:pPr>
            <w:r>
              <w:t>-</w:t>
            </w:r>
          </w:p>
        </w:tc>
        <w:tc>
          <w:tcPr>
            <w:tcW w:w="296" w:type="dxa"/>
          </w:tcPr>
          <w:p w14:paraId="3AEDCE16" w14:textId="77777777" w:rsidR="0084489F" w:rsidRDefault="00110FE6">
            <w:pPr>
              <w:pStyle w:val="Compact"/>
            </w:pPr>
            <w:r>
              <w:t>-</w:t>
            </w:r>
          </w:p>
        </w:tc>
        <w:tc>
          <w:tcPr>
            <w:tcW w:w="554" w:type="dxa"/>
          </w:tcPr>
          <w:p w14:paraId="5007FC0E" w14:textId="77777777" w:rsidR="0084489F" w:rsidRDefault="00110FE6">
            <w:pPr>
              <w:pStyle w:val="Compact"/>
            </w:pPr>
            <w:r>
              <w:t>-</w:t>
            </w:r>
          </w:p>
        </w:tc>
        <w:tc>
          <w:tcPr>
            <w:tcW w:w="5176" w:type="dxa"/>
            <w:gridSpan w:val="4"/>
          </w:tcPr>
          <w:p w14:paraId="5D5D8BA9" w14:textId="77777777" w:rsidR="0084489F" w:rsidRDefault="00110FE6">
            <w:pPr>
              <w:pStyle w:val="Compact"/>
            </w:pPr>
            <w:r>
              <w:rPr>
                <w:rStyle w:val="VerbatimChar"/>
              </w:rPr>
              <w:t>E35_Titre</w:t>
            </w:r>
          </w:p>
        </w:tc>
      </w:tr>
      <w:tr w:rsidR="0084489F" w14:paraId="3A94BC4B" w14:textId="77777777" w:rsidTr="00CC39FB">
        <w:tc>
          <w:tcPr>
            <w:tcW w:w="737" w:type="dxa"/>
          </w:tcPr>
          <w:p w14:paraId="39877F5F" w14:textId="77777777" w:rsidR="0084489F" w:rsidRDefault="00110FE6">
            <w:pPr>
              <w:pStyle w:val="Compact"/>
            </w:pPr>
            <w:r>
              <w:t>E95</w:t>
            </w:r>
          </w:p>
        </w:tc>
        <w:tc>
          <w:tcPr>
            <w:tcW w:w="346" w:type="dxa"/>
          </w:tcPr>
          <w:p w14:paraId="1E2E20B4" w14:textId="77777777" w:rsidR="0084489F" w:rsidRDefault="00110FE6">
            <w:pPr>
              <w:pStyle w:val="Compact"/>
            </w:pPr>
            <w:r>
              <w:t>-</w:t>
            </w:r>
          </w:p>
        </w:tc>
        <w:tc>
          <w:tcPr>
            <w:tcW w:w="296" w:type="dxa"/>
          </w:tcPr>
          <w:p w14:paraId="6AA94DEA" w14:textId="77777777" w:rsidR="0084489F" w:rsidRDefault="00110FE6">
            <w:pPr>
              <w:pStyle w:val="Compact"/>
            </w:pPr>
            <w:r>
              <w:t>-</w:t>
            </w:r>
          </w:p>
        </w:tc>
        <w:tc>
          <w:tcPr>
            <w:tcW w:w="296" w:type="dxa"/>
          </w:tcPr>
          <w:p w14:paraId="7C1EF082" w14:textId="77777777" w:rsidR="0084489F" w:rsidRDefault="00110FE6">
            <w:pPr>
              <w:pStyle w:val="Compact"/>
            </w:pPr>
            <w:r>
              <w:t>-</w:t>
            </w:r>
          </w:p>
        </w:tc>
        <w:tc>
          <w:tcPr>
            <w:tcW w:w="296" w:type="dxa"/>
          </w:tcPr>
          <w:p w14:paraId="49FD97A6" w14:textId="77777777" w:rsidR="0084489F" w:rsidRDefault="00110FE6">
            <w:pPr>
              <w:pStyle w:val="Compact"/>
            </w:pPr>
            <w:r>
              <w:t>-</w:t>
            </w:r>
          </w:p>
        </w:tc>
        <w:tc>
          <w:tcPr>
            <w:tcW w:w="296" w:type="dxa"/>
          </w:tcPr>
          <w:p w14:paraId="20AF8EDA" w14:textId="77777777" w:rsidR="0084489F" w:rsidRDefault="00110FE6">
            <w:pPr>
              <w:pStyle w:val="Compact"/>
            </w:pPr>
            <w:r>
              <w:t>-</w:t>
            </w:r>
          </w:p>
        </w:tc>
        <w:tc>
          <w:tcPr>
            <w:tcW w:w="554" w:type="dxa"/>
          </w:tcPr>
          <w:p w14:paraId="0A0808FB" w14:textId="77777777" w:rsidR="0084489F" w:rsidRDefault="00110FE6">
            <w:pPr>
              <w:pStyle w:val="Compact"/>
            </w:pPr>
            <w:r>
              <w:t>-</w:t>
            </w:r>
          </w:p>
        </w:tc>
        <w:tc>
          <w:tcPr>
            <w:tcW w:w="5176" w:type="dxa"/>
            <w:gridSpan w:val="4"/>
          </w:tcPr>
          <w:p w14:paraId="714D391B" w14:textId="77777777" w:rsidR="0084489F" w:rsidRDefault="00110FE6">
            <w:pPr>
              <w:pStyle w:val="Compact"/>
            </w:pPr>
            <w:r>
              <w:rPr>
                <w:rStyle w:val="VerbatimChar"/>
              </w:rPr>
              <w:t>E95_Primitive_spatio-temporelle</w:t>
            </w:r>
          </w:p>
        </w:tc>
      </w:tr>
      <w:tr w:rsidR="0084489F" w14:paraId="76CD897F" w14:textId="77777777" w:rsidTr="00CC39FB">
        <w:tc>
          <w:tcPr>
            <w:tcW w:w="737" w:type="dxa"/>
          </w:tcPr>
          <w:p w14:paraId="770849E8" w14:textId="77777777" w:rsidR="0084489F" w:rsidRDefault="00110FE6">
            <w:pPr>
              <w:pStyle w:val="Compact"/>
            </w:pPr>
            <w:r>
              <w:t>E94</w:t>
            </w:r>
          </w:p>
        </w:tc>
        <w:tc>
          <w:tcPr>
            <w:tcW w:w="346" w:type="dxa"/>
          </w:tcPr>
          <w:p w14:paraId="1408401F" w14:textId="77777777" w:rsidR="0084489F" w:rsidRDefault="00110FE6">
            <w:pPr>
              <w:pStyle w:val="Compact"/>
            </w:pPr>
            <w:r>
              <w:t>-</w:t>
            </w:r>
          </w:p>
        </w:tc>
        <w:tc>
          <w:tcPr>
            <w:tcW w:w="296" w:type="dxa"/>
          </w:tcPr>
          <w:p w14:paraId="1B909C09" w14:textId="77777777" w:rsidR="0084489F" w:rsidRDefault="00110FE6">
            <w:pPr>
              <w:pStyle w:val="Compact"/>
            </w:pPr>
            <w:r>
              <w:t>-</w:t>
            </w:r>
          </w:p>
        </w:tc>
        <w:tc>
          <w:tcPr>
            <w:tcW w:w="296" w:type="dxa"/>
          </w:tcPr>
          <w:p w14:paraId="15BED6A5" w14:textId="77777777" w:rsidR="0084489F" w:rsidRDefault="00110FE6">
            <w:pPr>
              <w:pStyle w:val="Compact"/>
            </w:pPr>
            <w:r>
              <w:t>-</w:t>
            </w:r>
          </w:p>
        </w:tc>
        <w:tc>
          <w:tcPr>
            <w:tcW w:w="296" w:type="dxa"/>
          </w:tcPr>
          <w:p w14:paraId="553D3575" w14:textId="77777777" w:rsidR="0084489F" w:rsidRDefault="00110FE6">
            <w:pPr>
              <w:pStyle w:val="Compact"/>
            </w:pPr>
            <w:r>
              <w:t>-</w:t>
            </w:r>
          </w:p>
        </w:tc>
        <w:tc>
          <w:tcPr>
            <w:tcW w:w="296" w:type="dxa"/>
          </w:tcPr>
          <w:p w14:paraId="2838A837" w14:textId="77777777" w:rsidR="0084489F" w:rsidRDefault="00110FE6">
            <w:pPr>
              <w:pStyle w:val="Compact"/>
            </w:pPr>
            <w:r>
              <w:t>-</w:t>
            </w:r>
          </w:p>
        </w:tc>
        <w:tc>
          <w:tcPr>
            <w:tcW w:w="554" w:type="dxa"/>
          </w:tcPr>
          <w:p w14:paraId="209A103D" w14:textId="77777777" w:rsidR="0084489F" w:rsidRDefault="00110FE6">
            <w:pPr>
              <w:pStyle w:val="Compact"/>
            </w:pPr>
            <w:r>
              <w:t>-</w:t>
            </w:r>
          </w:p>
        </w:tc>
        <w:tc>
          <w:tcPr>
            <w:tcW w:w="5176" w:type="dxa"/>
            <w:gridSpan w:val="4"/>
          </w:tcPr>
          <w:p w14:paraId="516DA7DC" w14:textId="77777777" w:rsidR="0084489F" w:rsidRDefault="00110FE6">
            <w:pPr>
              <w:pStyle w:val="Compact"/>
            </w:pPr>
            <w:r>
              <w:rPr>
                <w:rStyle w:val="VerbatimChar"/>
              </w:rPr>
              <w:t>E94_Primitive_spatiale</w:t>
            </w:r>
          </w:p>
        </w:tc>
      </w:tr>
      <w:tr w:rsidR="0084489F" w14:paraId="7383F700" w14:textId="77777777" w:rsidTr="00CC39FB">
        <w:tc>
          <w:tcPr>
            <w:tcW w:w="737" w:type="dxa"/>
          </w:tcPr>
          <w:p w14:paraId="4620C087" w14:textId="77777777" w:rsidR="0084489F" w:rsidRDefault="00110FE6">
            <w:pPr>
              <w:pStyle w:val="Compact"/>
            </w:pPr>
            <w:r>
              <w:t>E61</w:t>
            </w:r>
          </w:p>
        </w:tc>
        <w:tc>
          <w:tcPr>
            <w:tcW w:w="346" w:type="dxa"/>
          </w:tcPr>
          <w:p w14:paraId="7186CA64" w14:textId="77777777" w:rsidR="0084489F" w:rsidRDefault="00110FE6">
            <w:pPr>
              <w:pStyle w:val="Compact"/>
            </w:pPr>
            <w:r>
              <w:t>-</w:t>
            </w:r>
          </w:p>
        </w:tc>
        <w:tc>
          <w:tcPr>
            <w:tcW w:w="296" w:type="dxa"/>
          </w:tcPr>
          <w:p w14:paraId="5B0F45E1" w14:textId="77777777" w:rsidR="0084489F" w:rsidRDefault="00110FE6">
            <w:pPr>
              <w:pStyle w:val="Compact"/>
            </w:pPr>
            <w:r>
              <w:t>-</w:t>
            </w:r>
          </w:p>
        </w:tc>
        <w:tc>
          <w:tcPr>
            <w:tcW w:w="296" w:type="dxa"/>
          </w:tcPr>
          <w:p w14:paraId="73F8A3C6" w14:textId="77777777" w:rsidR="0084489F" w:rsidRDefault="00110FE6">
            <w:pPr>
              <w:pStyle w:val="Compact"/>
            </w:pPr>
            <w:r>
              <w:t>-</w:t>
            </w:r>
          </w:p>
        </w:tc>
        <w:tc>
          <w:tcPr>
            <w:tcW w:w="296" w:type="dxa"/>
          </w:tcPr>
          <w:p w14:paraId="24AFD75F" w14:textId="77777777" w:rsidR="0084489F" w:rsidRDefault="00110FE6">
            <w:pPr>
              <w:pStyle w:val="Compact"/>
            </w:pPr>
            <w:r>
              <w:t>-</w:t>
            </w:r>
          </w:p>
        </w:tc>
        <w:tc>
          <w:tcPr>
            <w:tcW w:w="296" w:type="dxa"/>
          </w:tcPr>
          <w:p w14:paraId="08E6157B" w14:textId="77777777" w:rsidR="0084489F" w:rsidRDefault="00110FE6">
            <w:pPr>
              <w:pStyle w:val="Compact"/>
            </w:pPr>
            <w:r>
              <w:t>-</w:t>
            </w:r>
          </w:p>
        </w:tc>
        <w:tc>
          <w:tcPr>
            <w:tcW w:w="554" w:type="dxa"/>
          </w:tcPr>
          <w:p w14:paraId="7DD2CB79" w14:textId="77777777" w:rsidR="0084489F" w:rsidRDefault="00110FE6">
            <w:pPr>
              <w:pStyle w:val="Compact"/>
            </w:pPr>
            <w:r>
              <w:t>-</w:t>
            </w:r>
          </w:p>
        </w:tc>
        <w:tc>
          <w:tcPr>
            <w:tcW w:w="5176" w:type="dxa"/>
            <w:gridSpan w:val="4"/>
          </w:tcPr>
          <w:p w14:paraId="1AD4DF37" w14:textId="77777777" w:rsidR="0084489F" w:rsidRDefault="00110FE6">
            <w:pPr>
              <w:pStyle w:val="Compact"/>
            </w:pPr>
            <w:r>
              <w:rPr>
                <w:rStyle w:val="VerbatimChar"/>
              </w:rPr>
              <w:t>E61_Primitive_temporelle</w:t>
            </w:r>
          </w:p>
        </w:tc>
      </w:tr>
      <w:tr w:rsidR="0084489F" w14:paraId="3FDF7CEC" w14:textId="77777777" w:rsidTr="00CC39FB">
        <w:tc>
          <w:tcPr>
            <w:tcW w:w="737" w:type="dxa"/>
          </w:tcPr>
          <w:p w14:paraId="28A7B9C8" w14:textId="77777777" w:rsidR="0084489F" w:rsidRDefault="00110FE6">
            <w:pPr>
              <w:pStyle w:val="Compact"/>
            </w:pPr>
            <w:r>
              <w:t>E71</w:t>
            </w:r>
          </w:p>
        </w:tc>
        <w:tc>
          <w:tcPr>
            <w:tcW w:w="346" w:type="dxa"/>
          </w:tcPr>
          <w:p w14:paraId="458EEE05" w14:textId="77777777" w:rsidR="0084489F" w:rsidRDefault="00110FE6">
            <w:pPr>
              <w:pStyle w:val="Compact"/>
            </w:pPr>
            <w:r>
              <w:t>-</w:t>
            </w:r>
          </w:p>
        </w:tc>
        <w:tc>
          <w:tcPr>
            <w:tcW w:w="296" w:type="dxa"/>
          </w:tcPr>
          <w:p w14:paraId="174E10C8" w14:textId="77777777" w:rsidR="0084489F" w:rsidRDefault="00110FE6">
            <w:pPr>
              <w:pStyle w:val="Compact"/>
            </w:pPr>
            <w:r>
              <w:t>-</w:t>
            </w:r>
          </w:p>
        </w:tc>
        <w:tc>
          <w:tcPr>
            <w:tcW w:w="296" w:type="dxa"/>
          </w:tcPr>
          <w:p w14:paraId="28E68FC4" w14:textId="77777777" w:rsidR="0084489F" w:rsidRDefault="00110FE6">
            <w:pPr>
              <w:pStyle w:val="Compact"/>
            </w:pPr>
            <w:r>
              <w:t>-</w:t>
            </w:r>
          </w:p>
        </w:tc>
        <w:tc>
          <w:tcPr>
            <w:tcW w:w="6322" w:type="dxa"/>
            <w:gridSpan w:val="7"/>
          </w:tcPr>
          <w:p w14:paraId="30261424" w14:textId="77777777" w:rsidR="0084489F" w:rsidRDefault="00110FE6">
            <w:pPr>
              <w:pStyle w:val="Compact"/>
            </w:pPr>
            <w:r>
              <w:rPr>
                <w:rStyle w:val="VerbatimChar"/>
              </w:rPr>
              <w:t>E71_Chose_élaborée_par_l’humain</w:t>
            </w:r>
          </w:p>
        </w:tc>
      </w:tr>
      <w:tr w:rsidR="0084489F" w14:paraId="3AEA1D13" w14:textId="77777777" w:rsidTr="00CC39FB">
        <w:tc>
          <w:tcPr>
            <w:tcW w:w="737" w:type="dxa"/>
          </w:tcPr>
          <w:p w14:paraId="7BC84D63" w14:textId="77777777" w:rsidR="0084489F" w:rsidRDefault="00110FE6">
            <w:pPr>
              <w:pStyle w:val="Compact"/>
            </w:pPr>
            <w:r>
              <w:lastRenderedPageBreak/>
              <w:t>E24</w:t>
            </w:r>
          </w:p>
        </w:tc>
        <w:tc>
          <w:tcPr>
            <w:tcW w:w="346" w:type="dxa"/>
          </w:tcPr>
          <w:p w14:paraId="4E4DBF22" w14:textId="77777777" w:rsidR="0084489F" w:rsidRDefault="00110FE6">
            <w:pPr>
              <w:pStyle w:val="Compact"/>
            </w:pPr>
            <w:r>
              <w:t>-</w:t>
            </w:r>
          </w:p>
        </w:tc>
        <w:tc>
          <w:tcPr>
            <w:tcW w:w="296" w:type="dxa"/>
          </w:tcPr>
          <w:p w14:paraId="17AA520C" w14:textId="77777777" w:rsidR="0084489F" w:rsidRDefault="00110FE6">
            <w:pPr>
              <w:pStyle w:val="Compact"/>
            </w:pPr>
            <w:r>
              <w:t>-</w:t>
            </w:r>
          </w:p>
        </w:tc>
        <w:tc>
          <w:tcPr>
            <w:tcW w:w="296" w:type="dxa"/>
          </w:tcPr>
          <w:p w14:paraId="7C1A4FE7" w14:textId="77777777" w:rsidR="0084489F" w:rsidRDefault="00110FE6">
            <w:pPr>
              <w:pStyle w:val="Compact"/>
            </w:pPr>
            <w:r>
              <w:t>-</w:t>
            </w:r>
          </w:p>
        </w:tc>
        <w:tc>
          <w:tcPr>
            <w:tcW w:w="296" w:type="dxa"/>
          </w:tcPr>
          <w:p w14:paraId="18783DF1" w14:textId="77777777" w:rsidR="0084489F" w:rsidRDefault="00110FE6">
            <w:pPr>
              <w:pStyle w:val="Compact"/>
            </w:pPr>
            <w:r>
              <w:t>-</w:t>
            </w:r>
          </w:p>
        </w:tc>
        <w:tc>
          <w:tcPr>
            <w:tcW w:w="6026" w:type="dxa"/>
            <w:gridSpan w:val="6"/>
          </w:tcPr>
          <w:p w14:paraId="57ED051D" w14:textId="77777777" w:rsidR="0084489F" w:rsidRDefault="00110FE6">
            <w:pPr>
              <w:pStyle w:val="Compact"/>
            </w:pPr>
            <w:r>
              <w:rPr>
                <w:rStyle w:val="VerbatimChar"/>
                <w:i/>
                <w:iCs/>
              </w:rPr>
              <w:t>E24_Chose_matérielle_élaborée_par_l’humain</w:t>
            </w:r>
          </w:p>
        </w:tc>
      </w:tr>
      <w:tr w:rsidR="0084489F" w14:paraId="11DEF7F7" w14:textId="77777777" w:rsidTr="00CC39FB">
        <w:tc>
          <w:tcPr>
            <w:tcW w:w="737" w:type="dxa"/>
          </w:tcPr>
          <w:p w14:paraId="426A3F30" w14:textId="77777777" w:rsidR="0084489F" w:rsidRDefault="00110FE6">
            <w:pPr>
              <w:pStyle w:val="Compact"/>
            </w:pPr>
            <w:r>
              <w:t>E22</w:t>
            </w:r>
          </w:p>
        </w:tc>
        <w:tc>
          <w:tcPr>
            <w:tcW w:w="346" w:type="dxa"/>
          </w:tcPr>
          <w:p w14:paraId="0106F3C0" w14:textId="77777777" w:rsidR="0084489F" w:rsidRDefault="00110FE6">
            <w:pPr>
              <w:pStyle w:val="Compact"/>
            </w:pPr>
            <w:r>
              <w:t>-</w:t>
            </w:r>
          </w:p>
        </w:tc>
        <w:tc>
          <w:tcPr>
            <w:tcW w:w="296" w:type="dxa"/>
          </w:tcPr>
          <w:p w14:paraId="02C1C207" w14:textId="77777777" w:rsidR="0084489F" w:rsidRDefault="00110FE6">
            <w:pPr>
              <w:pStyle w:val="Compact"/>
            </w:pPr>
            <w:r>
              <w:t>-</w:t>
            </w:r>
          </w:p>
        </w:tc>
        <w:tc>
          <w:tcPr>
            <w:tcW w:w="296" w:type="dxa"/>
          </w:tcPr>
          <w:p w14:paraId="5E3D3FA3" w14:textId="77777777" w:rsidR="0084489F" w:rsidRDefault="00110FE6">
            <w:pPr>
              <w:pStyle w:val="Compact"/>
            </w:pPr>
            <w:r>
              <w:t>-</w:t>
            </w:r>
          </w:p>
        </w:tc>
        <w:tc>
          <w:tcPr>
            <w:tcW w:w="296" w:type="dxa"/>
          </w:tcPr>
          <w:p w14:paraId="6EBF4549" w14:textId="77777777" w:rsidR="0084489F" w:rsidRDefault="00110FE6">
            <w:pPr>
              <w:pStyle w:val="Compact"/>
            </w:pPr>
            <w:r>
              <w:t>-</w:t>
            </w:r>
          </w:p>
        </w:tc>
        <w:tc>
          <w:tcPr>
            <w:tcW w:w="296" w:type="dxa"/>
          </w:tcPr>
          <w:p w14:paraId="3AD1F6C8" w14:textId="77777777" w:rsidR="0084489F" w:rsidRDefault="00110FE6">
            <w:pPr>
              <w:pStyle w:val="Compact"/>
            </w:pPr>
            <w:r>
              <w:t>-</w:t>
            </w:r>
          </w:p>
        </w:tc>
        <w:tc>
          <w:tcPr>
            <w:tcW w:w="5730" w:type="dxa"/>
            <w:gridSpan w:val="5"/>
          </w:tcPr>
          <w:p w14:paraId="23F53AD6" w14:textId="77777777" w:rsidR="0084489F" w:rsidRDefault="00110FE6">
            <w:pPr>
              <w:pStyle w:val="Compact"/>
            </w:pPr>
            <w:r>
              <w:rPr>
                <w:rStyle w:val="VerbatimChar"/>
                <w:i/>
                <w:iCs/>
              </w:rPr>
              <w:t>E22_Objet_élaboré_par_l’humain</w:t>
            </w:r>
          </w:p>
        </w:tc>
      </w:tr>
      <w:tr w:rsidR="0084489F" w14:paraId="501A0E2F" w14:textId="77777777" w:rsidTr="00CC39FB">
        <w:tc>
          <w:tcPr>
            <w:tcW w:w="737" w:type="dxa"/>
          </w:tcPr>
          <w:p w14:paraId="31DB7880" w14:textId="77777777" w:rsidR="0084489F" w:rsidRDefault="00110FE6">
            <w:pPr>
              <w:pStyle w:val="Compact"/>
            </w:pPr>
            <w:r>
              <w:t>E25</w:t>
            </w:r>
          </w:p>
        </w:tc>
        <w:tc>
          <w:tcPr>
            <w:tcW w:w="346" w:type="dxa"/>
          </w:tcPr>
          <w:p w14:paraId="4BAAA210" w14:textId="77777777" w:rsidR="0084489F" w:rsidRDefault="00110FE6">
            <w:pPr>
              <w:pStyle w:val="Compact"/>
            </w:pPr>
            <w:r>
              <w:t>-</w:t>
            </w:r>
          </w:p>
        </w:tc>
        <w:tc>
          <w:tcPr>
            <w:tcW w:w="296" w:type="dxa"/>
          </w:tcPr>
          <w:p w14:paraId="6C18184D" w14:textId="77777777" w:rsidR="0084489F" w:rsidRDefault="00110FE6">
            <w:pPr>
              <w:pStyle w:val="Compact"/>
            </w:pPr>
            <w:r>
              <w:t>-</w:t>
            </w:r>
          </w:p>
        </w:tc>
        <w:tc>
          <w:tcPr>
            <w:tcW w:w="296" w:type="dxa"/>
          </w:tcPr>
          <w:p w14:paraId="73692FAA" w14:textId="77777777" w:rsidR="0084489F" w:rsidRDefault="00110FE6">
            <w:pPr>
              <w:pStyle w:val="Compact"/>
            </w:pPr>
            <w:r>
              <w:t>-</w:t>
            </w:r>
          </w:p>
        </w:tc>
        <w:tc>
          <w:tcPr>
            <w:tcW w:w="296" w:type="dxa"/>
          </w:tcPr>
          <w:p w14:paraId="255689F7" w14:textId="77777777" w:rsidR="0084489F" w:rsidRDefault="00110FE6">
            <w:pPr>
              <w:pStyle w:val="Compact"/>
            </w:pPr>
            <w:r>
              <w:t>-</w:t>
            </w:r>
          </w:p>
        </w:tc>
        <w:tc>
          <w:tcPr>
            <w:tcW w:w="296" w:type="dxa"/>
          </w:tcPr>
          <w:p w14:paraId="03F7904A" w14:textId="77777777" w:rsidR="0084489F" w:rsidRDefault="00110FE6">
            <w:pPr>
              <w:pStyle w:val="Compact"/>
            </w:pPr>
            <w:r>
              <w:t>-</w:t>
            </w:r>
          </w:p>
        </w:tc>
        <w:tc>
          <w:tcPr>
            <w:tcW w:w="5730" w:type="dxa"/>
            <w:gridSpan w:val="5"/>
          </w:tcPr>
          <w:p w14:paraId="4B672C44" w14:textId="77777777" w:rsidR="0084489F" w:rsidRDefault="00110FE6">
            <w:pPr>
              <w:pStyle w:val="Compact"/>
            </w:pPr>
            <w:r>
              <w:rPr>
                <w:rStyle w:val="VerbatimChar"/>
                <w:i/>
                <w:iCs/>
              </w:rPr>
              <w:t>E25_Caractéristique_élaborée_par_l’humain</w:t>
            </w:r>
          </w:p>
        </w:tc>
      </w:tr>
      <w:tr w:rsidR="0084489F" w14:paraId="24D2B82A" w14:textId="77777777" w:rsidTr="00CC39FB">
        <w:tc>
          <w:tcPr>
            <w:tcW w:w="737" w:type="dxa"/>
          </w:tcPr>
          <w:p w14:paraId="129F06FB" w14:textId="77777777" w:rsidR="0084489F" w:rsidRDefault="00110FE6">
            <w:pPr>
              <w:pStyle w:val="Compact"/>
            </w:pPr>
            <w:r>
              <w:t>E78</w:t>
            </w:r>
          </w:p>
        </w:tc>
        <w:tc>
          <w:tcPr>
            <w:tcW w:w="346" w:type="dxa"/>
          </w:tcPr>
          <w:p w14:paraId="79DB7FDB" w14:textId="77777777" w:rsidR="0084489F" w:rsidRDefault="00110FE6">
            <w:pPr>
              <w:pStyle w:val="Compact"/>
            </w:pPr>
            <w:r>
              <w:t>-</w:t>
            </w:r>
          </w:p>
        </w:tc>
        <w:tc>
          <w:tcPr>
            <w:tcW w:w="296" w:type="dxa"/>
          </w:tcPr>
          <w:p w14:paraId="74C4E8FF" w14:textId="77777777" w:rsidR="0084489F" w:rsidRDefault="00110FE6">
            <w:pPr>
              <w:pStyle w:val="Compact"/>
            </w:pPr>
            <w:r>
              <w:t>-</w:t>
            </w:r>
          </w:p>
        </w:tc>
        <w:tc>
          <w:tcPr>
            <w:tcW w:w="296" w:type="dxa"/>
          </w:tcPr>
          <w:p w14:paraId="412B62F7" w14:textId="77777777" w:rsidR="0084489F" w:rsidRDefault="00110FE6">
            <w:pPr>
              <w:pStyle w:val="Compact"/>
            </w:pPr>
            <w:r>
              <w:t>-</w:t>
            </w:r>
          </w:p>
        </w:tc>
        <w:tc>
          <w:tcPr>
            <w:tcW w:w="296" w:type="dxa"/>
          </w:tcPr>
          <w:p w14:paraId="38807FF6" w14:textId="77777777" w:rsidR="0084489F" w:rsidRDefault="00110FE6">
            <w:pPr>
              <w:pStyle w:val="Compact"/>
            </w:pPr>
            <w:r>
              <w:t>-</w:t>
            </w:r>
          </w:p>
        </w:tc>
        <w:tc>
          <w:tcPr>
            <w:tcW w:w="296" w:type="dxa"/>
          </w:tcPr>
          <w:p w14:paraId="34B9DF3A" w14:textId="77777777" w:rsidR="0084489F" w:rsidRDefault="00110FE6">
            <w:pPr>
              <w:pStyle w:val="Compact"/>
            </w:pPr>
            <w:r>
              <w:t>-</w:t>
            </w:r>
          </w:p>
        </w:tc>
        <w:tc>
          <w:tcPr>
            <w:tcW w:w="5730" w:type="dxa"/>
            <w:gridSpan w:val="5"/>
          </w:tcPr>
          <w:p w14:paraId="59B58C42" w14:textId="77777777" w:rsidR="0084489F" w:rsidRDefault="00110FE6">
            <w:pPr>
              <w:pStyle w:val="Compact"/>
            </w:pPr>
            <w:r>
              <w:rPr>
                <w:rStyle w:val="VerbatimChar"/>
                <w:i/>
                <w:iCs/>
              </w:rPr>
              <w:t>E78_Collection</w:t>
            </w:r>
          </w:p>
        </w:tc>
      </w:tr>
      <w:tr w:rsidR="0084489F" w14:paraId="7DFADC67" w14:textId="77777777" w:rsidTr="00CC39FB">
        <w:tc>
          <w:tcPr>
            <w:tcW w:w="737" w:type="dxa"/>
          </w:tcPr>
          <w:p w14:paraId="42EFE439" w14:textId="77777777" w:rsidR="0084489F" w:rsidRDefault="00110FE6">
            <w:pPr>
              <w:pStyle w:val="Compact"/>
            </w:pPr>
            <w:r>
              <w:t>E28</w:t>
            </w:r>
          </w:p>
        </w:tc>
        <w:tc>
          <w:tcPr>
            <w:tcW w:w="346" w:type="dxa"/>
          </w:tcPr>
          <w:p w14:paraId="081324B2" w14:textId="77777777" w:rsidR="0084489F" w:rsidRDefault="00110FE6">
            <w:pPr>
              <w:pStyle w:val="Compact"/>
            </w:pPr>
            <w:r>
              <w:t>-</w:t>
            </w:r>
          </w:p>
        </w:tc>
        <w:tc>
          <w:tcPr>
            <w:tcW w:w="296" w:type="dxa"/>
          </w:tcPr>
          <w:p w14:paraId="617366CD" w14:textId="77777777" w:rsidR="0084489F" w:rsidRDefault="00110FE6">
            <w:pPr>
              <w:pStyle w:val="Compact"/>
            </w:pPr>
            <w:r>
              <w:t>-</w:t>
            </w:r>
          </w:p>
        </w:tc>
        <w:tc>
          <w:tcPr>
            <w:tcW w:w="296" w:type="dxa"/>
          </w:tcPr>
          <w:p w14:paraId="233BB1C6" w14:textId="77777777" w:rsidR="0084489F" w:rsidRDefault="00110FE6">
            <w:pPr>
              <w:pStyle w:val="Compact"/>
            </w:pPr>
            <w:r>
              <w:t>-</w:t>
            </w:r>
          </w:p>
        </w:tc>
        <w:tc>
          <w:tcPr>
            <w:tcW w:w="296" w:type="dxa"/>
          </w:tcPr>
          <w:p w14:paraId="441FB09A" w14:textId="77777777" w:rsidR="0084489F" w:rsidRDefault="00110FE6">
            <w:pPr>
              <w:pStyle w:val="Compact"/>
            </w:pPr>
            <w:r>
              <w:t>-</w:t>
            </w:r>
          </w:p>
        </w:tc>
        <w:tc>
          <w:tcPr>
            <w:tcW w:w="6026" w:type="dxa"/>
            <w:gridSpan w:val="6"/>
          </w:tcPr>
          <w:p w14:paraId="0EC6DC37" w14:textId="77777777" w:rsidR="0084489F" w:rsidRDefault="00110FE6">
            <w:pPr>
              <w:pStyle w:val="Compact"/>
            </w:pPr>
            <w:r>
              <w:rPr>
                <w:rStyle w:val="VerbatimChar"/>
              </w:rPr>
              <w:t>E28_Objet_conceptuel</w:t>
            </w:r>
          </w:p>
        </w:tc>
      </w:tr>
      <w:tr w:rsidR="0084489F" w14:paraId="1114943B" w14:textId="77777777" w:rsidTr="00CC39FB">
        <w:tc>
          <w:tcPr>
            <w:tcW w:w="737" w:type="dxa"/>
          </w:tcPr>
          <w:p w14:paraId="1BE664FD" w14:textId="77777777" w:rsidR="0084489F" w:rsidRDefault="00110FE6">
            <w:pPr>
              <w:pStyle w:val="Compact"/>
            </w:pPr>
            <w:r>
              <w:t>E90</w:t>
            </w:r>
          </w:p>
        </w:tc>
        <w:tc>
          <w:tcPr>
            <w:tcW w:w="346" w:type="dxa"/>
          </w:tcPr>
          <w:p w14:paraId="70BD0444" w14:textId="77777777" w:rsidR="0084489F" w:rsidRDefault="00110FE6">
            <w:pPr>
              <w:pStyle w:val="Compact"/>
            </w:pPr>
            <w:r>
              <w:t>-</w:t>
            </w:r>
          </w:p>
        </w:tc>
        <w:tc>
          <w:tcPr>
            <w:tcW w:w="296" w:type="dxa"/>
          </w:tcPr>
          <w:p w14:paraId="1E59940D" w14:textId="77777777" w:rsidR="0084489F" w:rsidRDefault="00110FE6">
            <w:pPr>
              <w:pStyle w:val="Compact"/>
            </w:pPr>
            <w:r>
              <w:t>-</w:t>
            </w:r>
          </w:p>
        </w:tc>
        <w:tc>
          <w:tcPr>
            <w:tcW w:w="296" w:type="dxa"/>
          </w:tcPr>
          <w:p w14:paraId="6D916733" w14:textId="77777777" w:rsidR="0084489F" w:rsidRDefault="00110FE6">
            <w:pPr>
              <w:pStyle w:val="Compact"/>
            </w:pPr>
            <w:r>
              <w:t>-</w:t>
            </w:r>
          </w:p>
        </w:tc>
        <w:tc>
          <w:tcPr>
            <w:tcW w:w="296" w:type="dxa"/>
          </w:tcPr>
          <w:p w14:paraId="7E30FD5E" w14:textId="77777777" w:rsidR="0084489F" w:rsidRDefault="00110FE6">
            <w:pPr>
              <w:pStyle w:val="Compact"/>
            </w:pPr>
            <w:r>
              <w:t>-</w:t>
            </w:r>
          </w:p>
        </w:tc>
        <w:tc>
          <w:tcPr>
            <w:tcW w:w="296" w:type="dxa"/>
          </w:tcPr>
          <w:p w14:paraId="38750A71" w14:textId="77777777" w:rsidR="0084489F" w:rsidRDefault="00110FE6">
            <w:pPr>
              <w:pStyle w:val="Compact"/>
            </w:pPr>
            <w:r>
              <w:t>-</w:t>
            </w:r>
          </w:p>
        </w:tc>
        <w:tc>
          <w:tcPr>
            <w:tcW w:w="5730" w:type="dxa"/>
            <w:gridSpan w:val="5"/>
          </w:tcPr>
          <w:p w14:paraId="7D1E5E4C" w14:textId="77777777" w:rsidR="0084489F" w:rsidRDefault="00110FE6">
            <w:pPr>
              <w:pStyle w:val="Compact"/>
            </w:pPr>
            <w:r>
              <w:rPr>
                <w:rStyle w:val="VerbatimChar"/>
                <w:i/>
                <w:iCs/>
              </w:rPr>
              <w:t>E90_Objet_symbolique</w:t>
            </w:r>
          </w:p>
        </w:tc>
      </w:tr>
      <w:tr w:rsidR="0084489F" w14:paraId="77FAF0EA" w14:textId="77777777" w:rsidTr="00CC39FB">
        <w:tc>
          <w:tcPr>
            <w:tcW w:w="737" w:type="dxa"/>
          </w:tcPr>
          <w:p w14:paraId="5D875068" w14:textId="77777777" w:rsidR="0084489F" w:rsidRDefault="00110FE6">
            <w:pPr>
              <w:pStyle w:val="Compact"/>
            </w:pPr>
            <w:r>
              <w:t>E73</w:t>
            </w:r>
          </w:p>
        </w:tc>
        <w:tc>
          <w:tcPr>
            <w:tcW w:w="346" w:type="dxa"/>
          </w:tcPr>
          <w:p w14:paraId="2B248FBB" w14:textId="77777777" w:rsidR="0084489F" w:rsidRDefault="00110FE6">
            <w:pPr>
              <w:pStyle w:val="Compact"/>
            </w:pPr>
            <w:r>
              <w:t>-</w:t>
            </w:r>
          </w:p>
        </w:tc>
        <w:tc>
          <w:tcPr>
            <w:tcW w:w="296" w:type="dxa"/>
          </w:tcPr>
          <w:p w14:paraId="34AACCA1" w14:textId="77777777" w:rsidR="0084489F" w:rsidRDefault="00110FE6">
            <w:pPr>
              <w:pStyle w:val="Compact"/>
            </w:pPr>
            <w:r>
              <w:t>-</w:t>
            </w:r>
          </w:p>
        </w:tc>
        <w:tc>
          <w:tcPr>
            <w:tcW w:w="296" w:type="dxa"/>
          </w:tcPr>
          <w:p w14:paraId="17791236" w14:textId="77777777" w:rsidR="0084489F" w:rsidRDefault="00110FE6">
            <w:pPr>
              <w:pStyle w:val="Compact"/>
            </w:pPr>
            <w:r>
              <w:t>-</w:t>
            </w:r>
          </w:p>
        </w:tc>
        <w:tc>
          <w:tcPr>
            <w:tcW w:w="296" w:type="dxa"/>
          </w:tcPr>
          <w:p w14:paraId="1ABC4D4E" w14:textId="77777777" w:rsidR="0084489F" w:rsidRDefault="00110FE6">
            <w:pPr>
              <w:pStyle w:val="Compact"/>
            </w:pPr>
            <w:r>
              <w:t>-</w:t>
            </w:r>
          </w:p>
        </w:tc>
        <w:tc>
          <w:tcPr>
            <w:tcW w:w="296" w:type="dxa"/>
          </w:tcPr>
          <w:p w14:paraId="44EE58D7" w14:textId="77777777" w:rsidR="0084489F" w:rsidRDefault="00110FE6">
            <w:pPr>
              <w:pStyle w:val="Compact"/>
            </w:pPr>
            <w:r>
              <w:t>-</w:t>
            </w:r>
          </w:p>
        </w:tc>
        <w:tc>
          <w:tcPr>
            <w:tcW w:w="554" w:type="dxa"/>
          </w:tcPr>
          <w:p w14:paraId="06D31018" w14:textId="77777777" w:rsidR="0084489F" w:rsidRDefault="00110FE6">
            <w:pPr>
              <w:pStyle w:val="Compact"/>
            </w:pPr>
            <w:r>
              <w:t>-</w:t>
            </w:r>
          </w:p>
        </w:tc>
        <w:tc>
          <w:tcPr>
            <w:tcW w:w="5176" w:type="dxa"/>
            <w:gridSpan w:val="4"/>
          </w:tcPr>
          <w:p w14:paraId="6A1D0FFB" w14:textId="77777777" w:rsidR="0084489F" w:rsidRDefault="00110FE6">
            <w:pPr>
              <w:pStyle w:val="Compact"/>
            </w:pPr>
            <w:r>
              <w:rPr>
                <w:rStyle w:val="VerbatimChar"/>
                <w:i/>
                <w:iCs/>
              </w:rPr>
              <w:t>E73_Objet_informationnel</w:t>
            </w:r>
          </w:p>
        </w:tc>
      </w:tr>
      <w:tr w:rsidR="0084489F" w14:paraId="0E7E6E62" w14:textId="77777777" w:rsidTr="00CC39FB">
        <w:tc>
          <w:tcPr>
            <w:tcW w:w="737" w:type="dxa"/>
          </w:tcPr>
          <w:p w14:paraId="70F92DF3" w14:textId="77777777" w:rsidR="0084489F" w:rsidRDefault="00110FE6">
            <w:pPr>
              <w:pStyle w:val="Compact"/>
            </w:pPr>
            <w:r>
              <w:t>E29</w:t>
            </w:r>
          </w:p>
        </w:tc>
        <w:tc>
          <w:tcPr>
            <w:tcW w:w="346" w:type="dxa"/>
          </w:tcPr>
          <w:p w14:paraId="2264C7AE" w14:textId="77777777" w:rsidR="0084489F" w:rsidRDefault="00110FE6">
            <w:pPr>
              <w:pStyle w:val="Compact"/>
            </w:pPr>
            <w:r>
              <w:t>-</w:t>
            </w:r>
          </w:p>
        </w:tc>
        <w:tc>
          <w:tcPr>
            <w:tcW w:w="296" w:type="dxa"/>
          </w:tcPr>
          <w:p w14:paraId="0F4D1031" w14:textId="77777777" w:rsidR="0084489F" w:rsidRDefault="00110FE6">
            <w:pPr>
              <w:pStyle w:val="Compact"/>
            </w:pPr>
            <w:r>
              <w:t>-</w:t>
            </w:r>
          </w:p>
        </w:tc>
        <w:tc>
          <w:tcPr>
            <w:tcW w:w="296" w:type="dxa"/>
          </w:tcPr>
          <w:p w14:paraId="1A72E133" w14:textId="77777777" w:rsidR="0084489F" w:rsidRDefault="00110FE6">
            <w:pPr>
              <w:pStyle w:val="Compact"/>
            </w:pPr>
            <w:r>
              <w:t>-</w:t>
            </w:r>
          </w:p>
        </w:tc>
        <w:tc>
          <w:tcPr>
            <w:tcW w:w="296" w:type="dxa"/>
          </w:tcPr>
          <w:p w14:paraId="44361A40" w14:textId="77777777" w:rsidR="0084489F" w:rsidRDefault="00110FE6">
            <w:pPr>
              <w:pStyle w:val="Compact"/>
            </w:pPr>
            <w:r>
              <w:t>-</w:t>
            </w:r>
          </w:p>
        </w:tc>
        <w:tc>
          <w:tcPr>
            <w:tcW w:w="296" w:type="dxa"/>
          </w:tcPr>
          <w:p w14:paraId="6A99CFFB" w14:textId="77777777" w:rsidR="0084489F" w:rsidRDefault="00110FE6">
            <w:pPr>
              <w:pStyle w:val="Compact"/>
            </w:pPr>
            <w:r>
              <w:t>-</w:t>
            </w:r>
          </w:p>
        </w:tc>
        <w:tc>
          <w:tcPr>
            <w:tcW w:w="554" w:type="dxa"/>
          </w:tcPr>
          <w:p w14:paraId="29CCBC02" w14:textId="77777777" w:rsidR="0084489F" w:rsidRDefault="00110FE6">
            <w:pPr>
              <w:pStyle w:val="Compact"/>
            </w:pPr>
            <w:r>
              <w:t>-</w:t>
            </w:r>
          </w:p>
        </w:tc>
        <w:tc>
          <w:tcPr>
            <w:tcW w:w="755" w:type="dxa"/>
          </w:tcPr>
          <w:p w14:paraId="2E555AD1" w14:textId="77777777" w:rsidR="0084489F" w:rsidRDefault="00110FE6">
            <w:pPr>
              <w:pStyle w:val="Compact"/>
            </w:pPr>
            <w:r>
              <w:t>-</w:t>
            </w:r>
          </w:p>
        </w:tc>
        <w:tc>
          <w:tcPr>
            <w:tcW w:w="4421" w:type="dxa"/>
            <w:gridSpan w:val="3"/>
          </w:tcPr>
          <w:p w14:paraId="1B89BF59" w14:textId="77777777" w:rsidR="0084489F" w:rsidRDefault="00110FE6">
            <w:pPr>
              <w:pStyle w:val="Compact"/>
            </w:pPr>
            <w:r>
              <w:rPr>
                <w:rStyle w:val="VerbatimChar"/>
                <w:i/>
                <w:iCs/>
              </w:rPr>
              <w:t>E29_Conceptualisation_ou_procédure</w:t>
            </w:r>
          </w:p>
        </w:tc>
      </w:tr>
      <w:tr w:rsidR="0084489F" w14:paraId="1AE4B5DF" w14:textId="77777777" w:rsidTr="00CC39FB">
        <w:tc>
          <w:tcPr>
            <w:tcW w:w="737" w:type="dxa"/>
          </w:tcPr>
          <w:p w14:paraId="235D7028" w14:textId="77777777" w:rsidR="0084489F" w:rsidRDefault="00110FE6">
            <w:pPr>
              <w:pStyle w:val="Compact"/>
            </w:pPr>
            <w:r>
              <w:t>E31</w:t>
            </w:r>
          </w:p>
        </w:tc>
        <w:tc>
          <w:tcPr>
            <w:tcW w:w="346" w:type="dxa"/>
          </w:tcPr>
          <w:p w14:paraId="52A47E1B" w14:textId="77777777" w:rsidR="0084489F" w:rsidRDefault="00110FE6">
            <w:pPr>
              <w:pStyle w:val="Compact"/>
            </w:pPr>
            <w:r>
              <w:t>-</w:t>
            </w:r>
          </w:p>
        </w:tc>
        <w:tc>
          <w:tcPr>
            <w:tcW w:w="296" w:type="dxa"/>
          </w:tcPr>
          <w:p w14:paraId="0B86A7E8" w14:textId="77777777" w:rsidR="0084489F" w:rsidRDefault="00110FE6">
            <w:pPr>
              <w:pStyle w:val="Compact"/>
            </w:pPr>
            <w:r>
              <w:t>-</w:t>
            </w:r>
          </w:p>
        </w:tc>
        <w:tc>
          <w:tcPr>
            <w:tcW w:w="296" w:type="dxa"/>
          </w:tcPr>
          <w:p w14:paraId="47E41771" w14:textId="77777777" w:rsidR="0084489F" w:rsidRDefault="00110FE6">
            <w:pPr>
              <w:pStyle w:val="Compact"/>
            </w:pPr>
            <w:r>
              <w:t>-</w:t>
            </w:r>
          </w:p>
        </w:tc>
        <w:tc>
          <w:tcPr>
            <w:tcW w:w="296" w:type="dxa"/>
          </w:tcPr>
          <w:p w14:paraId="146431AE" w14:textId="77777777" w:rsidR="0084489F" w:rsidRDefault="00110FE6">
            <w:pPr>
              <w:pStyle w:val="Compact"/>
            </w:pPr>
            <w:r>
              <w:t>-</w:t>
            </w:r>
          </w:p>
        </w:tc>
        <w:tc>
          <w:tcPr>
            <w:tcW w:w="296" w:type="dxa"/>
          </w:tcPr>
          <w:p w14:paraId="62D29BB4" w14:textId="77777777" w:rsidR="0084489F" w:rsidRDefault="00110FE6">
            <w:pPr>
              <w:pStyle w:val="Compact"/>
            </w:pPr>
            <w:r>
              <w:t>-</w:t>
            </w:r>
          </w:p>
        </w:tc>
        <w:tc>
          <w:tcPr>
            <w:tcW w:w="554" w:type="dxa"/>
          </w:tcPr>
          <w:p w14:paraId="44AC2AC6" w14:textId="77777777" w:rsidR="0084489F" w:rsidRDefault="00110FE6">
            <w:pPr>
              <w:pStyle w:val="Compact"/>
            </w:pPr>
            <w:r>
              <w:t>-</w:t>
            </w:r>
          </w:p>
        </w:tc>
        <w:tc>
          <w:tcPr>
            <w:tcW w:w="755" w:type="dxa"/>
          </w:tcPr>
          <w:p w14:paraId="1BF1B45D" w14:textId="77777777" w:rsidR="0084489F" w:rsidRDefault="00110FE6">
            <w:pPr>
              <w:pStyle w:val="Compact"/>
            </w:pPr>
            <w:r>
              <w:t>-</w:t>
            </w:r>
          </w:p>
        </w:tc>
        <w:tc>
          <w:tcPr>
            <w:tcW w:w="4421" w:type="dxa"/>
            <w:gridSpan w:val="3"/>
          </w:tcPr>
          <w:p w14:paraId="22A123BC" w14:textId="77777777" w:rsidR="0084489F" w:rsidRDefault="00110FE6">
            <w:pPr>
              <w:pStyle w:val="Compact"/>
            </w:pPr>
            <w:r>
              <w:rPr>
                <w:rStyle w:val="VerbatimChar"/>
                <w:i/>
                <w:iCs/>
              </w:rPr>
              <w:t>E31_Document</w:t>
            </w:r>
          </w:p>
        </w:tc>
      </w:tr>
      <w:tr w:rsidR="0084489F" w14:paraId="552382A2" w14:textId="77777777" w:rsidTr="00CC39FB">
        <w:tc>
          <w:tcPr>
            <w:tcW w:w="737" w:type="dxa"/>
          </w:tcPr>
          <w:p w14:paraId="5321E5EE" w14:textId="77777777" w:rsidR="0084489F" w:rsidRDefault="00110FE6">
            <w:pPr>
              <w:pStyle w:val="Compact"/>
            </w:pPr>
            <w:r>
              <w:t>E32</w:t>
            </w:r>
          </w:p>
        </w:tc>
        <w:tc>
          <w:tcPr>
            <w:tcW w:w="346" w:type="dxa"/>
          </w:tcPr>
          <w:p w14:paraId="567EC4F5" w14:textId="77777777" w:rsidR="0084489F" w:rsidRDefault="00110FE6">
            <w:pPr>
              <w:pStyle w:val="Compact"/>
            </w:pPr>
            <w:r>
              <w:t>-</w:t>
            </w:r>
          </w:p>
        </w:tc>
        <w:tc>
          <w:tcPr>
            <w:tcW w:w="296" w:type="dxa"/>
          </w:tcPr>
          <w:p w14:paraId="5856E19D" w14:textId="77777777" w:rsidR="0084489F" w:rsidRDefault="00110FE6">
            <w:pPr>
              <w:pStyle w:val="Compact"/>
            </w:pPr>
            <w:r>
              <w:t>-</w:t>
            </w:r>
          </w:p>
        </w:tc>
        <w:tc>
          <w:tcPr>
            <w:tcW w:w="296" w:type="dxa"/>
          </w:tcPr>
          <w:p w14:paraId="181A327B" w14:textId="77777777" w:rsidR="0084489F" w:rsidRDefault="00110FE6">
            <w:pPr>
              <w:pStyle w:val="Compact"/>
            </w:pPr>
            <w:r>
              <w:t>-</w:t>
            </w:r>
          </w:p>
        </w:tc>
        <w:tc>
          <w:tcPr>
            <w:tcW w:w="296" w:type="dxa"/>
          </w:tcPr>
          <w:p w14:paraId="400F687C" w14:textId="77777777" w:rsidR="0084489F" w:rsidRDefault="00110FE6">
            <w:pPr>
              <w:pStyle w:val="Compact"/>
            </w:pPr>
            <w:r>
              <w:t>-</w:t>
            </w:r>
          </w:p>
        </w:tc>
        <w:tc>
          <w:tcPr>
            <w:tcW w:w="296" w:type="dxa"/>
          </w:tcPr>
          <w:p w14:paraId="2A2821AF" w14:textId="77777777" w:rsidR="0084489F" w:rsidRDefault="00110FE6">
            <w:pPr>
              <w:pStyle w:val="Compact"/>
            </w:pPr>
            <w:r>
              <w:t>-</w:t>
            </w:r>
          </w:p>
        </w:tc>
        <w:tc>
          <w:tcPr>
            <w:tcW w:w="554" w:type="dxa"/>
          </w:tcPr>
          <w:p w14:paraId="60A0F8BC" w14:textId="77777777" w:rsidR="0084489F" w:rsidRDefault="00110FE6">
            <w:pPr>
              <w:pStyle w:val="Compact"/>
            </w:pPr>
            <w:r>
              <w:t>-</w:t>
            </w:r>
          </w:p>
        </w:tc>
        <w:tc>
          <w:tcPr>
            <w:tcW w:w="755" w:type="dxa"/>
          </w:tcPr>
          <w:p w14:paraId="1A732D0D" w14:textId="77777777" w:rsidR="0084489F" w:rsidRDefault="00110FE6">
            <w:pPr>
              <w:pStyle w:val="Compact"/>
            </w:pPr>
            <w:r>
              <w:t>-</w:t>
            </w:r>
          </w:p>
        </w:tc>
        <w:tc>
          <w:tcPr>
            <w:tcW w:w="755" w:type="dxa"/>
          </w:tcPr>
          <w:p w14:paraId="4F93FCA6" w14:textId="77777777" w:rsidR="0084489F" w:rsidRDefault="00110FE6">
            <w:pPr>
              <w:pStyle w:val="Compact"/>
            </w:pPr>
            <w:r>
              <w:t>-</w:t>
            </w:r>
          </w:p>
        </w:tc>
        <w:tc>
          <w:tcPr>
            <w:tcW w:w="3666" w:type="dxa"/>
            <w:gridSpan w:val="2"/>
          </w:tcPr>
          <w:p w14:paraId="7B505D98" w14:textId="77777777" w:rsidR="0084489F" w:rsidRDefault="00110FE6">
            <w:pPr>
              <w:pStyle w:val="Compact"/>
            </w:pPr>
            <w:r>
              <w:rPr>
                <w:rStyle w:val="VerbatimChar"/>
                <w:i/>
                <w:iCs/>
              </w:rPr>
              <w:t>E32_Document_de_référence</w:t>
            </w:r>
          </w:p>
        </w:tc>
      </w:tr>
      <w:tr w:rsidR="0084489F" w14:paraId="7563DE7A" w14:textId="77777777" w:rsidTr="00CC39FB">
        <w:tc>
          <w:tcPr>
            <w:tcW w:w="737" w:type="dxa"/>
          </w:tcPr>
          <w:p w14:paraId="4E5768C7" w14:textId="77777777" w:rsidR="0084489F" w:rsidRDefault="00110FE6">
            <w:pPr>
              <w:pStyle w:val="Compact"/>
            </w:pPr>
            <w:r>
              <w:t>E33</w:t>
            </w:r>
          </w:p>
        </w:tc>
        <w:tc>
          <w:tcPr>
            <w:tcW w:w="346" w:type="dxa"/>
          </w:tcPr>
          <w:p w14:paraId="0A5B71AA" w14:textId="77777777" w:rsidR="0084489F" w:rsidRDefault="00110FE6">
            <w:pPr>
              <w:pStyle w:val="Compact"/>
            </w:pPr>
            <w:r>
              <w:t>-</w:t>
            </w:r>
          </w:p>
        </w:tc>
        <w:tc>
          <w:tcPr>
            <w:tcW w:w="296" w:type="dxa"/>
          </w:tcPr>
          <w:p w14:paraId="7124324A" w14:textId="77777777" w:rsidR="0084489F" w:rsidRDefault="00110FE6">
            <w:pPr>
              <w:pStyle w:val="Compact"/>
            </w:pPr>
            <w:r>
              <w:t>-</w:t>
            </w:r>
          </w:p>
        </w:tc>
        <w:tc>
          <w:tcPr>
            <w:tcW w:w="296" w:type="dxa"/>
          </w:tcPr>
          <w:p w14:paraId="14AA2F2E" w14:textId="77777777" w:rsidR="0084489F" w:rsidRDefault="00110FE6">
            <w:pPr>
              <w:pStyle w:val="Compact"/>
            </w:pPr>
            <w:r>
              <w:t>-</w:t>
            </w:r>
          </w:p>
        </w:tc>
        <w:tc>
          <w:tcPr>
            <w:tcW w:w="296" w:type="dxa"/>
          </w:tcPr>
          <w:p w14:paraId="5FE0B992" w14:textId="77777777" w:rsidR="0084489F" w:rsidRDefault="00110FE6">
            <w:pPr>
              <w:pStyle w:val="Compact"/>
            </w:pPr>
            <w:r>
              <w:t>-</w:t>
            </w:r>
          </w:p>
        </w:tc>
        <w:tc>
          <w:tcPr>
            <w:tcW w:w="296" w:type="dxa"/>
          </w:tcPr>
          <w:p w14:paraId="4B3C0947" w14:textId="77777777" w:rsidR="0084489F" w:rsidRDefault="00110FE6">
            <w:pPr>
              <w:pStyle w:val="Compact"/>
            </w:pPr>
            <w:r>
              <w:t>-</w:t>
            </w:r>
          </w:p>
        </w:tc>
        <w:tc>
          <w:tcPr>
            <w:tcW w:w="554" w:type="dxa"/>
          </w:tcPr>
          <w:p w14:paraId="593CD091" w14:textId="77777777" w:rsidR="0084489F" w:rsidRDefault="00110FE6">
            <w:pPr>
              <w:pStyle w:val="Compact"/>
            </w:pPr>
            <w:r>
              <w:t>-</w:t>
            </w:r>
          </w:p>
        </w:tc>
        <w:tc>
          <w:tcPr>
            <w:tcW w:w="755" w:type="dxa"/>
          </w:tcPr>
          <w:p w14:paraId="0D1A3A79" w14:textId="77777777" w:rsidR="0084489F" w:rsidRDefault="00110FE6">
            <w:pPr>
              <w:pStyle w:val="Compact"/>
            </w:pPr>
            <w:r>
              <w:t>-</w:t>
            </w:r>
          </w:p>
        </w:tc>
        <w:tc>
          <w:tcPr>
            <w:tcW w:w="4421" w:type="dxa"/>
            <w:gridSpan w:val="3"/>
          </w:tcPr>
          <w:p w14:paraId="4241E7BC" w14:textId="77777777" w:rsidR="0084489F" w:rsidRDefault="00110FE6">
            <w:pPr>
              <w:pStyle w:val="Compact"/>
            </w:pPr>
            <w:r>
              <w:rPr>
                <w:rStyle w:val="VerbatimChar"/>
                <w:i/>
                <w:iCs/>
              </w:rPr>
              <w:t>E33_Objet_linguistique</w:t>
            </w:r>
          </w:p>
        </w:tc>
      </w:tr>
      <w:tr w:rsidR="0084489F" w14:paraId="0F754AA1" w14:textId="77777777" w:rsidTr="00CC39FB">
        <w:tc>
          <w:tcPr>
            <w:tcW w:w="737" w:type="dxa"/>
          </w:tcPr>
          <w:p w14:paraId="135ADD98" w14:textId="77777777" w:rsidR="0084489F" w:rsidRDefault="00110FE6">
            <w:pPr>
              <w:pStyle w:val="Compact"/>
            </w:pPr>
            <w:r>
              <w:t>E34</w:t>
            </w:r>
          </w:p>
        </w:tc>
        <w:tc>
          <w:tcPr>
            <w:tcW w:w="346" w:type="dxa"/>
          </w:tcPr>
          <w:p w14:paraId="1FF3B9A8" w14:textId="77777777" w:rsidR="0084489F" w:rsidRDefault="00110FE6">
            <w:pPr>
              <w:pStyle w:val="Compact"/>
            </w:pPr>
            <w:r>
              <w:t>-</w:t>
            </w:r>
          </w:p>
        </w:tc>
        <w:tc>
          <w:tcPr>
            <w:tcW w:w="296" w:type="dxa"/>
          </w:tcPr>
          <w:p w14:paraId="642626AA" w14:textId="77777777" w:rsidR="0084489F" w:rsidRDefault="00110FE6">
            <w:pPr>
              <w:pStyle w:val="Compact"/>
            </w:pPr>
            <w:r>
              <w:t>-</w:t>
            </w:r>
          </w:p>
        </w:tc>
        <w:tc>
          <w:tcPr>
            <w:tcW w:w="296" w:type="dxa"/>
          </w:tcPr>
          <w:p w14:paraId="26A63049" w14:textId="77777777" w:rsidR="0084489F" w:rsidRDefault="00110FE6">
            <w:pPr>
              <w:pStyle w:val="Compact"/>
            </w:pPr>
            <w:r>
              <w:t>-</w:t>
            </w:r>
          </w:p>
        </w:tc>
        <w:tc>
          <w:tcPr>
            <w:tcW w:w="296" w:type="dxa"/>
          </w:tcPr>
          <w:p w14:paraId="509722E8" w14:textId="77777777" w:rsidR="0084489F" w:rsidRDefault="00110FE6">
            <w:pPr>
              <w:pStyle w:val="Compact"/>
            </w:pPr>
            <w:r>
              <w:t>-</w:t>
            </w:r>
          </w:p>
        </w:tc>
        <w:tc>
          <w:tcPr>
            <w:tcW w:w="296" w:type="dxa"/>
          </w:tcPr>
          <w:p w14:paraId="5122F592" w14:textId="77777777" w:rsidR="0084489F" w:rsidRDefault="00110FE6">
            <w:pPr>
              <w:pStyle w:val="Compact"/>
            </w:pPr>
            <w:r>
              <w:t>-</w:t>
            </w:r>
          </w:p>
        </w:tc>
        <w:tc>
          <w:tcPr>
            <w:tcW w:w="554" w:type="dxa"/>
          </w:tcPr>
          <w:p w14:paraId="4533D355" w14:textId="77777777" w:rsidR="0084489F" w:rsidRDefault="00110FE6">
            <w:pPr>
              <w:pStyle w:val="Compact"/>
            </w:pPr>
            <w:r>
              <w:t>-</w:t>
            </w:r>
          </w:p>
        </w:tc>
        <w:tc>
          <w:tcPr>
            <w:tcW w:w="755" w:type="dxa"/>
          </w:tcPr>
          <w:p w14:paraId="703F2FEE" w14:textId="77777777" w:rsidR="0084489F" w:rsidRDefault="00110FE6">
            <w:pPr>
              <w:pStyle w:val="Compact"/>
            </w:pPr>
            <w:r>
              <w:t>-</w:t>
            </w:r>
          </w:p>
        </w:tc>
        <w:tc>
          <w:tcPr>
            <w:tcW w:w="755" w:type="dxa"/>
          </w:tcPr>
          <w:p w14:paraId="431EA550" w14:textId="77777777" w:rsidR="0084489F" w:rsidRDefault="00110FE6">
            <w:pPr>
              <w:pStyle w:val="Compact"/>
            </w:pPr>
            <w:r>
              <w:t>-</w:t>
            </w:r>
          </w:p>
        </w:tc>
        <w:tc>
          <w:tcPr>
            <w:tcW w:w="3666" w:type="dxa"/>
            <w:gridSpan w:val="2"/>
          </w:tcPr>
          <w:p w14:paraId="09B8BE9D" w14:textId="77777777" w:rsidR="0084489F" w:rsidRDefault="00110FE6">
            <w:pPr>
              <w:pStyle w:val="Compact"/>
            </w:pPr>
            <w:r>
              <w:rPr>
                <w:rStyle w:val="VerbatimChar"/>
                <w:i/>
                <w:iCs/>
              </w:rPr>
              <w:t>E34_Inscription</w:t>
            </w:r>
          </w:p>
        </w:tc>
      </w:tr>
      <w:tr w:rsidR="0084489F" w14:paraId="211C511E" w14:textId="77777777" w:rsidTr="00CC39FB">
        <w:tc>
          <w:tcPr>
            <w:tcW w:w="737" w:type="dxa"/>
          </w:tcPr>
          <w:p w14:paraId="21BCC1CE" w14:textId="77777777" w:rsidR="0084489F" w:rsidRDefault="00110FE6">
            <w:pPr>
              <w:pStyle w:val="Compact"/>
            </w:pPr>
            <w:r>
              <w:t>E35</w:t>
            </w:r>
          </w:p>
        </w:tc>
        <w:tc>
          <w:tcPr>
            <w:tcW w:w="346" w:type="dxa"/>
          </w:tcPr>
          <w:p w14:paraId="6163C1F8" w14:textId="77777777" w:rsidR="0084489F" w:rsidRDefault="00110FE6">
            <w:pPr>
              <w:pStyle w:val="Compact"/>
            </w:pPr>
            <w:r>
              <w:t>-</w:t>
            </w:r>
          </w:p>
        </w:tc>
        <w:tc>
          <w:tcPr>
            <w:tcW w:w="296" w:type="dxa"/>
          </w:tcPr>
          <w:p w14:paraId="4B152188" w14:textId="77777777" w:rsidR="0084489F" w:rsidRDefault="00110FE6">
            <w:pPr>
              <w:pStyle w:val="Compact"/>
            </w:pPr>
            <w:r>
              <w:t>-</w:t>
            </w:r>
          </w:p>
        </w:tc>
        <w:tc>
          <w:tcPr>
            <w:tcW w:w="296" w:type="dxa"/>
          </w:tcPr>
          <w:p w14:paraId="04B44177" w14:textId="77777777" w:rsidR="0084489F" w:rsidRDefault="00110FE6">
            <w:pPr>
              <w:pStyle w:val="Compact"/>
            </w:pPr>
            <w:r>
              <w:t>-</w:t>
            </w:r>
          </w:p>
        </w:tc>
        <w:tc>
          <w:tcPr>
            <w:tcW w:w="296" w:type="dxa"/>
          </w:tcPr>
          <w:p w14:paraId="12402AA8" w14:textId="77777777" w:rsidR="0084489F" w:rsidRDefault="00110FE6">
            <w:pPr>
              <w:pStyle w:val="Compact"/>
            </w:pPr>
            <w:r>
              <w:t>-</w:t>
            </w:r>
          </w:p>
        </w:tc>
        <w:tc>
          <w:tcPr>
            <w:tcW w:w="296" w:type="dxa"/>
          </w:tcPr>
          <w:p w14:paraId="42B119E4" w14:textId="77777777" w:rsidR="0084489F" w:rsidRDefault="00110FE6">
            <w:pPr>
              <w:pStyle w:val="Compact"/>
            </w:pPr>
            <w:r>
              <w:t>-</w:t>
            </w:r>
          </w:p>
        </w:tc>
        <w:tc>
          <w:tcPr>
            <w:tcW w:w="554" w:type="dxa"/>
          </w:tcPr>
          <w:p w14:paraId="1F3B15C6" w14:textId="77777777" w:rsidR="0084489F" w:rsidRDefault="00110FE6">
            <w:pPr>
              <w:pStyle w:val="Compact"/>
            </w:pPr>
            <w:r>
              <w:t>-</w:t>
            </w:r>
          </w:p>
        </w:tc>
        <w:tc>
          <w:tcPr>
            <w:tcW w:w="755" w:type="dxa"/>
          </w:tcPr>
          <w:p w14:paraId="38BF0D85" w14:textId="77777777" w:rsidR="0084489F" w:rsidRDefault="00110FE6">
            <w:pPr>
              <w:pStyle w:val="Compact"/>
            </w:pPr>
            <w:r>
              <w:t>-</w:t>
            </w:r>
          </w:p>
        </w:tc>
        <w:tc>
          <w:tcPr>
            <w:tcW w:w="755" w:type="dxa"/>
          </w:tcPr>
          <w:p w14:paraId="147670D3" w14:textId="77777777" w:rsidR="0084489F" w:rsidRDefault="00110FE6">
            <w:pPr>
              <w:pStyle w:val="Compact"/>
            </w:pPr>
            <w:r>
              <w:t>-</w:t>
            </w:r>
          </w:p>
        </w:tc>
        <w:tc>
          <w:tcPr>
            <w:tcW w:w="3666" w:type="dxa"/>
            <w:gridSpan w:val="2"/>
          </w:tcPr>
          <w:p w14:paraId="1ED30966" w14:textId="77777777" w:rsidR="0084489F" w:rsidRDefault="00110FE6">
            <w:pPr>
              <w:pStyle w:val="Compact"/>
            </w:pPr>
            <w:r>
              <w:rPr>
                <w:rStyle w:val="VerbatimChar"/>
                <w:i/>
                <w:iCs/>
              </w:rPr>
              <w:t>E35_Titre</w:t>
            </w:r>
          </w:p>
        </w:tc>
      </w:tr>
      <w:tr w:rsidR="0084489F" w14:paraId="3DE694E5" w14:textId="77777777" w:rsidTr="00CC39FB">
        <w:tc>
          <w:tcPr>
            <w:tcW w:w="737" w:type="dxa"/>
          </w:tcPr>
          <w:p w14:paraId="5660B52D" w14:textId="77777777" w:rsidR="0084489F" w:rsidRDefault="00110FE6">
            <w:pPr>
              <w:pStyle w:val="Compact"/>
            </w:pPr>
            <w:r>
              <w:t>E36</w:t>
            </w:r>
          </w:p>
        </w:tc>
        <w:tc>
          <w:tcPr>
            <w:tcW w:w="346" w:type="dxa"/>
          </w:tcPr>
          <w:p w14:paraId="571371E9" w14:textId="77777777" w:rsidR="0084489F" w:rsidRDefault="00110FE6">
            <w:pPr>
              <w:pStyle w:val="Compact"/>
            </w:pPr>
            <w:r>
              <w:t>-</w:t>
            </w:r>
          </w:p>
        </w:tc>
        <w:tc>
          <w:tcPr>
            <w:tcW w:w="296" w:type="dxa"/>
          </w:tcPr>
          <w:p w14:paraId="2005ED6F" w14:textId="77777777" w:rsidR="0084489F" w:rsidRDefault="00110FE6">
            <w:pPr>
              <w:pStyle w:val="Compact"/>
            </w:pPr>
            <w:r>
              <w:t>-</w:t>
            </w:r>
          </w:p>
        </w:tc>
        <w:tc>
          <w:tcPr>
            <w:tcW w:w="296" w:type="dxa"/>
          </w:tcPr>
          <w:p w14:paraId="1E72837C" w14:textId="77777777" w:rsidR="0084489F" w:rsidRDefault="00110FE6">
            <w:pPr>
              <w:pStyle w:val="Compact"/>
            </w:pPr>
            <w:r>
              <w:t>-</w:t>
            </w:r>
          </w:p>
        </w:tc>
        <w:tc>
          <w:tcPr>
            <w:tcW w:w="296" w:type="dxa"/>
          </w:tcPr>
          <w:p w14:paraId="2A2ADC74" w14:textId="77777777" w:rsidR="0084489F" w:rsidRDefault="00110FE6">
            <w:pPr>
              <w:pStyle w:val="Compact"/>
            </w:pPr>
            <w:r>
              <w:t>-</w:t>
            </w:r>
          </w:p>
        </w:tc>
        <w:tc>
          <w:tcPr>
            <w:tcW w:w="296" w:type="dxa"/>
          </w:tcPr>
          <w:p w14:paraId="49580EA7" w14:textId="77777777" w:rsidR="0084489F" w:rsidRDefault="00110FE6">
            <w:pPr>
              <w:pStyle w:val="Compact"/>
            </w:pPr>
            <w:r>
              <w:t>-</w:t>
            </w:r>
          </w:p>
        </w:tc>
        <w:tc>
          <w:tcPr>
            <w:tcW w:w="554" w:type="dxa"/>
          </w:tcPr>
          <w:p w14:paraId="52370591" w14:textId="77777777" w:rsidR="0084489F" w:rsidRDefault="00110FE6">
            <w:pPr>
              <w:pStyle w:val="Compact"/>
            </w:pPr>
            <w:r>
              <w:t>-</w:t>
            </w:r>
          </w:p>
        </w:tc>
        <w:tc>
          <w:tcPr>
            <w:tcW w:w="755" w:type="dxa"/>
          </w:tcPr>
          <w:p w14:paraId="23DD70E8" w14:textId="77777777" w:rsidR="0084489F" w:rsidRDefault="00110FE6">
            <w:pPr>
              <w:pStyle w:val="Compact"/>
            </w:pPr>
            <w:r>
              <w:t>-</w:t>
            </w:r>
          </w:p>
        </w:tc>
        <w:tc>
          <w:tcPr>
            <w:tcW w:w="4421" w:type="dxa"/>
            <w:gridSpan w:val="3"/>
          </w:tcPr>
          <w:p w14:paraId="014136F9" w14:textId="77777777" w:rsidR="0084489F" w:rsidRDefault="00110FE6">
            <w:pPr>
              <w:pStyle w:val="Compact"/>
            </w:pPr>
            <w:r>
              <w:rPr>
                <w:rStyle w:val="VerbatimChar"/>
                <w:i/>
                <w:iCs/>
              </w:rPr>
              <w:t>E36_Entité_visuelle</w:t>
            </w:r>
          </w:p>
        </w:tc>
      </w:tr>
      <w:tr w:rsidR="0084489F" w14:paraId="100EBA69" w14:textId="77777777" w:rsidTr="00CC39FB">
        <w:tc>
          <w:tcPr>
            <w:tcW w:w="737" w:type="dxa"/>
          </w:tcPr>
          <w:p w14:paraId="51EAF600" w14:textId="77777777" w:rsidR="0084489F" w:rsidRDefault="00110FE6">
            <w:pPr>
              <w:pStyle w:val="Compact"/>
            </w:pPr>
            <w:r>
              <w:t>E37</w:t>
            </w:r>
          </w:p>
        </w:tc>
        <w:tc>
          <w:tcPr>
            <w:tcW w:w="346" w:type="dxa"/>
          </w:tcPr>
          <w:p w14:paraId="3DEC3704" w14:textId="77777777" w:rsidR="0084489F" w:rsidRDefault="00110FE6">
            <w:pPr>
              <w:pStyle w:val="Compact"/>
            </w:pPr>
            <w:r>
              <w:t>-</w:t>
            </w:r>
          </w:p>
        </w:tc>
        <w:tc>
          <w:tcPr>
            <w:tcW w:w="296" w:type="dxa"/>
          </w:tcPr>
          <w:p w14:paraId="2A076634" w14:textId="77777777" w:rsidR="0084489F" w:rsidRDefault="00110FE6">
            <w:pPr>
              <w:pStyle w:val="Compact"/>
            </w:pPr>
            <w:r>
              <w:t>-</w:t>
            </w:r>
          </w:p>
        </w:tc>
        <w:tc>
          <w:tcPr>
            <w:tcW w:w="296" w:type="dxa"/>
          </w:tcPr>
          <w:p w14:paraId="78E892E2" w14:textId="77777777" w:rsidR="0084489F" w:rsidRDefault="00110FE6">
            <w:pPr>
              <w:pStyle w:val="Compact"/>
            </w:pPr>
            <w:r>
              <w:t>-</w:t>
            </w:r>
          </w:p>
        </w:tc>
        <w:tc>
          <w:tcPr>
            <w:tcW w:w="296" w:type="dxa"/>
          </w:tcPr>
          <w:p w14:paraId="0D57D893" w14:textId="77777777" w:rsidR="0084489F" w:rsidRDefault="00110FE6">
            <w:pPr>
              <w:pStyle w:val="Compact"/>
            </w:pPr>
            <w:r>
              <w:t>-</w:t>
            </w:r>
          </w:p>
        </w:tc>
        <w:tc>
          <w:tcPr>
            <w:tcW w:w="296" w:type="dxa"/>
          </w:tcPr>
          <w:p w14:paraId="7E1C253D" w14:textId="77777777" w:rsidR="0084489F" w:rsidRDefault="00110FE6">
            <w:pPr>
              <w:pStyle w:val="Compact"/>
            </w:pPr>
            <w:r>
              <w:t>-</w:t>
            </w:r>
          </w:p>
        </w:tc>
        <w:tc>
          <w:tcPr>
            <w:tcW w:w="554" w:type="dxa"/>
          </w:tcPr>
          <w:p w14:paraId="18CD8AF3" w14:textId="77777777" w:rsidR="0084489F" w:rsidRDefault="00110FE6">
            <w:pPr>
              <w:pStyle w:val="Compact"/>
            </w:pPr>
            <w:r>
              <w:t>-</w:t>
            </w:r>
          </w:p>
        </w:tc>
        <w:tc>
          <w:tcPr>
            <w:tcW w:w="755" w:type="dxa"/>
          </w:tcPr>
          <w:p w14:paraId="20585470" w14:textId="77777777" w:rsidR="0084489F" w:rsidRDefault="00110FE6">
            <w:pPr>
              <w:pStyle w:val="Compact"/>
            </w:pPr>
            <w:r>
              <w:t>-</w:t>
            </w:r>
          </w:p>
        </w:tc>
        <w:tc>
          <w:tcPr>
            <w:tcW w:w="755" w:type="dxa"/>
          </w:tcPr>
          <w:p w14:paraId="77ABFD17" w14:textId="77777777" w:rsidR="0084489F" w:rsidRDefault="00110FE6">
            <w:pPr>
              <w:pStyle w:val="Compact"/>
            </w:pPr>
            <w:r>
              <w:t>-</w:t>
            </w:r>
          </w:p>
        </w:tc>
        <w:tc>
          <w:tcPr>
            <w:tcW w:w="3666" w:type="dxa"/>
            <w:gridSpan w:val="2"/>
          </w:tcPr>
          <w:p w14:paraId="1C19423C" w14:textId="77777777" w:rsidR="0084489F" w:rsidRDefault="00110FE6">
            <w:pPr>
              <w:pStyle w:val="Compact"/>
            </w:pPr>
            <w:r>
              <w:rPr>
                <w:rStyle w:val="VerbatimChar"/>
                <w:i/>
                <w:iCs/>
              </w:rPr>
              <w:t>E37_Marque</w:t>
            </w:r>
          </w:p>
        </w:tc>
      </w:tr>
      <w:tr w:rsidR="0084489F" w14:paraId="59974AF7" w14:textId="77777777" w:rsidTr="00CC39FB">
        <w:tc>
          <w:tcPr>
            <w:tcW w:w="737" w:type="dxa"/>
          </w:tcPr>
          <w:p w14:paraId="201213FB" w14:textId="77777777" w:rsidR="0084489F" w:rsidRDefault="00110FE6">
            <w:pPr>
              <w:pStyle w:val="Compact"/>
            </w:pPr>
            <w:r>
              <w:t>E34</w:t>
            </w:r>
          </w:p>
        </w:tc>
        <w:tc>
          <w:tcPr>
            <w:tcW w:w="346" w:type="dxa"/>
          </w:tcPr>
          <w:p w14:paraId="709542BF" w14:textId="77777777" w:rsidR="0084489F" w:rsidRDefault="00110FE6">
            <w:pPr>
              <w:pStyle w:val="Compact"/>
            </w:pPr>
            <w:r>
              <w:t>-</w:t>
            </w:r>
          </w:p>
        </w:tc>
        <w:tc>
          <w:tcPr>
            <w:tcW w:w="296" w:type="dxa"/>
          </w:tcPr>
          <w:p w14:paraId="292E8CEE" w14:textId="77777777" w:rsidR="0084489F" w:rsidRDefault="00110FE6">
            <w:pPr>
              <w:pStyle w:val="Compact"/>
            </w:pPr>
            <w:r>
              <w:t>-</w:t>
            </w:r>
          </w:p>
        </w:tc>
        <w:tc>
          <w:tcPr>
            <w:tcW w:w="296" w:type="dxa"/>
          </w:tcPr>
          <w:p w14:paraId="79E13D88" w14:textId="77777777" w:rsidR="0084489F" w:rsidRDefault="00110FE6">
            <w:pPr>
              <w:pStyle w:val="Compact"/>
            </w:pPr>
            <w:r>
              <w:t>-</w:t>
            </w:r>
          </w:p>
        </w:tc>
        <w:tc>
          <w:tcPr>
            <w:tcW w:w="296" w:type="dxa"/>
          </w:tcPr>
          <w:p w14:paraId="510277A7" w14:textId="77777777" w:rsidR="0084489F" w:rsidRDefault="00110FE6">
            <w:pPr>
              <w:pStyle w:val="Compact"/>
            </w:pPr>
            <w:r>
              <w:t>-</w:t>
            </w:r>
          </w:p>
        </w:tc>
        <w:tc>
          <w:tcPr>
            <w:tcW w:w="296" w:type="dxa"/>
          </w:tcPr>
          <w:p w14:paraId="66B51536" w14:textId="77777777" w:rsidR="0084489F" w:rsidRDefault="00110FE6">
            <w:pPr>
              <w:pStyle w:val="Compact"/>
            </w:pPr>
            <w:r>
              <w:t>-</w:t>
            </w:r>
          </w:p>
        </w:tc>
        <w:tc>
          <w:tcPr>
            <w:tcW w:w="554" w:type="dxa"/>
          </w:tcPr>
          <w:p w14:paraId="4BFBA6C3" w14:textId="77777777" w:rsidR="0084489F" w:rsidRDefault="00110FE6">
            <w:pPr>
              <w:pStyle w:val="Compact"/>
            </w:pPr>
            <w:r>
              <w:t>-</w:t>
            </w:r>
          </w:p>
        </w:tc>
        <w:tc>
          <w:tcPr>
            <w:tcW w:w="755" w:type="dxa"/>
          </w:tcPr>
          <w:p w14:paraId="10396122" w14:textId="77777777" w:rsidR="0084489F" w:rsidRDefault="00110FE6">
            <w:pPr>
              <w:pStyle w:val="Compact"/>
            </w:pPr>
            <w:r>
              <w:t>-</w:t>
            </w:r>
          </w:p>
        </w:tc>
        <w:tc>
          <w:tcPr>
            <w:tcW w:w="755" w:type="dxa"/>
          </w:tcPr>
          <w:p w14:paraId="0450041C" w14:textId="77777777" w:rsidR="0084489F" w:rsidRDefault="00110FE6">
            <w:pPr>
              <w:pStyle w:val="Compact"/>
            </w:pPr>
            <w:r>
              <w:t>-</w:t>
            </w:r>
          </w:p>
        </w:tc>
        <w:tc>
          <w:tcPr>
            <w:tcW w:w="755" w:type="dxa"/>
          </w:tcPr>
          <w:p w14:paraId="0CBA66D7" w14:textId="77777777" w:rsidR="0084489F" w:rsidRDefault="00110FE6">
            <w:pPr>
              <w:pStyle w:val="Compact"/>
            </w:pPr>
            <w:r>
              <w:t>-</w:t>
            </w:r>
          </w:p>
        </w:tc>
        <w:tc>
          <w:tcPr>
            <w:tcW w:w="2911" w:type="dxa"/>
          </w:tcPr>
          <w:p w14:paraId="6607F037" w14:textId="77777777" w:rsidR="0084489F" w:rsidRDefault="00110FE6">
            <w:pPr>
              <w:pStyle w:val="Compact"/>
            </w:pPr>
            <w:r>
              <w:rPr>
                <w:rStyle w:val="VerbatimChar"/>
                <w:i/>
                <w:iCs/>
              </w:rPr>
              <w:t>E34_Inscription</w:t>
            </w:r>
          </w:p>
        </w:tc>
      </w:tr>
      <w:tr w:rsidR="0084489F" w14:paraId="5736A22E" w14:textId="77777777" w:rsidTr="00CC39FB">
        <w:tc>
          <w:tcPr>
            <w:tcW w:w="737" w:type="dxa"/>
          </w:tcPr>
          <w:p w14:paraId="1C23CF88" w14:textId="77777777" w:rsidR="0084489F" w:rsidRDefault="00110FE6">
            <w:pPr>
              <w:pStyle w:val="Compact"/>
            </w:pPr>
            <w:r>
              <w:t>E41</w:t>
            </w:r>
          </w:p>
        </w:tc>
        <w:tc>
          <w:tcPr>
            <w:tcW w:w="346" w:type="dxa"/>
          </w:tcPr>
          <w:p w14:paraId="24DD5A2B" w14:textId="77777777" w:rsidR="0084489F" w:rsidRDefault="00110FE6">
            <w:pPr>
              <w:pStyle w:val="Compact"/>
            </w:pPr>
            <w:r>
              <w:t>-</w:t>
            </w:r>
          </w:p>
        </w:tc>
        <w:tc>
          <w:tcPr>
            <w:tcW w:w="296" w:type="dxa"/>
          </w:tcPr>
          <w:p w14:paraId="5AD8DB37" w14:textId="77777777" w:rsidR="0084489F" w:rsidRDefault="00110FE6">
            <w:pPr>
              <w:pStyle w:val="Compact"/>
            </w:pPr>
            <w:r>
              <w:t>-</w:t>
            </w:r>
          </w:p>
        </w:tc>
        <w:tc>
          <w:tcPr>
            <w:tcW w:w="296" w:type="dxa"/>
          </w:tcPr>
          <w:p w14:paraId="4C5EC4A4" w14:textId="77777777" w:rsidR="0084489F" w:rsidRDefault="00110FE6">
            <w:pPr>
              <w:pStyle w:val="Compact"/>
            </w:pPr>
            <w:r>
              <w:t>-</w:t>
            </w:r>
          </w:p>
        </w:tc>
        <w:tc>
          <w:tcPr>
            <w:tcW w:w="296" w:type="dxa"/>
          </w:tcPr>
          <w:p w14:paraId="6AAAA47D" w14:textId="77777777" w:rsidR="0084489F" w:rsidRDefault="00110FE6">
            <w:pPr>
              <w:pStyle w:val="Compact"/>
            </w:pPr>
            <w:r>
              <w:t>-</w:t>
            </w:r>
          </w:p>
        </w:tc>
        <w:tc>
          <w:tcPr>
            <w:tcW w:w="296" w:type="dxa"/>
          </w:tcPr>
          <w:p w14:paraId="2F75323E" w14:textId="77777777" w:rsidR="0084489F" w:rsidRDefault="00110FE6">
            <w:pPr>
              <w:pStyle w:val="Compact"/>
            </w:pPr>
            <w:r>
              <w:t>-</w:t>
            </w:r>
          </w:p>
        </w:tc>
        <w:tc>
          <w:tcPr>
            <w:tcW w:w="554" w:type="dxa"/>
          </w:tcPr>
          <w:p w14:paraId="3E153E67" w14:textId="77777777" w:rsidR="0084489F" w:rsidRDefault="00110FE6">
            <w:pPr>
              <w:pStyle w:val="Compact"/>
            </w:pPr>
            <w:r>
              <w:t>-</w:t>
            </w:r>
          </w:p>
        </w:tc>
        <w:tc>
          <w:tcPr>
            <w:tcW w:w="5176" w:type="dxa"/>
            <w:gridSpan w:val="4"/>
          </w:tcPr>
          <w:p w14:paraId="5007D301" w14:textId="77777777" w:rsidR="0084489F" w:rsidRDefault="00110FE6">
            <w:pPr>
              <w:pStyle w:val="Compact"/>
            </w:pPr>
            <w:r>
              <w:rPr>
                <w:rStyle w:val="VerbatimChar"/>
                <w:i/>
                <w:iCs/>
              </w:rPr>
              <w:t>E41_Appellation</w:t>
            </w:r>
          </w:p>
        </w:tc>
      </w:tr>
      <w:tr w:rsidR="0084489F" w14:paraId="39D4C71F" w14:textId="77777777" w:rsidTr="00CC39FB">
        <w:tc>
          <w:tcPr>
            <w:tcW w:w="737" w:type="dxa"/>
          </w:tcPr>
          <w:p w14:paraId="65F8B03A" w14:textId="77777777" w:rsidR="0084489F" w:rsidRDefault="00110FE6">
            <w:pPr>
              <w:pStyle w:val="Compact"/>
            </w:pPr>
            <w:r>
              <w:t>E42</w:t>
            </w:r>
          </w:p>
        </w:tc>
        <w:tc>
          <w:tcPr>
            <w:tcW w:w="346" w:type="dxa"/>
          </w:tcPr>
          <w:p w14:paraId="108D8208" w14:textId="77777777" w:rsidR="0084489F" w:rsidRDefault="00110FE6">
            <w:pPr>
              <w:pStyle w:val="Compact"/>
            </w:pPr>
            <w:r>
              <w:t>-</w:t>
            </w:r>
          </w:p>
        </w:tc>
        <w:tc>
          <w:tcPr>
            <w:tcW w:w="296" w:type="dxa"/>
          </w:tcPr>
          <w:p w14:paraId="1FC22208" w14:textId="77777777" w:rsidR="0084489F" w:rsidRDefault="00110FE6">
            <w:pPr>
              <w:pStyle w:val="Compact"/>
            </w:pPr>
            <w:r>
              <w:t>-</w:t>
            </w:r>
          </w:p>
        </w:tc>
        <w:tc>
          <w:tcPr>
            <w:tcW w:w="296" w:type="dxa"/>
          </w:tcPr>
          <w:p w14:paraId="75A05E6D" w14:textId="77777777" w:rsidR="0084489F" w:rsidRDefault="00110FE6">
            <w:pPr>
              <w:pStyle w:val="Compact"/>
            </w:pPr>
            <w:r>
              <w:t>-</w:t>
            </w:r>
          </w:p>
        </w:tc>
        <w:tc>
          <w:tcPr>
            <w:tcW w:w="296" w:type="dxa"/>
          </w:tcPr>
          <w:p w14:paraId="24536D6A" w14:textId="77777777" w:rsidR="0084489F" w:rsidRDefault="00110FE6">
            <w:pPr>
              <w:pStyle w:val="Compact"/>
            </w:pPr>
            <w:r>
              <w:t>-</w:t>
            </w:r>
          </w:p>
        </w:tc>
        <w:tc>
          <w:tcPr>
            <w:tcW w:w="296" w:type="dxa"/>
          </w:tcPr>
          <w:p w14:paraId="2F99520D" w14:textId="77777777" w:rsidR="0084489F" w:rsidRDefault="00110FE6">
            <w:pPr>
              <w:pStyle w:val="Compact"/>
            </w:pPr>
            <w:r>
              <w:t>-</w:t>
            </w:r>
          </w:p>
        </w:tc>
        <w:tc>
          <w:tcPr>
            <w:tcW w:w="554" w:type="dxa"/>
          </w:tcPr>
          <w:p w14:paraId="27ED8EB2" w14:textId="77777777" w:rsidR="0084489F" w:rsidRDefault="00110FE6">
            <w:pPr>
              <w:pStyle w:val="Compact"/>
            </w:pPr>
            <w:r>
              <w:t>-</w:t>
            </w:r>
          </w:p>
        </w:tc>
        <w:tc>
          <w:tcPr>
            <w:tcW w:w="755" w:type="dxa"/>
          </w:tcPr>
          <w:p w14:paraId="5F881190" w14:textId="77777777" w:rsidR="0084489F" w:rsidRDefault="00110FE6">
            <w:pPr>
              <w:pStyle w:val="Compact"/>
            </w:pPr>
            <w:r>
              <w:t>-</w:t>
            </w:r>
          </w:p>
        </w:tc>
        <w:tc>
          <w:tcPr>
            <w:tcW w:w="4421" w:type="dxa"/>
            <w:gridSpan w:val="3"/>
          </w:tcPr>
          <w:p w14:paraId="0216A56C" w14:textId="77777777" w:rsidR="0084489F" w:rsidRDefault="00110FE6">
            <w:pPr>
              <w:pStyle w:val="Compact"/>
            </w:pPr>
            <w:r>
              <w:rPr>
                <w:rStyle w:val="VerbatimChar"/>
                <w:i/>
                <w:iCs/>
              </w:rPr>
              <w:t>E42_Identifiant</w:t>
            </w:r>
          </w:p>
        </w:tc>
      </w:tr>
      <w:tr w:rsidR="0084489F" w14:paraId="14D81D73" w14:textId="77777777" w:rsidTr="00CC39FB">
        <w:tc>
          <w:tcPr>
            <w:tcW w:w="737" w:type="dxa"/>
          </w:tcPr>
          <w:p w14:paraId="32E7D485" w14:textId="77777777" w:rsidR="0084489F" w:rsidRDefault="00110FE6">
            <w:pPr>
              <w:pStyle w:val="Compact"/>
            </w:pPr>
            <w:r>
              <w:t>E35</w:t>
            </w:r>
          </w:p>
        </w:tc>
        <w:tc>
          <w:tcPr>
            <w:tcW w:w="346" w:type="dxa"/>
          </w:tcPr>
          <w:p w14:paraId="02D0BE26" w14:textId="77777777" w:rsidR="0084489F" w:rsidRDefault="00110FE6">
            <w:pPr>
              <w:pStyle w:val="Compact"/>
            </w:pPr>
            <w:r>
              <w:t>-</w:t>
            </w:r>
          </w:p>
        </w:tc>
        <w:tc>
          <w:tcPr>
            <w:tcW w:w="296" w:type="dxa"/>
          </w:tcPr>
          <w:p w14:paraId="1D1B6464" w14:textId="77777777" w:rsidR="0084489F" w:rsidRDefault="00110FE6">
            <w:pPr>
              <w:pStyle w:val="Compact"/>
            </w:pPr>
            <w:r>
              <w:t>-</w:t>
            </w:r>
          </w:p>
        </w:tc>
        <w:tc>
          <w:tcPr>
            <w:tcW w:w="296" w:type="dxa"/>
          </w:tcPr>
          <w:p w14:paraId="3EE706BB" w14:textId="77777777" w:rsidR="0084489F" w:rsidRDefault="00110FE6">
            <w:pPr>
              <w:pStyle w:val="Compact"/>
            </w:pPr>
            <w:r>
              <w:t>-</w:t>
            </w:r>
          </w:p>
        </w:tc>
        <w:tc>
          <w:tcPr>
            <w:tcW w:w="296" w:type="dxa"/>
          </w:tcPr>
          <w:p w14:paraId="3FF9F978" w14:textId="77777777" w:rsidR="0084489F" w:rsidRDefault="00110FE6">
            <w:pPr>
              <w:pStyle w:val="Compact"/>
            </w:pPr>
            <w:r>
              <w:t>-</w:t>
            </w:r>
          </w:p>
        </w:tc>
        <w:tc>
          <w:tcPr>
            <w:tcW w:w="296" w:type="dxa"/>
          </w:tcPr>
          <w:p w14:paraId="73E439A5" w14:textId="77777777" w:rsidR="0084489F" w:rsidRDefault="00110FE6">
            <w:pPr>
              <w:pStyle w:val="Compact"/>
            </w:pPr>
            <w:r>
              <w:t>-</w:t>
            </w:r>
          </w:p>
        </w:tc>
        <w:tc>
          <w:tcPr>
            <w:tcW w:w="554" w:type="dxa"/>
          </w:tcPr>
          <w:p w14:paraId="158472F8" w14:textId="77777777" w:rsidR="0084489F" w:rsidRDefault="00110FE6">
            <w:pPr>
              <w:pStyle w:val="Compact"/>
            </w:pPr>
            <w:r>
              <w:t>-</w:t>
            </w:r>
          </w:p>
        </w:tc>
        <w:tc>
          <w:tcPr>
            <w:tcW w:w="755" w:type="dxa"/>
          </w:tcPr>
          <w:p w14:paraId="153B49AC" w14:textId="77777777" w:rsidR="0084489F" w:rsidRDefault="00110FE6">
            <w:pPr>
              <w:pStyle w:val="Compact"/>
            </w:pPr>
            <w:r>
              <w:t>-</w:t>
            </w:r>
          </w:p>
        </w:tc>
        <w:tc>
          <w:tcPr>
            <w:tcW w:w="4421" w:type="dxa"/>
            <w:gridSpan w:val="3"/>
          </w:tcPr>
          <w:p w14:paraId="1E85FA18" w14:textId="77777777" w:rsidR="0084489F" w:rsidRDefault="00110FE6">
            <w:pPr>
              <w:pStyle w:val="Compact"/>
            </w:pPr>
            <w:r>
              <w:rPr>
                <w:rStyle w:val="VerbatimChar"/>
                <w:i/>
                <w:iCs/>
              </w:rPr>
              <w:t>E35_Titre</w:t>
            </w:r>
          </w:p>
        </w:tc>
      </w:tr>
      <w:tr w:rsidR="0084489F" w14:paraId="27CC0977" w14:textId="77777777" w:rsidTr="00CC39FB">
        <w:tc>
          <w:tcPr>
            <w:tcW w:w="737" w:type="dxa"/>
          </w:tcPr>
          <w:p w14:paraId="41EE7721" w14:textId="77777777" w:rsidR="0084489F" w:rsidRDefault="00110FE6">
            <w:pPr>
              <w:pStyle w:val="Compact"/>
            </w:pPr>
            <w:r>
              <w:t>E95</w:t>
            </w:r>
          </w:p>
        </w:tc>
        <w:tc>
          <w:tcPr>
            <w:tcW w:w="346" w:type="dxa"/>
          </w:tcPr>
          <w:p w14:paraId="745D0939" w14:textId="77777777" w:rsidR="0084489F" w:rsidRDefault="00110FE6">
            <w:pPr>
              <w:pStyle w:val="Compact"/>
            </w:pPr>
            <w:r>
              <w:t>-</w:t>
            </w:r>
          </w:p>
        </w:tc>
        <w:tc>
          <w:tcPr>
            <w:tcW w:w="296" w:type="dxa"/>
          </w:tcPr>
          <w:p w14:paraId="3037C08D" w14:textId="77777777" w:rsidR="0084489F" w:rsidRDefault="00110FE6">
            <w:pPr>
              <w:pStyle w:val="Compact"/>
            </w:pPr>
            <w:r>
              <w:t>-</w:t>
            </w:r>
          </w:p>
        </w:tc>
        <w:tc>
          <w:tcPr>
            <w:tcW w:w="296" w:type="dxa"/>
          </w:tcPr>
          <w:p w14:paraId="65E2A9FA" w14:textId="77777777" w:rsidR="0084489F" w:rsidRDefault="00110FE6">
            <w:pPr>
              <w:pStyle w:val="Compact"/>
            </w:pPr>
            <w:r>
              <w:t>-</w:t>
            </w:r>
          </w:p>
        </w:tc>
        <w:tc>
          <w:tcPr>
            <w:tcW w:w="296" w:type="dxa"/>
          </w:tcPr>
          <w:p w14:paraId="439FC3F9" w14:textId="77777777" w:rsidR="0084489F" w:rsidRDefault="00110FE6">
            <w:pPr>
              <w:pStyle w:val="Compact"/>
            </w:pPr>
            <w:r>
              <w:t>-</w:t>
            </w:r>
          </w:p>
        </w:tc>
        <w:tc>
          <w:tcPr>
            <w:tcW w:w="296" w:type="dxa"/>
          </w:tcPr>
          <w:p w14:paraId="632DED5D" w14:textId="77777777" w:rsidR="0084489F" w:rsidRDefault="00110FE6">
            <w:pPr>
              <w:pStyle w:val="Compact"/>
            </w:pPr>
            <w:r>
              <w:t>-</w:t>
            </w:r>
          </w:p>
        </w:tc>
        <w:tc>
          <w:tcPr>
            <w:tcW w:w="554" w:type="dxa"/>
          </w:tcPr>
          <w:p w14:paraId="73F7F4AE" w14:textId="77777777" w:rsidR="0084489F" w:rsidRDefault="00110FE6">
            <w:pPr>
              <w:pStyle w:val="Compact"/>
            </w:pPr>
            <w:r>
              <w:t>-</w:t>
            </w:r>
          </w:p>
        </w:tc>
        <w:tc>
          <w:tcPr>
            <w:tcW w:w="755" w:type="dxa"/>
          </w:tcPr>
          <w:p w14:paraId="0A72A6A2" w14:textId="77777777" w:rsidR="0084489F" w:rsidRDefault="00110FE6">
            <w:pPr>
              <w:pStyle w:val="Compact"/>
            </w:pPr>
            <w:r>
              <w:t>-</w:t>
            </w:r>
          </w:p>
        </w:tc>
        <w:tc>
          <w:tcPr>
            <w:tcW w:w="4421" w:type="dxa"/>
            <w:gridSpan w:val="3"/>
          </w:tcPr>
          <w:p w14:paraId="6B6F4C39" w14:textId="77777777" w:rsidR="0084489F" w:rsidRDefault="00110FE6">
            <w:pPr>
              <w:pStyle w:val="Compact"/>
            </w:pPr>
            <w:r>
              <w:rPr>
                <w:rStyle w:val="VerbatimChar"/>
                <w:i/>
                <w:iCs/>
              </w:rPr>
              <w:t>E95_Primitive_spatio-temporelle</w:t>
            </w:r>
          </w:p>
        </w:tc>
      </w:tr>
      <w:tr w:rsidR="0084489F" w14:paraId="29D0CAD5" w14:textId="77777777" w:rsidTr="00CC39FB">
        <w:tc>
          <w:tcPr>
            <w:tcW w:w="737" w:type="dxa"/>
          </w:tcPr>
          <w:p w14:paraId="5993DD4A" w14:textId="77777777" w:rsidR="0084489F" w:rsidRDefault="00110FE6">
            <w:pPr>
              <w:pStyle w:val="Compact"/>
            </w:pPr>
            <w:r>
              <w:t>E94</w:t>
            </w:r>
          </w:p>
        </w:tc>
        <w:tc>
          <w:tcPr>
            <w:tcW w:w="346" w:type="dxa"/>
          </w:tcPr>
          <w:p w14:paraId="189D4F87" w14:textId="77777777" w:rsidR="0084489F" w:rsidRDefault="00110FE6">
            <w:pPr>
              <w:pStyle w:val="Compact"/>
            </w:pPr>
            <w:r>
              <w:t>-</w:t>
            </w:r>
          </w:p>
        </w:tc>
        <w:tc>
          <w:tcPr>
            <w:tcW w:w="296" w:type="dxa"/>
          </w:tcPr>
          <w:p w14:paraId="6600BA3E" w14:textId="77777777" w:rsidR="0084489F" w:rsidRDefault="00110FE6">
            <w:pPr>
              <w:pStyle w:val="Compact"/>
            </w:pPr>
            <w:r>
              <w:t>-</w:t>
            </w:r>
          </w:p>
        </w:tc>
        <w:tc>
          <w:tcPr>
            <w:tcW w:w="296" w:type="dxa"/>
          </w:tcPr>
          <w:p w14:paraId="44F5D250" w14:textId="77777777" w:rsidR="0084489F" w:rsidRDefault="00110FE6">
            <w:pPr>
              <w:pStyle w:val="Compact"/>
            </w:pPr>
            <w:r>
              <w:t>-</w:t>
            </w:r>
          </w:p>
        </w:tc>
        <w:tc>
          <w:tcPr>
            <w:tcW w:w="296" w:type="dxa"/>
          </w:tcPr>
          <w:p w14:paraId="25920F38" w14:textId="77777777" w:rsidR="0084489F" w:rsidRDefault="00110FE6">
            <w:pPr>
              <w:pStyle w:val="Compact"/>
            </w:pPr>
            <w:r>
              <w:t>-</w:t>
            </w:r>
          </w:p>
        </w:tc>
        <w:tc>
          <w:tcPr>
            <w:tcW w:w="296" w:type="dxa"/>
          </w:tcPr>
          <w:p w14:paraId="6F5EAE1C" w14:textId="77777777" w:rsidR="0084489F" w:rsidRDefault="00110FE6">
            <w:pPr>
              <w:pStyle w:val="Compact"/>
            </w:pPr>
            <w:r>
              <w:t>-</w:t>
            </w:r>
          </w:p>
        </w:tc>
        <w:tc>
          <w:tcPr>
            <w:tcW w:w="554" w:type="dxa"/>
          </w:tcPr>
          <w:p w14:paraId="1E4A4F0D" w14:textId="77777777" w:rsidR="0084489F" w:rsidRDefault="00110FE6">
            <w:pPr>
              <w:pStyle w:val="Compact"/>
            </w:pPr>
            <w:r>
              <w:t>-</w:t>
            </w:r>
          </w:p>
        </w:tc>
        <w:tc>
          <w:tcPr>
            <w:tcW w:w="755" w:type="dxa"/>
          </w:tcPr>
          <w:p w14:paraId="23C76856" w14:textId="77777777" w:rsidR="0084489F" w:rsidRDefault="00110FE6">
            <w:pPr>
              <w:pStyle w:val="Compact"/>
            </w:pPr>
            <w:r>
              <w:t>-</w:t>
            </w:r>
          </w:p>
        </w:tc>
        <w:tc>
          <w:tcPr>
            <w:tcW w:w="4421" w:type="dxa"/>
            <w:gridSpan w:val="3"/>
          </w:tcPr>
          <w:p w14:paraId="33FA7114" w14:textId="77777777" w:rsidR="0084489F" w:rsidRDefault="00110FE6">
            <w:pPr>
              <w:pStyle w:val="Compact"/>
            </w:pPr>
            <w:r>
              <w:rPr>
                <w:rStyle w:val="VerbatimChar"/>
                <w:i/>
                <w:iCs/>
              </w:rPr>
              <w:t>E94_Primitive_spatiale</w:t>
            </w:r>
          </w:p>
        </w:tc>
      </w:tr>
      <w:tr w:rsidR="0084489F" w14:paraId="7DC2BEAC" w14:textId="77777777" w:rsidTr="00CC39FB">
        <w:tc>
          <w:tcPr>
            <w:tcW w:w="737" w:type="dxa"/>
          </w:tcPr>
          <w:p w14:paraId="4A021A8E" w14:textId="77777777" w:rsidR="0084489F" w:rsidRDefault="00110FE6">
            <w:pPr>
              <w:pStyle w:val="Compact"/>
            </w:pPr>
            <w:r>
              <w:t>E61</w:t>
            </w:r>
          </w:p>
        </w:tc>
        <w:tc>
          <w:tcPr>
            <w:tcW w:w="346" w:type="dxa"/>
          </w:tcPr>
          <w:p w14:paraId="4DC196DF" w14:textId="77777777" w:rsidR="0084489F" w:rsidRDefault="00110FE6">
            <w:pPr>
              <w:pStyle w:val="Compact"/>
            </w:pPr>
            <w:r>
              <w:t>-</w:t>
            </w:r>
          </w:p>
        </w:tc>
        <w:tc>
          <w:tcPr>
            <w:tcW w:w="296" w:type="dxa"/>
          </w:tcPr>
          <w:p w14:paraId="16C5C853" w14:textId="77777777" w:rsidR="0084489F" w:rsidRDefault="00110FE6">
            <w:pPr>
              <w:pStyle w:val="Compact"/>
            </w:pPr>
            <w:r>
              <w:t>-</w:t>
            </w:r>
          </w:p>
        </w:tc>
        <w:tc>
          <w:tcPr>
            <w:tcW w:w="296" w:type="dxa"/>
          </w:tcPr>
          <w:p w14:paraId="3CA2CD6D" w14:textId="77777777" w:rsidR="0084489F" w:rsidRDefault="00110FE6">
            <w:pPr>
              <w:pStyle w:val="Compact"/>
            </w:pPr>
            <w:r>
              <w:t>-</w:t>
            </w:r>
          </w:p>
        </w:tc>
        <w:tc>
          <w:tcPr>
            <w:tcW w:w="296" w:type="dxa"/>
          </w:tcPr>
          <w:p w14:paraId="4CAFAE0E" w14:textId="77777777" w:rsidR="0084489F" w:rsidRDefault="00110FE6">
            <w:pPr>
              <w:pStyle w:val="Compact"/>
            </w:pPr>
            <w:r>
              <w:t>-</w:t>
            </w:r>
          </w:p>
        </w:tc>
        <w:tc>
          <w:tcPr>
            <w:tcW w:w="296" w:type="dxa"/>
          </w:tcPr>
          <w:p w14:paraId="0AB538AA" w14:textId="77777777" w:rsidR="0084489F" w:rsidRDefault="00110FE6">
            <w:pPr>
              <w:pStyle w:val="Compact"/>
            </w:pPr>
            <w:r>
              <w:t>-</w:t>
            </w:r>
          </w:p>
        </w:tc>
        <w:tc>
          <w:tcPr>
            <w:tcW w:w="554" w:type="dxa"/>
          </w:tcPr>
          <w:p w14:paraId="654B829C" w14:textId="77777777" w:rsidR="0084489F" w:rsidRDefault="00110FE6">
            <w:pPr>
              <w:pStyle w:val="Compact"/>
            </w:pPr>
            <w:r>
              <w:t>-</w:t>
            </w:r>
          </w:p>
        </w:tc>
        <w:tc>
          <w:tcPr>
            <w:tcW w:w="755" w:type="dxa"/>
          </w:tcPr>
          <w:p w14:paraId="1CDE84FF" w14:textId="77777777" w:rsidR="0084489F" w:rsidRDefault="00110FE6">
            <w:pPr>
              <w:pStyle w:val="Compact"/>
            </w:pPr>
            <w:r>
              <w:t>-</w:t>
            </w:r>
          </w:p>
        </w:tc>
        <w:tc>
          <w:tcPr>
            <w:tcW w:w="4421" w:type="dxa"/>
            <w:gridSpan w:val="3"/>
          </w:tcPr>
          <w:p w14:paraId="1FA0FAD0" w14:textId="77777777" w:rsidR="0084489F" w:rsidRDefault="00110FE6">
            <w:pPr>
              <w:pStyle w:val="Compact"/>
            </w:pPr>
            <w:r>
              <w:rPr>
                <w:rStyle w:val="VerbatimChar"/>
                <w:i/>
                <w:iCs/>
              </w:rPr>
              <w:t>E61_Primitive_temporelle</w:t>
            </w:r>
          </w:p>
        </w:tc>
      </w:tr>
      <w:tr w:rsidR="0084489F" w14:paraId="49306D96" w14:textId="77777777" w:rsidTr="00CC39FB">
        <w:tc>
          <w:tcPr>
            <w:tcW w:w="737" w:type="dxa"/>
          </w:tcPr>
          <w:p w14:paraId="3319C6C5" w14:textId="77777777" w:rsidR="0084489F" w:rsidRDefault="00110FE6">
            <w:pPr>
              <w:pStyle w:val="Compact"/>
            </w:pPr>
            <w:r>
              <w:t>E89</w:t>
            </w:r>
          </w:p>
        </w:tc>
        <w:tc>
          <w:tcPr>
            <w:tcW w:w="346" w:type="dxa"/>
          </w:tcPr>
          <w:p w14:paraId="7EEB37D3" w14:textId="77777777" w:rsidR="0084489F" w:rsidRDefault="00110FE6">
            <w:pPr>
              <w:pStyle w:val="Compact"/>
            </w:pPr>
            <w:r>
              <w:t>-</w:t>
            </w:r>
          </w:p>
        </w:tc>
        <w:tc>
          <w:tcPr>
            <w:tcW w:w="296" w:type="dxa"/>
          </w:tcPr>
          <w:p w14:paraId="20C985B4" w14:textId="77777777" w:rsidR="0084489F" w:rsidRDefault="00110FE6">
            <w:pPr>
              <w:pStyle w:val="Compact"/>
            </w:pPr>
            <w:r>
              <w:t>-</w:t>
            </w:r>
          </w:p>
        </w:tc>
        <w:tc>
          <w:tcPr>
            <w:tcW w:w="296" w:type="dxa"/>
          </w:tcPr>
          <w:p w14:paraId="6E1AFB2B" w14:textId="77777777" w:rsidR="0084489F" w:rsidRDefault="00110FE6">
            <w:pPr>
              <w:pStyle w:val="Compact"/>
            </w:pPr>
            <w:r>
              <w:t>-</w:t>
            </w:r>
          </w:p>
        </w:tc>
        <w:tc>
          <w:tcPr>
            <w:tcW w:w="296" w:type="dxa"/>
          </w:tcPr>
          <w:p w14:paraId="1C2283FB" w14:textId="77777777" w:rsidR="0084489F" w:rsidRDefault="00110FE6">
            <w:pPr>
              <w:pStyle w:val="Compact"/>
            </w:pPr>
            <w:r>
              <w:t>-</w:t>
            </w:r>
          </w:p>
        </w:tc>
        <w:tc>
          <w:tcPr>
            <w:tcW w:w="296" w:type="dxa"/>
          </w:tcPr>
          <w:p w14:paraId="732DE243" w14:textId="77777777" w:rsidR="0084489F" w:rsidRDefault="00110FE6">
            <w:pPr>
              <w:pStyle w:val="Compact"/>
            </w:pPr>
            <w:r>
              <w:t>-</w:t>
            </w:r>
          </w:p>
        </w:tc>
        <w:tc>
          <w:tcPr>
            <w:tcW w:w="5730" w:type="dxa"/>
            <w:gridSpan w:val="5"/>
          </w:tcPr>
          <w:p w14:paraId="424E1961" w14:textId="77777777" w:rsidR="0084489F" w:rsidRDefault="00110FE6">
            <w:pPr>
              <w:pStyle w:val="Compact"/>
            </w:pPr>
            <w:r>
              <w:rPr>
                <w:rStyle w:val="VerbatimChar"/>
              </w:rPr>
              <w:t>E89_Objet_propositionnel</w:t>
            </w:r>
          </w:p>
        </w:tc>
      </w:tr>
      <w:tr w:rsidR="0084489F" w14:paraId="41BD03E3" w14:textId="77777777" w:rsidTr="00CC39FB">
        <w:tc>
          <w:tcPr>
            <w:tcW w:w="737" w:type="dxa"/>
          </w:tcPr>
          <w:p w14:paraId="61E8FB0B" w14:textId="77777777" w:rsidR="0084489F" w:rsidRDefault="00110FE6">
            <w:pPr>
              <w:pStyle w:val="Compact"/>
            </w:pPr>
            <w:r>
              <w:t>E73</w:t>
            </w:r>
          </w:p>
        </w:tc>
        <w:tc>
          <w:tcPr>
            <w:tcW w:w="346" w:type="dxa"/>
          </w:tcPr>
          <w:p w14:paraId="41F3AFE2" w14:textId="77777777" w:rsidR="0084489F" w:rsidRDefault="00110FE6">
            <w:pPr>
              <w:pStyle w:val="Compact"/>
            </w:pPr>
            <w:r>
              <w:t>-</w:t>
            </w:r>
          </w:p>
        </w:tc>
        <w:tc>
          <w:tcPr>
            <w:tcW w:w="296" w:type="dxa"/>
          </w:tcPr>
          <w:p w14:paraId="3CAF579B" w14:textId="77777777" w:rsidR="0084489F" w:rsidRDefault="00110FE6">
            <w:pPr>
              <w:pStyle w:val="Compact"/>
            </w:pPr>
            <w:r>
              <w:t>-</w:t>
            </w:r>
          </w:p>
        </w:tc>
        <w:tc>
          <w:tcPr>
            <w:tcW w:w="296" w:type="dxa"/>
          </w:tcPr>
          <w:p w14:paraId="2DC09B5E" w14:textId="77777777" w:rsidR="0084489F" w:rsidRDefault="00110FE6">
            <w:pPr>
              <w:pStyle w:val="Compact"/>
            </w:pPr>
            <w:r>
              <w:t>-</w:t>
            </w:r>
          </w:p>
        </w:tc>
        <w:tc>
          <w:tcPr>
            <w:tcW w:w="296" w:type="dxa"/>
          </w:tcPr>
          <w:p w14:paraId="5115389E" w14:textId="77777777" w:rsidR="0084489F" w:rsidRDefault="00110FE6">
            <w:pPr>
              <w:pStyle w:val="Compact"/>
            </w:pPr>
            <w:r>
              <w:t>-</w:t>
            </w:r>
          </w:p>
        </w:tc>
        <w:tc>
          <w:tcPr>
            <w:tcW w:w="296" w:type="dxa"/>
          </w:tcPr>
          <w:p w14:paraId="3629EC93" w14:textId="77777777" w:rsidR="0084489F" w:rsidRDefault="00110FE6">
            <w:pPr>
              <w:pStyle w:val="Compact"/>
            </w:pPr>
            <w:r>
              <w:t>-</w:t>
            </w:r>
          </w:p>
        </w:tc>
        <w:tc>
          <w:tcPr>
            <w:tcW w:w="554" w:type="dxa"/>
          </w:tcPr>
          <w:p w14:paraId="0165A1D1" w14:textId="77777777" w:rsidR="0084489F" w:rsidRDefault="00110FE6">
            <w:pPr>
              <w:pStyle w:val="Compact"/>
            </w:pPr>
            <w:r>
              <w:t>-</w:t>
            </w:r>
          </w:p>
        </w:tc>
        <w:tc>
          <w:tcPr>
            <w:tcW w:w="5176" w:type="dxa"/>
            <w:gridSpan w:val="4"/>
          </w:tcPr>
          <w:p w14:paraId="32FD7D4F" w14:textId="77777777" w:rsidR="0084489F" w:rsidRDefault="00110FE6">
            <w:pPr>
              <w:pStyle w:val="Compact"/>
            </w:pPr>
            <w:r>
              <w:rPr>
                <w:rStyle w:val="VerbatimChar"/>
                <w:i/>
                <w:iCs/>
              </w:rPr>
              <w:t>E73_Objet_informationnel</w:t>
            </w:r>
          </w:p>
        </w:tc>
      </w:tr>
      <w:tr w:rsidR="0084489F" w14:paraId="1C293F6E" w14:textId="77777777" w:rsidTr="00CC39FB">
        <w:tc>
          <w:tcPr>
            <w:tcW w:w="737" w:type="dxa"/>
          </w:tcPr>
          <w:p w14:paraId="0B4AE5AF" w14:textId="77777777" w:rsidR="0084489F" w:rsidRDefault="00110FE6">
            <w:pPr>
              <w:pStyle w:val="Compact"/>
            </w:pPr>
            <w:r>
              <w:lastRenderedPageBreak/>
              <w:t>E29</w:t>
            </w:r>
          </w:p>
        </w:tc>
        <w:tc>
          <w:tcPr>
            <w:tcW w:w="346" w:type="dxa"/>
          </w:tcPr>
          <w:p w14:paraId="535A2E02" w14:textId="77777777" w:rsidR="0084489F" w:rsidRDefault="00110FE6">
            <w:pPr>
              <w:pStyle w:val="Compact"/>
            </w:pPr>
            <w:r>
              <w:t>-</w:t>
            </w:r>
          </w:p>
        </w:tc>
        <w:tc>
          <w:tcPr>
            <w:tcW w:w="296" w:type="dxa"/>
          </w:tcPr>
          <w:p w14:paraId="45A3EED9" w14:textId="77777777" w:rsidR="0084489F" w:rsidRDefault="00110FE6">
            <w:pPr>
              <w:pStyle w:val="Compact"/>
            </w:pPr>
            <w:r>
              <w:t>-</w:t>
            </w:r>
          </w:p>
        </w:tc>
        <w:tc>
          <w:tcPr>
            <w:tcW w:w="296" w:type="dxa"/>
          </w:tcPr>
          <w:p w14:paraId="3D0ED8CB" w14:textId="77777777" w:rsidR="0084489F" w:rsidRDefault="00110FE6">
            <w:pPr>
              <w:pStyle w:val="Compact"/>
            </w:pPr>
            <w:r>
              <w:t>-</w:t>
            </w:r>
          </w:p>
        </w:tc>
        <w:tc>
          <w:tcPr>
            <w:tcW w:w="296" w:type="dxa"/>
          </w:tcPr>
          <w:p w14:paraId="7D9FB50A" w14:textId="77777777" w:rsidR="0084489F" w:rsidRDefault="00110FE6">
            <w:pPr>
              <w:pStyle w:val="Compact"/>
            </w:pPr>
            <w:r>
              <w:t>-</w:t>
            </w:r>
          </w:p>
        </w:tc>
        <w:tc>
          <w:tcPr>
            <w:tcW w:w="296" w:type="dxa"/>
          </w:tcPr>
          <w:p w14:paraId="72F143E8" w14:textId="77777777" w:rsidR="0084489F" w:rsidRDefault="00110FE6">
            <w:pPr>
              <w:pStyle w:val="Compact"/>
            </w:pPr>
            <w:r>
              <w:t>-</w:t>
            </w:r>
          </w:p>
        </w:tc>
        <w:tc>
          <w:tcPr>
            <w:tcW w:w="554" w:type="dxa"/>
          </w:tcPr>
          <w:p w14:paraId="2CC6FE1D" w14:textId="77777777" w:rsidR="0084489F" w:rsidRDefault="00110FE6">
            <w:pPr>
              <w:pStyle w:val="Compact"/>
            </w:pPr>
            <w:r>
              <w:t>-</w:t>
            </w:r>
          </w:p>
        </w:tc>
        <w:tc>
          <w:tcPr>
            <w:tcW w:w="755" w:type="dxa"/>
          </w:tcPr>
          <w:p w14:paraId="690F687D" w14:textId="77777777" w:rsidR="0084489F" w:rsidRDefault="00110FE6">
            <w:pPr>
              <w:pStyle w:val="Compact"/>
            </w:pPr>
            <w:r>
              <w:t>-</w:t>
            </w:r>
          </w:p>
        </w:tc>
        <w:tc>
          <w:tcPr>
            <w:tcW w:w="4421" w:type="dxa"/>
            <w:gridSpan w:val="3"/>
          </w:tcPr>
          <w:p w14:paraId="0F2867F8" w14:textId="77777777" w:rsidR="0084489F" w:rsidRDefault="00110FE6">
            <w:pPr>
              <w:pStyle w:val="Compact"/>
            </w:pPr>
            <w:r>
              <w:rPr>
                <w:rStyle w:val="VerbatimChar"/>
                <w:i/>
                <w:iCs/>
              </w:rPr>
              <w:t>E29_Conceptualisation_ou_procédure</w:t>
            </w:r>
          </w:p>
        </w:tc>
      </w:tr>
      <w:tr w:rsidR="0084489F" w14:paraId="2ABBE6E5" w14:textId="77777777" w:rsidTr="00CC39FB">
        <w:tc>
          <w:tcPr>
            <w:tcW w:w="737" w:type="dxa"/>
          </w:tcPr>
          <w:p w14:paraId="75732A7C" w14:textId="77777777" w:rsidR="0084489F" w:rsidRDefault="00110FE6">
            <w:pPr>
              <w:pStyle w:val="Compact"/>
            </w:pPr>
            <w:r>
              <w:t>E31</w:t>
            </w:r>
          </w:p>
        </w:tc>
        <w:tc>
          <w:tcPr>
            <w:tcW w:w="346" w:type="dxa"/>
          </w:tcPr>
          <w:p w14:paraId="5E31DAD8" w14:textId="77777777" w:rsidR="0084489F" w:rsidRDefault="00110FE6">
            <w:pPr>
              <w:pStyle w:val="Compact"/>
            </w:pPr>
            <w:r>
              <w:t>-</w:t>
            </w:r>
          </w:p>
        </w:tc>
        <w:tc>
          <w:tcPr>
            <w:tcW w:w="296" w:type="dxa"/>
          </w:tcPr>
          <w:p w14:paraId="39A57DCA" w14:textId="77777777" w:rsidR="0084489F" w:rsidRDefault="00110FE6">
            <w:pPr>
              <w:pStyle w:val="Compact"/>
            </w:pPr>
            <w:r>
              <w:t>-</w:t>
            </w:r>
          </w:p>
        </w:tc>
        <w:tc>
          <w:tcPr>
            <w:tcW w:w="296" w:type="dxa"/>
          </w:tcPr>
          <w:p w14:paraId="1CD788C0" w14:textId="77777777" w:rsidR="0084489F" w:rsidRDefault="00110FE6">
            <w:pPr>
              <w:pStyle w:val="Compact"/>
            </w:pPr>
            <w:r>
              <w:t>-</w:t>
            </w:r>
          </w:p>
        </w:tc>
        <w:tc>
          <w:tcPr>
            <w:tcW w:w="296" w:type="dxa"/>
          </w:tcPr>
          <w:p w14:paraId="13A5E37A" w14:textId="77777777" w:rsidR="0084489F" w:rsidRDefault="00110FE6">
            <w:pPr>
              <w:pStyle w:val="Compact"/>
            </w:pPr>
            <w:r>
              <w:t>-</w:t>
            </w:r>
          </w:p>
        </w:tc>
        <w:tc>
          <w:tcPr>
            <w:tcW w:w="296" w:type="dxa"/>
          </w:tcPr>
          <w:p w14:paraId="5E147BDC" w14:textId="77777777" w:rsidR="0084489F" w:rsidRDefault="00110FE6">
            <w:pPr>
              <w:pStyle w:val="Compact"/>
            </w:pPr>
            <w:r>
              <w:t>-</w:t>
            </w:r>
          </w:p>
        </w:tc>
        <w:tc>
          <w:tcPr>
            <w:tcW w:w="554" w:type="dxa"/>
          </w:tcPr>
          <w:p w14:paraId="52E09E22" w14:textId="77777777" w:rsidR="0084489F" w:rsidRDefault="00110FE6">
            <w:pPr>
              <w:pStyle w:val="Compact"/>
            </w:pPr>
            <w:r>
              <w:t>-</w:t>
            </w:r>
          </w:p>
        </w:tc>
        <w:tc>
          <w:tcPr>
            <w:tcW w:w="755" w:type="dxa"/>
          </w:tcPr>
          <w:p w14:paraId="0E1F57D2" w14:textId="77777777" w:rsidR="0084489F" w:rsidRDefault="00110FE6">
            <w:pPr>
              <w:pStyle w:val="Compact"/>
            </w:pPr>
            <w:r>
              <w:t>-</w:t>
            </w:r>
          </w:p>
        </w:tc>
        <w:tc>
          <w:tcPr>
            <w:tcW w:w="4421" w:type="dxa"/>
            <w:gridSpan w:val="3"/>
          </w:tcPr>
          <w:p w14:paraId="6378C21E" w14:textId="77777777" w:rsidR="0084489F" w:rsidRDefault="00110FE6">
            <w:pPr>
              <w:pStyle w:val="Compact"/>
            </w:pPr>
            <w:r>
              <w:rPr>
                <w:rStyle w:val="VerbatimChar"/>
                <w:i/>
                <w:iCs/>
              </w:rPr>
              <w:t>E31_Document</w:t>
            </w:r>
          </w:p>
        </w:tc>
      </w:tr>
      <w:tr w:rsidR="0084489F" w14:paraId="12BA74FF" w14:textId="77777777" w:rsidTr="00CC39FB">
        <w:tc>
          <w:tcPr>
            <w:tcW w:w="737" w:type="dxa"/>
          </w:tcPr>
          <w:p w14:paraId="0595AB8C" w14:textId="77777777" w:rsidR="0084489F" w:rsidRDefault="00110FE6">
            <w:pPr>
              <w:pStyle w:val="Compact"/>
            </w:pPr>
            <w:r>
              <w:t>E32</w:t>
            </w:r>
          </w:p>
        </w:tc>
        <w:tc>
          <w:tcPr>
            <w:tcW w:w="346" w:type="dxa"/>
          </w:tcPr>
          <w:p w14:paraId="59E2D0DB" w14:textId="77777777" w:rsidR="0084489F" w:rsidRDefault="00110FE6">
            <w:pPr>
              <w:pStyle w:val="Compact"/>
            </w:pPr>
            <w:r>
              <w:t>-</w:t>
            </w:r>
          </w:p>
        </w:tc>
        <w:tc>
          <w:tcPr>
            <w:tcW w:w="296" w:type="dxa"/>
          </w:tcPr>
          <w:p w14:paraId="6D7347D5" w14:textId="77777777" w:rsidR="0084489F" w:rsidRDefault="00110FE6">
            <w:pPr>
              <w:pStyle w:val="Compact"/>
            </w:pPr>
            <w:r>
              <w:t>-</w:t>
            </w:r>
          </w:p>
        </w:tc>
        <w:tc>
          <w:tcPr>
            <w:tcW w:w="296" w:type="dxa"/>
          </w:tcPr>
          <w:p w14:paraId="7A97B441" w14:textId="77777777" w:rsidR="0084489F" w:rsidRDefault="00110FE6">
            <w:pPr>
              <w:pStyle w:val="Compact"/>
            </w:pPr>
            <w:r>
              <w:t>-</w:t>
            </w:r>
          </w:p>
        </w:tc>
        <w:tc>
          <w:tcPr>
            <w:tcW w:w="296" w:type="dxa"/>
          </w:tcPr>
          <w:p w14:paraId="28EB27D0" w14:textId="77777777" w:rsidR="0084489F" w:rsidRDefault="00110FE6">
            <w:pPr>
              <w:pStyle w:val="Compact"/>
            </w:pPr>
            <w:r>
              <w:t>-</w:t>
            </w:r>
          </w:p>
        </w:tc>
        <w:tc>
          <w:tcPr>
            <w:tcW w:w="296" w:type="dxa"/>
          </w:tcPr>
          <w:p w14:paraId="60631653" w14:textId="77777777" w:rsidR="0084489F" w:rsidRDefault="00110FE6">
            <w:pPr>
              <w:pStyle w:val="Compact"/>
            </w:pPr>
            <w:r>
              <w:t>-</w:t>
            </w:r>
          </w:p>
        </w:tc>
        <w:tc>
          <w:tcPr>
            <w:tcW w:w="554" w:type="dxa"/>
          </w:tcPr>
          <w:p w14:paraId="545C5E18" w14:textId="77777777" w:rsidR="0084489F" w:rsidRDefault="00110FE6">
            <w:pPr>
              <w:pStyle w:val="Compact"/>
            </w:pPr>
            <w:r>
              <w:t>-</w:t>
            </w:r>
          </w:p>
        </w:tc>
        <w:tc>
          <w:tcPr>
            <w:tcW w:w="755" w:type="dxa"/>
          </w:tcPr>
          <w:p w14:paraId="7692A6CB" w14:textId="77777777" w:rsidR="0084489F" w:rsidRDefault="00110FE6">
            <w:pPr>
              <w:pStyle w:val="Compact"/>
            </w:pPr>
            <w:r>
              <w:t>-</w:t>
            </w:r>
          </w:p>
        </w:tc>
        <w:tc>
          <w:tcPr>
            <w:tcW w:w="755" w:type="dxa"/>
          </w:tcPr>
          <w:p w14:paraId="73159F0C" w14:textId="77777777" w:rsidR="0084489F" w:rsidRDefault="00110FE6">
            <w:pPr>
              <w:pStyle w:val="Compact"/>
            </w:pPr>
            <w:r>
              <w:t>-</w:t>
            </w:r>
          </w:p>
        </w:tc>
        <w:tc>
          <w:tcPr>
            <w:tcW w:w="3666" w:type="dxa"/>
            <w:gridSpan w:val="2"/>
          </w:tcPr>
          <w:p w14:paraId="1F837F61" w14:textId="77777777" w:rsidR="0084489F" w:rsidRDefault="00110FE6">
            <w:pPr>
              <w:pStyle w:val="Compact"/>
            </w:pPr>
            <w:r>
              <w:rPr>
                <w:rStyle w:val="VerbatimChar"/>
                <w:i/>
                <w:iCs/>
              </w:rPr>
              <w:t>E32_Document_de_référence</w:t>
            </w:r>
          </w:p>
        </w:tc>
      </w:tr>
      <w:tr w:rsidR="0084489F" w14:paraId="5EF4429F" w14:textId="77777777" w:rsidTr="00CC39FB">
        <w:tc>
          <w:tcPr>
            <w:tcW w:w="737" w:type="dxa"/>
          </w:tcPr>
          <w:p w14:paraId="16271C6D" w14:textId="77777777" w:rsidR="0084489F" w:rsidRDefault="00110FE6">
            <w:pPr>
              <w:pStyle w:val="Compact"/>
            </w:pPr>
            <w:r>
              <w:t>E33</w:t>
            </w:r>
          </w:p>
        </w:tc>
        <w:tc>
          <w:tcPr>
            <w:tcW w:w="346" w:type="dxa"/>
          </w:tcPr>
          <w:p w14:paraId="757A4781" w14:textId="77777777" w:rsidR="0084489F" w:rsidRDefault="00110FE6">
            <w:pPr>
              <w:pStyle w:val="Compact"/>
            </w:pPr>
            <w:r>
              <w:t>-</w:t>
            </w:r>
          </w:p>
        </w:tc>
        <w:tc>
          <w:tcPr>
            <w:tcW w:w="296" w:type="dxa"/>
          </w:tcPr>
          <w:p w14:paraId="6F160BC2" w14:textId="77777777" w:rsidR="0084489F" w:rsidRDefault="00110FE6">
            <w:pPr>
              <w:pStyle w:val="Compact"/>
            </w:pPr>
            <w:r>
              <w:t>-</w:t>
            </w:r>
          </w:p>
        </w:tc>
        <w:tc>
          <w:tcPr>
            <w:tcW w:w="296" w:type="dxa"/>
          </w:tcPr>
          <w:p w14:paraId="3BCE00E5" w14:textId="77777777" w:rsidR="0084489F" w:rsidRDefault="00110FE6">
            <w:pPr>
              <w:pStyle w:val="Compact"/>
            </w:pPr>
            <w:r>
              <w:t>-</w:t>
            </w:r>
          </w:p>
        </w:tc>
        <w:tc>
          <w:tcPr>
            <w:tcW w:w="296" w:type="dxa"/>
          </w:tcPr>
          <w:p w14:paraId="69052EED" w14:textId="77777777" w:rsidR="0084489F" w:rsidRDefault="00110FE6">
            <w:pPr>
              <w:pStyle w:val="Compact"/>
            </w:pPr>
            <w:r>
              <w:t>-</w:t>
            </w:r>
          </w:p>
        </w:tc>
        <w:tc>
          <w:tcPr>
            <w:tcW w:w="296" w:type="dxa"/>
          </w:tcPr>
          <w:p w14:paraId="06E61CDB" w14:textId="77777777" w:rsidR="0084489F" w:rsidRDefault="00110FE6">
            <w:pPr>
              <w:pStyle w:val="Compact"/>
            </w:pPr>
            <w:r>
              <w:t>-</w:t>
            </w:r>
          </w:p>
        </w:tc>
        <w:tc>
          <w:tcPr>
            <w:tcW w:w="554" w:type="dxa"/>
          </w:tcPr>
          <w:p w14:paraId="44EDC078" w14:textId="77777777" w:rsidR="0084489F" w:rsidRDefault="00110FE6">
            <w:pPr>
              <w:pStyle w:val="Compact"/>
            </w:pPr>
            <w:r>
              <w:t>-</w:t>
            </w:r>
          </w:p>
        </w:tc>
        <w:tc>
          <w:tcPr>
            <w:tcW w:w="755" w:type="dxa"/>
          </w:tcPr>
          <w:p w14:paraId="6FFD9D4C" w14:textId="77777777" w:rsidR="0084489F" w:rsidRDefault="00110FE6">
            <w:pPr>
              <w:pStyle w:val="Compact"/>
            </w:pPr>
            <w:r>
              <w:t>-</w:t>
            </w:r>
          </w:p>
        </w:tc>
        <w:tc>
          <w:tcPr>
            <w:tcW w:w="4421" w:type="dxa"/>
            <w:gridSpan w:val="3"/>
          </w:tcPr>
          <w:p w14:paraId="6F88676A" w14:textId="77777777" w:rsidR="0084489F" w:rsidRDefault="00110FE6">
            <w:pPr>
              <w:pStyle w:val="Compact"/>
            </w:pPr>
            <w:r>
              <w:rPr>
                <w:rStyle w:val="VerbatimChar"/>
                <w:i/>
                <w:iCs/>
              </w:rPr>
              <w:t>E33_Objet_linguistique</w:t>
            </w:r>
          </w:p>
        </w:tc>
      </w:tr>
      <w:tr w:rsidR="0084489F" w14:paraId="1CA6D6E9" w14:textId="77777777" w:rsidTr="00CC39FB">
        <w:tc>
          <w:tcPr>
            <w:tcW w:w="737" w:type="dxa"/>
          </w:tcPr>
          <w:p w14:paraId="5BACA401" w14:textId="77777777" w:rsidR="0084489F" w:rsidRDefault="00110FE6">
            <w:pPr>
              <w:pStyle w:val="Compact"/>
            </w:pPr>
            <w:r>
              <w:t>E34</w:t>
            </w:r>
          </w:p>
        </w:tc>
        <w:tc>
          <w:tcPr>
            <w:tcW w:w="346" w:type="dxa"/>
          </w:tcPr>
          <w:p w14:paraId="091C96D4" w14:textId="77777777" w:rsidR="0084489F" w:rsidRDefault="00110FE6">
            <w:pPr>
              <w:pStyle w:val="Compact"/>
            </w:pPr>
            <w:r>
              <w:t>-</w:t>
            </w:r>
          </w:p>
        </w:tc>
        <w:tc>
          <w:tcPr>
            <w:tcW w:w="296" w:type="dxa"/>
          </w:tcPr>
          <w:p w14:paraId="28D2FC0A" w14:textId="77777777" w:rsidR="0084489F" w:rsidRDefault="00110FE6">
            <w:pPr>
              <w:pStyle w:val="Compact"/>
            </w:pPr>
            <w:r>
              <w:t>-</w:t>
            </w:r>
          </w:p>
        </w:tc>
        <w:tc>
          <w:tcPr>
            <w:tcW w:w="296" w:type="dxa"/>
          </w:tcPr>
          <w:p w14:paraId="411BC7E0" w14:textId="77777777" w:rsidR="0084489F" w:rsidRDefault="00110FE6">
            <w:pPr>
              <w:pStyle w:val="Compact"/>
            </w:pPr>
            <w:r>
              <w:t>-</w:t>
            </w:r>
          </w:p>
        </w:tc>
        <w:tc>
          <w:tcPr>
            <w:tcW w:w="296" w:type="dxa"/>
          </w:tcPr>
          <w:p w14:paraId="61CFB7B6" w14:textId="77777777" w:rsidR="0084489F" w:rsidRDefault="00110FE6">
            <w:pPr>
              <w:pStyle w:val="Compact"/>
            </w:pPr>
            <w:r>
              <w:t>-</w:t>
            </w:r>
          </w:p>
        </w:tc>
        <w:tc>
          <w:tcPr>
            <w:tcW w:w="296" w:type="dxa"/>
          </w:tcPr>
          <w:p w14:paraId="78C7AB10" w14:textId="77777777" w:rsidR="0084489F" w:rsidRDefault="00110FE6">
            <w:pPr>
              <w:pStyle w:val="Compact"/>
            </w:pPr>
            <w:r>
              <w:t>-</w:t>
            </w:r>
          </w:p>
        </w:tc>
        <w:tc>
          <w:tcPr>
            <w:tcW w:w="554" w:type="dxa"/>
          </w:tcPr>
          <w:p w14:paraId="1EFA7EDF" w14:textId="77777777" w:rsidR="0084489F" w:rsidRDefault="00110FE6">
            <w:pPr>
              <w:pStyle w:val="Compact"/>
            </w:pPr>
            <w:r>
              <w:t>-</w:t>
            </w:r>
          </w:p>
        </w:tc>
        <w:tc>
          <w:tcPr>
            <w:tcW w:w="755" w:type="dxa"/>
          </w:tcPr>
          <w:p w14:paraId="0AE206CF" w14:textId="77777777" w:rsidR="0084489F" w:rsidRDefault="00110FE6">
            <w:pPr>
              <w:pStyle w:val="Compact"/>
            </w:pPr>
            <w:r>
              <w:t>-</w:t>
            </w:r>
          </w:p>
        </w:tc>
        <w:tc>
          <w:tcPr>
            <w:tcW w:w="755" w:type="dxa"/>
          </w:tcPr>
          <w:p w14:paraId="1C2BE5DA" w14:textId="77777777" w:rsidR="0084489F" w:rsidRDefault="00110FE6">
            <w:pPr>
              <w:pStyle w:val="Compact"/>
            </w:pPr>
            <w:r>
              <w:t>-</w:t>
            </w:r>
          </w:p>
        </w:tc>
        <w:tc>
          <w:tcPr>
            <w:tcW w:w="3666" w:type="dxa"/>
            <w:gridSpan w:val="2"/>
          </w:tcPr>
          <w:p w14:paraId="5B1DADF1" w14:textId="77777777" w:rsidR="0084489F" w:rsidRDefault="00110FE6">
            <w:pPr>
              <w:pStyle w:val="Compact"/>
            </w:pPr>
            <w:r>
              <w:rPr>
                <w:rStyle w:val="VerbatimChar"/>
                <w:i/>
                <w:iCs/>
              </w:rPr>
              <w:t>E34_Inscription</w:t>
            </w:r>
          </w:p>
        </w:tc>
      </w:tr>
      <w:tr w:rsidR="0084489F" w14:paraId="1FF3CBA7" w14:textId="77777777" w:rsidTr="00CC39FB">
        <w:tc>
          <w:tcPr>
            <w:tcW w:w="737" w:type="dxa"/>
          </w:tcPr>
          <w:p w14:paraId="478F72C0" w14:textId="77777777" w:rsidR="0084489F" w:rsidRDefault="00110FE6">
            <w:pPr>
              <w:pStyle w:val="Compact"/>
            </w:pPr>
            <w:r>
              <w:t>E35</w:t>
            </w:r>
          </w:p>
        </w:tc>
        <w:tc>
          <w:tcPr>
            <w:tcW w:w="346" w:type="dxa"/>
          </w:tcPr>
          <w:p w14:paraId="6531FBE0" w14:textId="77777777" w:rsidR="0084489F" w:rsidRDefault="00110FE6">
            <w:pPr>
              <w:pStyle w:val="Compact"/>
            </w:pPr>
            <w:r>
              <w:t>-</w:t>
            </w:r>
          </w:p>
        </w:tc>
        <w:tc>
          <w:tcPr>
            <w:tcW w:w="296" w:type="dxa"/>
          </w:tcPr>
          <w:p w14:paraId="4998AF32" w14:textId="77777777" w:rsidR="0084489F" w:rsidRDefault="00110FE6">
            <w:pPr>
              <w:pStyle w:val="Compact"/>
            </w:pPr>
            <w:r>
              <w:t>-</w:t>
            </w:r>
          </w:p>
        </w:tc>
        <w:tc>
          <w:tcPr>
            <w:tcW w:w="296" w:type="dxa"/>
          </w:tcPr>
          <w:p w14:paraId="0185DD72" w14:textId="77777777" w:rsidR="0084489F" w:rsidRDefault="00110FE6">
            <w:pPr>
              <w:pStyle w:val="Compact"/>
            </w:pPr>
            <w:r>
              <w:t>-</w:t>
            </w:r>
          </w:p>
        </w:tc>
        <w:tc>
          <w:tcPr>
            <w:tcW w:w="296" w:type="dxa"/>
          </w:tcPr>
          <w:p w14:paraId="078D0E72" w14:textId="77777777" w:rsidR="0084489F" w:rsidRDefault="00110FE6">
            <w:pPr>
              <w:pStyle w:val="Compact"/>
            </w:pPr>
            <w:r>
              <w:t>-</w:t>
            </w:r>
          </w:p>
        </w:tc>
        <w:tc>
          <w:tcPr>
            <w:tcW w:w="296" w:type="dxa"/>
          </w:tcPr>
          <w:p w14:paraId="496FEF73" w14:textId="77777777" w:rsidR="0084489F" w:rsidRDefault="00110FE6">
            <w:pPr>
              <w:pStyle w:val="Compact"/>
            </w:pPr>
            <w:r>
              <w:t>-</w:t>
            </w:r>
          </w:p>
        </w:tc>
        <w:tc>
          <w:tcPr>
            <w:tcW w:w="554" w:type="dxa"/>
          </w:tcPr>
          <w:p w14:paraId="6641F16B" w14:textId="77777777" w:rsidR="0084489F" w:rsidRDefault="00110FE6">
            <w:pPr>
              <w:pStyle w:val="Compact"/>
            </w:pPr>
            <w:r>
              <w:t>-</w:t>
            </w:r>
          </w:p>
        </w:tc>
        <w:tc>
          <w:tcPr>
            <w:tcW w:w="755" w:type="dxa"/>
          </w:tcPr>
          <w:p w14:paraId="0AD787EA" w14:textId="77777777" w:rsidR="0084489F" w:rsidRDefault="00110FE6">
            <w:pPr>
              <w:pStyle w:val="Compact"/>
            </w:pPr>
            <w:r>
              <w:t>-</w:t>
            </w:r>
          </w:p>
        </w:tc>
        <w:tc>
          <w:tcPr>
            <w:tcW w:w="755" w:type="dxa"/>
          </w:tcPr>
          <w:p w14:paraId="0985E105" w14:textId="77777777" w:rsidR="0084489F" w:rsidRDefault="00110FE6">
            <w:pPr>
              <w:pStyle w:val="Compact"/>
            </w:pPr>
            <w:r>
              <w:t>-</w:t>
            </w:r>
          </w:p>
        </w:tc>
        <w:tc>
          <w:tcPr>
            <w:tcW w:w="3666" w:type="dxa"/>
            <w:gridSpan w:val="2"/>
          </w:tcPr>
          <w:p w14:paraId="70163B74" w14:textId="77777777" w:rsidR="0084489F" w:rsidRDefault="00110FE6">
            <w:pPr>
              <w:pStyle w:val="Compact"/>
            </w:pPr>
            <w:r>
              <w:rPr>
                <w:rStyle w:val="VerbatimChar"/>
                <w:i/>
                <w:iCs/>
              </w:rPr>
              <w:t>E35_Titre</w:t>
            </w:r>
          </w:p>
        </w:tc>
      </w:tr>
      <w:tr w:rsidR="0084489F" w14:paraId="22D8E74F" w14:textId="77777777" w:rsidTr="00CC39FB">
        <w:tc>
          <w:tcPr>
            <w:tcW w:w="737" w:type="dxa"/>
          </w:tcPr>
          <w:p w14:paraId="66D8788B" w14:textId="77777777" w:rsidR="0084489F" w:rsidRDefault="00110FE6">
            <w:pPr>
              <w:pStyle w:val="Compact"/>
            </w:pPr>
            <w:r>
              <w:t>E36</w:t>
            </w:r>
          </w:p>
        </w:tc>
        <w:tc>
          <w:tcPr>
            <w:tcW w:w="346" w:type="dxa"/>
          </w:tcPr>
          <w:p w14:paraId="19955327" w14:textId="77777777" w:rsidR="0084489F" w:rsidRDefault="00110FE6">
            <w:pPr>
              <w:pStyle w:val="Compact"/>
            </w:pPr>
            <w:r>
              <w:t>-</w:t>
            </w:r>
          </w:p>
        </w:tc>
        <w:tc>
          <w:tcPr>
            <w:tcW w:w="296" w:type="dxa"/>
          </w:tcPr>
          <w:p w14:paraId="10A3ACCD" w14:textId="77777777" w:rsidR="0084489F" w:rsidRDefault="00110FE6">
            <w:pPr>
              <w:pStyle w:val="Compact"/>
            </w:pPr>
            <w:r>
              <w:t>-</w:t>
            </w:r>
          </w:p>
        </w:tc>
        <w:tc>
          <w:tcPr>
            <w:tcW w:w="296" w:type="dxa"/>
          </w:tcPr>
          <w:p w14:paraId="7228FFB3" w14:textId="77777777" w:rsidR="0084489F" w:rsidRDefault="00110FE6">
            <w:pPr>
              <w:pStyle w:val="Compact"/>
            </w:pPr>
            <w:r>
              <w:t>-</w:t>
            </w:r>
          </w:p>
        </w:tc>
        <w:tc>
          <w:tcPr>
            <w:tcW w:w="296" w:type="dxa"/>
          </w:tcPr>
          <w:p w14:paraId="29E65DF4" w14:textId="77777777" w:rsidR="0084489F" w:rsidRDefault="00110FE6">
            <w:pPr>
              <w:pStyle w:val="Compact"/>
            </w:pPr>
            <w:r>
              <w:t>-</w:t>
            </w:r>
          </w:p>
        </w:tc>
        <w:tc>
          <w:tcPr>
            <w:tcW w:w="296" w:type="dxa"/>
          </w:tcPr>
          <w:p w14:paraId="05AF3116" w14:textId="77777777" w:rsidR="0084489F" w:rsidRDefault="00110FE6">
            <w:pPr>
              <w:pStyle w:val="Compact"/>
            </w:pPr>
            <w:r>
              <w:t>-</w:t>
            </w:r>
          </w:p>
        </w:tc>
        <w:tc>
          <w:tcPr>
            <w:tcW w:w="554" w:type="dxa"/>
          </w:tcPr>
          <w:p w14:paraId="2CFACB7F" w14:textId="77777777" w:rsidR="0084489F" w:rsidRDefault="00110FE6">
            <w:pPr>
              <w:pStyle w:val="Compact"/>
            </w:pPr>
            <w:r>
              <w:t>-</w:t>
            </w:r>
          </w:p>
        </w:tc>
        <w:tc>
          <w:tcPr>
            <w:tcW w:w="755" w:type="dxa"/>
          </w:tcPr>
          <w:p w14:paraId="2C5D8AF3" w14:textId="77777777" w:rsidR="0084489F" w:rsidRDefault="00110FE6">
            <w:pPr>
              <w:pStyle w:val="Compact"/>
            </w:pPr>
            <w:r>
              <w:t>-</w:t>
            </w:r>
          </w:p>
        </w:tc>
        <w:tc>
          <w:tcPr>
            <w:tcW w:w="4421" w:type="dxa"/>
            <w:gridSpan w:val="3"/>
          </w:tcPr>
          <w:p w14:paraId="1BA84E84" w14:textId="77777777" w:rsidR="0084489F" w:rsidRDefault="00110FE6">
            <w:pPr>
              <w:pStyle w:val="Compact"/>
            </w:pPr>
            <w:r>
              <w:rPr>
                <w:rStyle w:val="VerbatimChar"/>
                <w:i/>
                <w:iCs/>
              </w:rPr>
              <w:t>E36_Entité_visuelle</w:t>
            </w:r>
          </w:p>
        </w:tc>
      </w:tr>
      <w:tr w:rsidR="0084489F" w14:paraId="50FC75C4" w14:textId="77777777" w:rsidTr="00CC39FB">
        <w:tc>
          <w:tcPr>
            <w:tcW w:w="737" w:type="dxa"/>
          </w:tcPr>
          <w:p w14:paraId="762E94DE" w14:textId="77777777" w:rsidR="0084489F" w:rsidRDefault="00110FE6">
            <w:pPr>
              <w:pStyle w:val="Compact"/>
            </w:pPr>
            <w:r>
              <w:t>E37</w:t>
            </w:r>
          </w:p>
        </w:tc>
        <w:tc>
          <w:tcPr>
            <w:tcW w:w="346" w:type="dxa"/>
          </w:tcPr>
          <w:p w14:paraId="7411FA50" w14:textId="77777777" w:rsidR="0084489F" w:rsidRDefault="00110FE6">
            <w:pPr>
              <w:pStyle w:val="Compact"/>
            </w:pPr>
            <w:r>
              <w:t>-</w:t>
            </w:r>
          </w:p>
        </w:tc>
        <w:tc>
          <w:tcPr>
            <w:tcW w:w="296" w:type="dxa"/>
          </w:tcPr>
          <w:p w14:paraId="70BCBE07" w14:textId="77777777" w:rsidR="0084489F" w:rsidRDefault="00110FE6">
            <w:pPr>
              <w:pStyle w:val="Compact"/>
            </w:pPr>
            <w:r>
              <w:t>-</w:t>
            </w:r>
          </w:p>
        </w:tc>
        <w:tc>
          <w:tcPr>
            <w:tcW w:w="296" w:type="dxa"/>
          </w:tcPr>
          <w:p w14:paraId="13D31333" w14:textId="77777777" w:rsidR="0084489F" w:rsidRDefault="00110FE6">
            <w:pPr>
              <w:pStyle w:val="Compact"/>
            </w:pPr>
            <w:r>
              <w:t>-</w:t>
            </w:r>
          </w:p>
        </w:tc>
        <w:tc>
          <w:tcPr>
            <w:tcW w:w="296" w:type="dxa"/>
          </w:tcPr>
          <w:p w14:paraId="23943A5C" w14:textId="77777777" w:rsidR="0084489F" w:rsidRDefault="00110FE6">
            <w:pPr>
              <w:pStyle w:val="Compact"/>
            </w:pPr>
            <w:r>
              <w:t>-</w:t>
            </w:r>
          </w:p>
        </w:tc>
        <w:tc>
          <w:tcPr>
            <w:tcW w:w="296" w:type="dxa"/>
          </w:tcPr>
          <w:p w14:paraId="088FA30F" w14:textId="77777777" w:rsidR="0084489F" w:rsidRDefault="00110FE6">
            <w:pPr>
              <w:pStyle w:val="Compact"/>
            </w:pPr>
            <w:r>
              <w:t>-</w:t>
            </w:r>
          </w:p>
        </w:tc>
        <w:tc>
          <w:tcPr>
            <w:tcW w:w="554" w:type="dxa"/>
          </w:tcPr>
          <w:p w14:paraId="096F1C71" w14:textId="77777777" w:rsidR="0084489F" w:rsidRDefault="00110FE6">
            <w:pPr>
              <w:pStyle w:val="Compact"/>
            </w:pPr>
            <w:r>
              <w:t>-</w:t>
            </w:r>
          </w:p>
        </w:tc>
        <w:tc>
          <w:tcPr>
            <w:tcW w:w="755" w:type="dxa"/>
          </w:tcPr>
          <w:p w14:paraId="06A2D20D" w14:textId="77777777" w:rsidR="0084489F" w:rsidRDefault="00110FE6">
            <w:pPr>
              <w:pStyle w:val="Compact"/>
            </w:pPr>
            <w:r>
              <w:t>-</w:t>
            </w:r>
          </w:p>
        </w:tc>
        <w:tc>
          <w:tcPr>
            <w:tcW w:w="755" w:type="dxa"/>
          </w:tcPr>
          <w:p w14:paraId="2F60FCA3" w14:textId="77777777" w:rsidR="0084489F" w:rsidRDefault="00110FE6">
            <w:pPr>
              <w:pStyle w:val="Compact"/>
            </w:pPr>
            <w:r>
              <w:t>-</w:t>
            </w:r>
          </w:p>
        </w:tc>
        <w:tc>
          <w:tcPr>
            <w:tcW w:w="3666" w:type="dxa"/>
            <w:gridSpan w:val="2"/>
          </w:tcPr>
          <w:p w14:paraId="36C8D0BB" w14:textId="77777777" w:rsidR="0084489F" w:rsidRDefault="00110FE6">
            <w:pPr>
              <w:pStyle w:val="Compact"/>
            </w:pPr>
            <w:r>
              <w:rPr>
                <w:rStyle w:val="VerbatimChar"/>
                <w:i/>
                <w:iCs/>
              </w:rPr>
              <w:t>E37_Marque</w:t>
            </w:r>
          </w:p>
        </w:tc>
      </w:tr>
      <w:tr w:rsidR="0084489F" w14:paraId="04B7F1AB" w14:textId="77777777" w:rsidTr="00CC39FB">
        <w:tc>
          <w:tcPr>
            <w:tcW w:w="737" w:type="dxa"/>
          </w:tcPr>
          <w:p w14:paraId="003EC642" w14:textId="77777777" w:rsidR="0084489F" w:rsidRDefault="00110FE6">
            <w:pPr>
              <w:pStyle w:val="Compact"/>
            </w:pPr>
            <w:r>
              <w:t>E34</w:t>
            </w:r>
          </w:p>
        </w:tc>
        <w:tc>
          <w:tcPr>
            <w:tcW w:w="346" w:type="dxa"/>
          </w:tcPr>
          <w:p w14:paraId="03489498" w14:textId="77777777" w:rsidR="0084489F" w:rsidRDefault="00110FE6">
            <w:pPr>
              <w:pStyle w:val="Compact"/>
            </w:pPr>
            <w:r>
              <w:t>-</w:t>
            </w:r>
          </w:p>
        </w:tc>
        <w:tc>
          <w:tcPr>
            <w:tcW w:w="296" w:type="dxa"/>
          </w:tcPr>
          <w:p w14:paraId="12792AB1" w14:textId="77777777" w:rsidR="0084489F" w:rsidRDefault="00110FE6">
            <w:pPr>
              <w:pStyle w:val="Compact"/>
            </w:pPr>
            <w:r>
              <w:t>-</w:t>
            </w:r>
          </w:p>
        </w:tc>
        <w:tc>
          <w:tcPr>
            <w:tcW w:w="296" w:type="dxa"/>
          </w:tcPr>
          <w:p w14:paraId="4D67953D" w14:textId="77777777" w:rsidR="0084489F" w:rsidRDefault="00110FE6">
            <w:pPr>
              <w:pStyle w:val="Compact"/>
            </w:pPr>
            <w:r>
              <w:t>-</w:t>
            </w:r>
          </w:p>
        </w:tc>
        <w:tc>
          <w:tcPr>
            <w:tcW w:w="296" w:type="dxa"/>
          </w:tcPr>
          <w:p w14:paraId="19D53405" w14:textId="77777777" w:rsidR="0084489F" w:rsidRDefault="00110FE6">
            <w:pPr>
              <w:pStyle w:val="Compact"/>
            </w:pPr>
            <w:r>
              <w:t>-</w:t>
            </w:r>
          </w:p>
        </w:tc>
        <w:tc>
          <w:tcPr>
            <w:tcW w:w="296" w:type="dxa"/>
          </w:tcPr>
          <w:p w14:paraId="2339605C" w14:textId="77777777" w:rsidR="0084489F" w:rsidRDefault="00110FE6">
            <w:pPr>
              <w:pStyle w:val="Compact"/>
            </w:pPr>
            <w:r>
              <w:t>-</w:t>
            </w:r>
          </w:p>
        </w:tc>
        <w:tc>
          <w:tcPr>
            <w:tcW w:w="554" w:type="dxa"/>
          </w:tcPr>
          <w:p w14:paraId="6B327A44" w14:textId="77777777" w:rsidR="0084489F" w:rsidRDefault="00110FE6">
            <w:pPr>
              <w:pStyle w:val="Compact"/>
            </w:pPr>
            <w:r>
              <w:t>-</w:t>
            </w:r>
          </w:p>
        </w:tc>
        <w:tc>
          <w:tcPr>
            <w:tcW w:w="755" w:type="dxa"/>
          </w:tcPr>
          <w:p w14:paraId="0A898289" w14:textId="77777777" w:rsidR="0084489F" w:rsidRDefault="00110FE6">
            <w:pPr>
              <w:pStyle w:val="Compact"/>
            </w:pPr>
            <w:r>
              <w:t>-</w:t>
            </w:r>
          </w:p>
        </w:tc>
        <w:tc>
          <w:tcPr>
            <w:tcW w:w="755" w:type="dxa"/>
          </w:tcPr>
          <w:p w14:paraId="586170C0" w14:textId="77777777" w:rsidR="0084489F" w:rsidRDefault="00110FE6">
            <w:pPr>
              <w:pStyle w:val="Compact"/>
            </w:pPr>
            <w:r>
              <w:t>-</w:t>
            </w:r>
          </w:p>
        </w:tc>
        <w:tc>
          <w:tcPr>
            <w:tcW w:w="755" w:type="dxa"/>
          </w:tcPr>
          <w:p w14:paraId="2D2F4B52" w14:textId="77777777" w:rsidR="0084489F" w:rsidRDefault="00110FE6">
            <w:pPr>
              <w:pStyle w:val="Compact"/>
            </w:pPr>
            <w:r>
              <w:t>-</w:t>
            </w:r>
          </w:p>
        </w:tc>
        <w:tc>
          <w:tcPr>
            <w:tcW w:w="2911" w:type="dxa"/>
          </w:tcPr>
          <w:p w14:paraId="0A694CE7" w14:textId="77777777" w:rsidR="0084489F" w:rsidRDefault="00110FE6">
            <w:pPr>
              <w:pStyle w:val="Compact"/>
            </w:pPr>
            <w:r>
              <w:rPr>
                <w:rStyle w:val="VerbatimChar"/>
                <w:i/>
                <w:iCs/>
              </w:rPr>
              <w:t>E34_Inscription</w:t>
            </w:r>
          </w:p>
        </w:tc>
      </w:tr>
      <w:tr w:rsidR="0084489F" w14:paraId="1F956AE4" w14:textId="77777777" w:rsidTr="00CC39FB">
        <w:tc>
          <w:tcPr>
            <w:tcW w:w="737" w:type="dxa"/>
          </w:tcPr>
          <w:p w14:paraId="1FBEE5FE" w14:textId="77777777" w:rsidR="0084489F" w:rsidRDefault="00110FE6">
            <w:pPr>
              <w:pStyle w:val="Compact"/>
            </w:pPr>
            <w:r>
              <w:t>E30</w:t>
            </w:r>
          </w:p>
        </w:tc>
        <w:tc>
          <w:tcPr>
            <w:tcW w:w="346" w:type="dxa"/>
          </w:tcPr>
          <w:p w14:paraId="798A15F0" w14:textId="77777777" w:rsidR="0084489F" w:rsidRDefault="00110FE6">
            <w:pPr>
              <w:pStyle w:val="Compact"/>
            </w:pPr>
            <w:r>
              <w:t>-</w:t>
            </w:r>
          </w:p>
        </w:tc>
        <w:tc>
          <w:tcPr>
            <w:tcW w:w="296" w:type="dxa"/>
          </w:tcPr>
          <w:p w14:paraId="4178A221" w14:textId="77777777" w:rsidR="0084489F" w:rsidRDefault="00110FE6">
            <w:pPr>
              <w:pStyle w:val="Compact"/>
            </w:pPr>
            <w:r>
              <w:t>-</w:t>
            </w:r>
          </w:p>
        </w:tc>
        <w:tc>
          <w:tcPr>
            <w:tcW w:w="296" w:type="dxa"/>
          </w:tcPr>
          <w:p w14:paraId="4BF0B543" w14:textId="77777777" w:rsidR="0084489F" w:rsidRDefault="00110FE6">
            <w:pPr>
              <w:pStyle w:val="Compact"/>
            </w:pPr>
            <w:r>
              <w:t>-</w:t>
            </w:r>
          </w:p>
        </w:tc>
        <w:tc>
          <w:tcPr>
            <w:tcW w:w="296" w:type="dxa"/>
          </w:tcPr>
          <w:p w14:paraId="6C66AD0B" w14:textId="77777777" w:rsidR="0084489F" w:rsidRDefault="00110FE6">
            <w:pPr>
              <w:pStyle w:val="Compact"/>
            </w:pPr>
            <w:r>
              <w:t>-</w:t>
            </w:r>
          </w:p>
        </w:tc>
        <w:tc>
          <w:tcPr>
            <w:tcW w:w="296" w:type="dxa"/>
          </w:tcPr>
          <w:p w14:paraId="3A0979CE" w14:textId="77777777" w:rsidR="0084489F" w:rsidRDefault="00110FE6">
            <w:pPr>
              <w:pStyle w:val="Compact"/>
            </w:pPr>
            <w:r>
              <w:t>-</w:t>
            </w:r>
          </w:p>
        </w:tc>
        <w:tc>
          <w:tcPr>
            <w:tcW w:w="554" w:type="dxa"/>
          </w:tcPr>
          <w:p w14:paraId="1892A297" w14:textId="77777777" w:rsidR="0084489F" w:rsidRDefault="00110FE6">
            <w:pPr>
              <w:pStyle w:val="Compact"/>
            </w:pPr>
            <w:r>
              <w:t>-</w:t>
            </w:r>
          </w:p>
        </w:tc>
        <w:tc>
          <w:tcPr>
            <w:tcW w:w="5176" w:type="dxa"/>
            <w:gridSpan w:val="4"/>
          </w:tcPr>
          <w:p w14:paraId="4C742AA9" w14:textId="77777777" w:rsidR="0084489F" w:rsidRDefault="00110FE6">
            <w:pPr>
              <w:pStyle w:val="Compact"/>
            </w:pPr>
            <w:r>
              <w:rPr>
                <w:rStyle w:val="VerbatimChar"/>
              </w:rPr>
              <w:t>E30_Droit</w:t>
            </w:r>
          </w:p>
        </w:tc>
      </w:tr>
      <w:tr w:rsidR="0084489F" w14:paraId="4EFC9916" w14:textId="77777777" w:rsidTr="00CC39FB">
        <w:tc>
          <w:tcPr>
            <w:tcW w:w="737" w:type="dxa"/>
          </w:tcPr>
          <w:p w14:paraId="423269F8" w14:textId="77777777" w:rsidR="0084489F" w:rsidRDefault="00110FE6">
            <w:pPr>
              <w:pStyle w:val="Compact"/>
            </w:pPr>
            <w:r>
              <w:t>E55</w:t>
            </w:r>
          </w:p>
        </w:tc>
        <w:tc>
          <w:tcPr>
            <w:tcW w:w="346" w:type="dxa"/>
          </w:tcPr>
          <w:p w14:paraId="23183154" w14:textId="77777777" w:rsidR="0084489F" w:rsidRDefault="00110FE6">
            <w:pPr>
              <w:pStyle w:val="Compact"/>
            </w:pPr>
            <w:r>
              <w:t>-</w:t>
            </w:r>
          </w:p>
        </w:tc>
        <w:tc>
          <w:tcPr>
            <w:tcW w:w="296" w:type="dxa"/>
          </w:tcPr>
          <w:p w14:paraId="72291C02" w14:textId="77777777" w:rsidR="0084489F" w:rsidRDefault="00110FE6">
            <w:pPr>
              <w:pStyle w:val="Compact"/>
            </w:pPr>
            <w:r>
              <w:t>-</w:t>
            </w:r>
          </w:p>
        </w:tc>
        <w:tc>
          <w:tcPr>
            <w:tcW w:w="296" w:type="dxa"/>
          </w:tcPr>
          <w:p w14:paraId="2E247748" w14:textId="77777777" w:rsidR="0084489F" w:rsidRDefault="00110FE6">
            <w:pPr>
              <w:pStyle w:val="Compact"/>
            </w:pPr>
            <w:r>
              <w:t>-</w:t>
            </w:r>
          </w:p>
        </w:tc>
        <w:tc>
          <w:tcPr>
            <w:tcW w:w="296" w:type="dxa"/>
          </w:tcPr>
          <w:p w14:paraId="4800D70D" w14:textId="77777777" w:rsidR="0084489F" w:rsidRDefault="00110FE6">
            <w:pPr>
              <w:pStyle w:val="Compact"/>
            </w:pPr>
            <w:r>
              <w:t>-</w:t>
            </w:r>
          </w:p>
        </w:tc>
        <w:tc>
          <w:tcPr>
            <w:tcW w:w="296" w:type="dxa"/>
          </w:tcPr>
          <w:p w14:paraId="6346FC04" w14:textId="77777777" w:rsidR="0084489F" w:rsidRDefault="00110FE6">
            <w:pPr>
              <w:pStyle w:val="Compact"/>
            </w:pPr>
            <w:r>
              <w:t>-</w:t>
            </w:r>
          </w:p>
        </w:tc>
        <w:tc>
          <w:tcPr>
            <w:tcW w:w="5730" w:type="dxa"/>
            <w:gridSpan w:val="5"/>
          </w:tcPr>
          <w:p w14:paraId="353F0DAE" w14:textId="77777777" w:rsidR="0084489F" w:rsidRDefault="00110FE6">
            <w:pPr>
              <w:pStyle w:val="Compact"/>
            </w:pPr>
            <w:r>
              <w:rPr>
                <w:rStyle w:val="VerbatimChar"/>
              </w:rPr>
              <w:t>E55_Type</w:t>
            </w:r>
          </w:p>
        </w:tc>
      </w:tr>
      <w:tr w:rsidR="0084489F" w14:paraId="58DB24B5" w14:textId="77777777" w:rsidTr="00CC39FB">
        <w:tc>
          <w:tcPr>
            <w:tcW w:w="737" w:type="dxa"/>
          </w:tcPr>
          <w:p w14:paraId="4B89C8C4" w14:textId="77777777" w:rsidR="0084489F" w:rsidRDefault="00110FE6">
            <w:pPr>
              <w:pStyle w:val="Compact"/>
            </w:pPr>
            <w:r>
              <w:t>E56</w:t>
            </w:r>
          </w:p>
        </w:tc>
        <w:tc>
          <w:tcPr>
            <w:tcW w:w="346" w:type="dxa"/>
          </w:tcPr>
          <w:p w14:paraId="7FE7F6FE" w14:textId="77777777" w:rsidR="0084489F" w:rsidRDefault="00110FE6">
            <w:pPr>
              <w:pStyle w:val="Compact"/>
            </w:pPr>
            <w:r>
              <w:t>-</w:t>
            </w:r>
          </w:p>
        </w:tc>
        <w:tc>
          <w:tcPr>
            <w:tcW w:w="296" w:type="dxa"/>
          </w:tcPr>
          <w:p w14:paraId="00FB6EC8" w14:textId="77777777" w:rsidR="0084489F" w:rsidRDefault="00110FE6">
            <w:pPr>
              <w:pStyle w:val="Compact"/>
            </w:pPr>
            <w:r>
              <w:t>-</w:t>
            </w:r>
          </w:p>
        </w:tc>
        <w:tc>
          <w:tcPr>
            <w:tcW w:w="296" w:type="dxa"/>
          </w:tcPr>
          <w:p w14:paraId="48D58F8D" w14:textId="77777777" w:rsidR="0084489F" w:rsidRDefault="00110FE6">
            <w:pPr>
              <w:pStyle w:val="Compact"/>
            </w:pPr>
            <w:r>
              <w:t>-</w:t>
            </w:r>
          </w:p>
        </w:tc>
        <w:tc>
          <w:tcPr>
            <w:tcW w:w="296" w:type="dxa"/>
          </w:tcPr>
          <w:p w14:paraId="43F0E419" w14:textId="77777777" w:rsidR="0084489F" w:rsidRDefault="00110FE6">
            <w:pPr>
              <w:pStyle w:val="Compact"/>
            </w:pPr>
            <w:r>
              <w:t>-</w:t>
            </w:r>
          </w:p>
        </w:tc>
        <w:tc>
          <w:tcPr>
            <w:tcW w:w="296" w:type="dxa"/>
          </w:tcPr>
          <w:p w14:paraId="0B6B6A27" w14:textId="77777777" w:rsidR="0084489F" w:rsidRDefault="00110FE6">
            <w:pPr>
              <w:pStyle w:val="Compact"/>
            </w:pPr>
            <w:r>
              <w:t>-</w:t>
            </w:r>
          </w:p>
        </w:tc>
        <w:tc>
          <w:tcPr>
            <w:tcW w:w="554" w:type="dxa"/>
          </w:tcPr>
          <w:p w14:paraId="32D41031" w14:textId="77777777" w:rsidR="0084489F" w:rsidRDefault="00110FE6">
            <w:pPr>
              <w:pStyle w:val="Compact"/>
            </w:pPr>
            <w:r>
              <w:t>-</w:t>
            </w:r>
          </w:p>
        </w:tc>
        <w:tc>
          <w:tcPr>
            <w:tcW w:w="5176" w:type="dxa"/>
            <w:gridSpan w:val="4"/>
          </w:tcPr>
          <w:p w14:paraId="0C7E0038" w14:textId="77777777" w:rsidR="0084489F" w:rsidRDefault="00110FE6">
            <w:pPr>
              <w:pStyle w:val="Compact"/>
            </w:pPr>
            <w:r>
              <w:rPr>
                <w:rStyle w:val="VerbatimChar"/>
              </w:rPr>
              <w:t>E56_Langue</w:t>
            </w:r>
          </w:p>
        </w:tc>
      </w:tr>
      <w:tr w:rsidR="0084489F" w14:paraId="6B11DF5A" w14:textId="77777777" w:rsidTr="00CC39FB">
        <w:tc>
          <w:tcPr>
            <w:tcW w:w="737" w:type="dxa"/>
          </w:tcPr>
          <w:p w14:paraId="6A1C0EB7" w14:textId="77777777" w:rsidR="0084489F" w:rsidRDefault="00110FE6">
            <w:pPr>
              <w:pStyle w:val="Compact"/>
            </w:pPr>
            <w:r>
              <w:t>E57</w:t>
            </w:r>
          </w:p>
        </w:tc>
        <w:tc>
          <w:tcPr>
            <w:tcW w:w="346" w:type="dxa"/>
          </w:tcPr>
          <w:p w14:paraId="516D6FF3" w14:textId="77777777" w:rsidR="0084489F" w:rsidRDefault="00110FE6">
            <w:pPr>
              <w:pStyle w:val="Compact"/>
            </w:pPr>
            <w:r>
              <w:t>-</w:t>
            </w:r>
          </w:p>
        </w:tc>
        <w:tc>
          <w:tcPr>
            <w:tcW w:w="296" w:type="dxa"/>
          </w:tcPr>
          <w:p w14:paraId="6E6CA593" w14:textId="77777777" w:rsidR="0084489F" w:rsidRDefault="00110FE6">
            <w:pPr>
              <w:pStyle w:val="Compact"/>
            </w:pPr>
            <w:r>
              <w:t>-</w:t>
            </w:r>
          </w:p>
        </w:tc>
        <w:tc>
          <w:tcPr>
            <w:tcW w:w="296" w:type="dxa"/>
          </w:tcPr>
          <w:p w14:paraId="5918F29C" w14:textId="77777777" w:rsidR="0084489F" w:rsidRDefault="00110FE6">
            <w:pPr>
              <w:pStyle w:val="Compact"/>
            </w:pPr>
            <w:r>
              <w:t>-</w:t>
            </w:r>
          </w:p>
        </w:tc>
        <w:tc>
          <w:tcPr>
            <w:tcW w:w="296" w:type="dxa"/>
          </w:tcPr>
          <w:p w14:paraId="2D202E67" w14:textId="77777777" w:rsidR="0084489F" w:rsidRDefault="00110FE6">
            <w:pPr>
              <w:pStyle w:val="Compact"/>
            </w:pPr>
            <w:r>
              <w:t>-</w:t>
            </w:r>
          </w:p>
        </w:tc>
        <w:tc>
          <w:tcPr>
            <w:tcW w:w="296" w:type="dxa"/>
          </w:tcPr>
          <w:p w14:paraId="46A0F631" w14:textId="77777777" w:rsidR="0084489F" w:rsidRDefault="00110FE6">
            <w:pPr>
              <w:pStyle w:val="Compact"/>
            </w:pPr>
            <w:r>
              <w:t>-</w:t>
            </w:r>
          </w:p>
        </w:tc>
        <w:tc>
          <w:tcPr>
            <w:tcW w:w="554" w:type="dxa"/>
          </w:tcPr>
          <w:p w14:paraId="2811884C" w14:textId="77777777" w:rsidR="0084489F" w:rsidRDefault="00110FE6">
            <w:pPr>
              <w:pStyle w:val="Compact"/>
            </w:pPr>
            <w:r>
              <w:t>-</w:t>
            </w:r>
          </w:p>
        </w:tc>
        <w:tc>
          <w:tcPr>
            <w:tcW w:w="5176" w:type="dxa"/>
            <w:gridSpan w:val="4"/>
          </w:tcPr>
          <w:p w14:paraId="43A6A4ED" w14:textId="77777777" w:rsidR="0084489F" w:rsidRDefault="00110FE6">
            <w:pPr>
              <w:pStyle w:val="Compact"/>
            </w:pPr>
            <w:r>
              <w:rPr>
                <w:rStyle w:val="VerbatimChar"/>
              </w:rPr>
              <w:t>E57_Matériau</w:t>
            </w:r>
          </w:p>
        </w:tc>
      </w:tr>
      <w:tr w:rsidR="0084489F" w14:paraId="2E5284A5" w14:textId="77777777" w:rsidTr="00CC39FB">
        <w:tc>
          <w:tcPr>
            <w:tcW w:w="737" w:type="dxa"/>
          </w:tcPr>
          <w:p w14:paraId="27B275EF" w14:textId="77777777" w:rsidR="0084489F" w:rsidRDefault="00110FE6">
            <w:pPr>
              <w:pStyle w:val="Compact"/>
            </w:pPr>
            <w:r>
              <w:t>E58</w:t>
            </w:r>
          </w:p>
        </w:tc>
        <w:tc>
          <w:tcPr>
            <w:tcW w:w="346" w:type="dxa"/>
          </w:tcPr>
          <w:p w14:paraId="04631D95" w14:textId="77777777" w:rsidR="0084489F" w:rsidRDefault="00110FE6">
            <w:pPr>
              <w:pStyle w:val="Compact"/>
            </w:pPr>
            <w:r>
              <w:t>-</w:t>
            </w:r>
          </w:p>
        </w:tc>
        <w:tc>
          <w:tcPr>
            <w:tcW w:w="296" w:type="dxa"/>
          </w:tcPr>
          <w:p w14:paraId="697282BE" w14:textId="77777777" w:rsidR="0084489F" w:rsidRDefault="00110FE6">
            <w:pPr>
              <w:pStyle w:val="Compact"/>
            </w:pPr>
            <w:r>
              <w:t>-</w:t>
            </w:r>
          </w:p>
        </w:tc>
        <w:tc>
          <w:tcPr>
            <w:tcW w:w="296" w:type="dxa"/>
          </w:tcPr>
          <w:p w14:paraId="690E93E7" w14:textId="77777777" w:rsidR="0084489F" w:rsidRDefault="00110FE6">
            <w:pPr>
              <w:pStyle w:val="Compact"/>
            </w:pPr>
            <w:r>
              <w:t>-</w:t>
            </w:r>
          </w:p>
        </w:tc>
        <w:tc>
          <w:tcPr>
            <w:tcW w:w="296" w:type="dxa"/>
          </w:tcPr>
          <w:p w14:paraId="6F4CFFCC" w14:textId="77777777" w:rsidR="0084489F" w:rsidRDefault="00110FE6">
            <w:pPr>
              <w:pStyle w:val="Compact"/>
            </w:pPr>
            <w:r>
              <w:t>-</w:t>
            </w:r>
          </w:p>
        </w:tc>
        <w:tc>
          <w:tcPr>
            <w:tcW w:w="296" w:type="dxa"/>
          </w:tcPr>
          <w:p w14:paraId="77FE311D" w14:textId="77777777" w:rsidR="0084489F" w:rsidRDefault="00110FE6">
            <w:pPr>
              <w:pStyle w:val="Compact"/>
            </w:pPr>
            <w:r>
              <w:t>-</w:t>
            </w:r>
          </w:p>
        </w:tc>
        <w:tc>
          <w:tcPr>
            <w:tcW w:w="554" w:type="dxa"/>
          </w:tcPr>
          <w:p w14:paraId="6DAF170D" w14:textId="77777777" w:rsidR="0084489F" w:rsidRDefault="00110FE6">
            <w:pPr>
              <w:pStyle w:val="Compact"/>
            </w:pPr>
            <w:r>
              <w:t>-</w:t>
            </w:r>
          </w:p>
        </w:tc>
        <w:tc>
          <w:tcPr>
            <w:tcW w:w="5176" w:type="dxa"/>
            <w:gridSpan w:val="4"/>
          </w:tcPr>
          <w:p w14:paraId="71142EC1" w14:textId="77777777" w:rsidR="0084489F" w:rsidRDefault="00110FE6">
            <w:pPr>
              <w:pStyle w:val="Compact"/>
            </w:pPr>
            <w:r>
              <w:rPr>
                <w:rStyle w:val="VerbatimChar"/>
              </w:rPr>
              <w:t>E58_Unité_de_mesure</w:t>
            </w:r>
          </w:p>
        </w:tc>
      </w:tr>
      <w:tr w:rsidR="0084489F" w14:paraId="1AC1B679" w14:textId="77777777" w:rsidTr="00CC39FB">
        <w:tc>
          <w:tcPr>
            <w:tcW w:w="737" w:type="dxa"/>
          </w:tcPr>
          <w:p w14:paraId="2EB78263" w14:textId="77777777" w:rsidR="0084489F" w:rsidRDefault="00110FE6">
            <w:pPr>
              <w:pStyle w:val="Compact"/>
            </w:pPr>
            <w:r>
              <w:t>E98</w:t>
            </w:r>
          </w:p>
        </w:tc>
        <w:tc>
          <w:tcPr>
            <w:tcW w:w="346" w:type="dxa"/>
          </w:tcPr>
          <w:p w14:paraId="5111DEA4" w14:textId="77777777" w:rsidR="0084489F" w:rsidRDefault="00110FE6">
            <w:pPr>
              <w:pStyle w:val="Compact"/>
            </w:pPr>
            <w:r>
              <w:t>-</w:t>
            </w:r>
          </w:p>
        </w:tc>
        <w:tc>
          <w:tcPr>
            <w:tcW w:w="296" w:type="dxa"/>
          </w:tcPr>
          <w:p w14:paraId="359708C7" w14:textId="77777777" w:rsidR="0084489F" w:rsidRDefault="00110FE6">
            <w:pPr>
              <w:pStyle w:val="Compact"/>
            </w:pPr>
            <w:r>
              <w:t>-</w:t>
            </w:r>
          </w:p>
        </w:tc>
        <w:tc>
          <w:tcPr>
            <w:tcW w:w="296" w:type="dxa"/>
          </w:tcPr>
          <w:p w14:paraId="7E3893E7" w14:textId="77777777" w:rsidR="0084489F" w:rsidRDefault="00110FE6">
            <w:pPr>
              <w:pStyle w:val="Compact"/>
            </w:pPr>
            <w:r>
              <w:t>-</w:t>
            </w:r>
          </w:p>
        </w:tc>
        <w:tc>
          <w:tcPr>
            <w:tcW w:w="296" w:type="dxa"/>
          </w:tcPr>
          <w:p w14:paraId="5B8F0E69" w14:textId="77777777" w:rsidR="0084489F" w:rsidRDefault="00110FE6">
            <w:pPr>
              <w:pStyle w:val="Compact"/>
            </w:pPr>
            <w:r>
              <w:t>-</w:t>
            </w:r>
          </w:p>
        </w:tc>
        <w:tc>
          <w:tcPr>
            <w:tcW w:w="296" w:type="dxa"/>
          </w:tcPr>
          <w:p w14:paraId="1A28B7FA" w14:textId="77777777" w:rsidR="0084489F" w:rsidRDefault="00110FE6">
            <w:pPr>
              <w:pStyle w:val="Compact"/>
            </w:pPr>
            <w:r>
              <w:t>-</w:t>
            </w:r>
          </w:p>
        </w:tc>
        <w:tc>
          <w:tcPr>
            <w:tcW w:w="554" w:type="dxa"/>
          </w:tcPr>
          <w:p w14:paraId="27269F87" w14:textId="77777777" w:rsidR="0084489F" w:rsidRDefault="00110FE6">
            <w:pPr>
              <w:pStyle w:val="Compact"/>
            </w:pPr>
            <w:r>
              <w:t>-</w:t>
            </w:r>
          </w:p>
        </w:tc>
        <w:tc>
          <w:tcPr>
            <w:tcW w:w="755" w:type="dxa"/>
          </w:tcPr>
          <w:p w14:paraId="0FC2D03E" w14:textId="77777777" w:rsidR="0084489F" w:rsidRDefault="00110FE6">
            <w:pPr>
              <w:pStyle w:val="Compact"/>
            </w:pPr>
            <w:r>
              <w:t>-</w:t>
            </w:r>
          </w:p>
        </w:tc>
        <w:tc>
          <w:tcPr>
            <w:tcW w:w="4421" w:type="dxa"/>
            <w:gridSpan w:val="3"/>
          </w:tcPr>
          <w:p w14:paraId="3FBB97F7" w14:textId="77777777" w:rsidR="0084489F" w:rsidRDefault="00110FE6">
            <w:pPr>
              <w:pStyle w:val="Compact"/>
            </w:pPr>
            <w:r>
              <w:rPr>
                <w:rStyle w:val="VerbatimChar"/>
              </w:rPr>
              <w:t>E98_Unité_monétaire</w:t>
            </w:r>
          </w:p>
        </w:tc>
      </w:tr>
      <w:tr w:rsidR="0084489F" w14:paraId="382FADD3" w14:textId="77777777" w:rsidTr="00CC39FB">
        <w:tc>
          <w:tcPr>
            <w:tcW w:w="737" w:type="dxa"/>
          </w:tcPr>
          <w:p w14:paraId="14820E56" w14:textId="77777777" w:rsidR="0084489F" w:rsidRDefault="00110FE6">
            <w:pPr>
              <w:pStyle w:val="Compact"/>
            </w:pPr>
            <w:r>
              <w:t>E99</w:t>
            </w:r>
          </w:p>
        </w:tc>
        <w:tc>
          <w:tcPr>
            <w:tcW w:w="346" w:type="dxa"/>
          </w:tcPr>
          <w:p w14:paraId="5C6CAC91" w14:textId="77777777" w:rsidR="0084489F" w:rsidRDefault="00110FE6">
            <w:pPr>
              <w:pStyle w:val="Compact"/>
            </w:pPr>
            <w:r>
              <w:t>-</w:t>
            </w:r>
          </w:p>
        </w:tc>
        <w:tc>
          <w:tcPr>
            <w:tcW w:w="296" w:type="dxa"/>
          </w:tcPr>
          <w:p w14:paraId="502520C6" w14:textId="77777777" w:rsidR="0084489F" w:rsidRDefault="00110FE6">
            <w:pPr>
              <w:pStyle w:val="Compact"/>
            </w:pPr>
            <w:r>
              <w:t>-</w:t>
            </w:r>
          </w:p>
        </w:tc>
        <w:tc>
          <w:tcPr>
            <w:tcW w:w="296" w:type="dxa"/>
          </w:tcPr>
          <w:p w14:paraId="3B672D90" w14:textId="77777777" w:rsidR="0084489F" w:rsidRDefault="00110FE6">
            <w:pPr>
              <w:pStyle w:val="Compact"/>
            </w:pPr>
            <w:r>
              <w:t>-</w:t>
            </w:r>
          </w:p>
        </w:tc>
        <w:tc>
          <w:tcPr>
            <w:tcW w:w="296" w:type="dxa"/>
          </w:tcPr>
          <w:p w14:paraId="004BBACB" w14:textId="77777777" w:rsidR="0084489F" w:rsidRDefault="00110FE6">
            <w:pPr>
              <w:pStyle w:val="Compact"/>
            </w:pPr>
            <w:r>
              <w:t>-</w:t>
            </w:r>
          </w:p>
        </w:tc>
        <w:tc>
          <w:tcPr>
            <w:tcW w:w="296" w:type="dxa"/>
          </w:tcPr>
          <w:p w14:paraId="7449AA2D" w14:textId="77777777" w:rsidR="0084489F" w:rsidRDefault="00110FE6">
            <w:pPr>
              <w:pStyle w:val="Compact"/>
            </w:pPr>
            <w:r>
              <w:t>-</w:t>
            </w:r>
          </w:p>
        </w:tc>
        <w:tc>
          <w:tcPr>
            <w:tcW w:w="554" w:type="dxa"/>
          </w:tcPr>
          <w:p w14:paraId="49127589" w14:textId="77777777" w:rsidR="0084489F" w:rsidRDefault="00110FE6">
            <w:pPr>
              <w:pStyle w:val="Compact"/>
            </w:pPr>
            <w:r>
              <w:t>-</w:t>
            </w:r>
          </w:p>
        </w:tc>
        <w:tc>
          <w:tcPr>
            <w:tcW w:w="5176" w:type="dxa"/>
            <w:gridSpan w:val="4"/>
          </w:tcPr>
          <w:p w14:paraId="6433F44A" w14:textId="77777777" w:rsidR="0084489F" w:rsidRDefault="00110FE6">
            <w:pPr>
              <w:pStyle w:val="Compact"/>
            </w:pPr>
            <w:r>
              <w:rPr>
                <w:rStyle w:val="VerbatimChar"/>
              </w:rPr>
              <w:t>E99_Modèle_de_produit</w:t>
            </w:r>
          </w:p>
        </w:tc>
      </w:tr>
      <w:tr w:rsidR="0084489F" w14:paraId="1F32EDCE" w14:textId="77777777" w:rsidTr="00CC39FB">
        <w:tc>
          <w:tcPr>
            <w:tcW w:w="737" w:type="dxa"/>
          </w:tcPr>
          <w:p w14:paraId="182C438F" w14:textId="77777777" w:rsidR="0084489F" w:rsidRDefault="00110FE6">
            <w:pPr>
              <w:pStyle w:val="Compact"/>
            </w:pPr>
            <w:r>
              <w:t>E39</w:t>
            </w:r>
          </w:p>
        </w:tc>
        <w:tc>
          <w:tcPr>
            <w:tcW w:w="346" w:type="dxa"/>
          </w:tcPr>
          <w:p w14:paraId="7528787F" w14:textId="77777777" w:rsidR="0084489F" w:rsidRDefault="00110FE6">
            <w:pPr>
              <w:pStyle w:val="Compact"/>
            </w:pPr>
            <w:r>
              <w:t>-</w:t>
            </w:r>
          </w:p>
        </w:tc>
        <w:tc>
          <w:tcPr>
            <w:tcW w:w="296" w:type="dxa"/>
          </w:tcPr>
          <w:p w14:paraId="2CA39F24" w14:textId="77777777" w:rsidR="0084489F" w:rsidRDefault="00110FE6">
            <w:pPr>
              <w:pStyle w:val="Compact"/>
            </w:pPr>
            <w:r>
              <w:t>-</w:t>
            </w:r>
          </w:p>
        </w:tc>
        <w:tc>
          <w:tcPr>
            <w:tcW w:w="6618" w:type="dxa"/>
            <w:gridSpan w:val="8"/>
          </w:tcPr>
          <w:p w14:paraId="1C1CFD6D" w14:textId="77777777" w:rsidR="0084489F" w:rsidRDefault="00110FE6">
            <w:pPr>
              <w:pStyle w:val="Compact"/>
            </w:pPr>
            <w:r>
              <w:rPr>
                <w:rStyle w:val="VerbatimChar"/>
              </w:rPr>
              <w:t>E39_Actant</w:t>
            </w:r>
          </w:p>
        </w:tc>
      </w:tr>
      <w:tr w:rsidR="0084489F" w14:paraId="1CC2130A" w14:textId="77777777" w:rsidTr="00CC39FB">
        <w:tc>
          <w:tcPr>
            <w:tcW w:w="737" w:type="dxa"/>
          </w:tcPr>
          <w:p w14:paraId="7FD9BBF1" w14:textId="77777777" w:rsidR="0084489F" w:rsidRDefault="00110FE6">
            <w:pPr>
              <w:pStyle w:val="Compact"/>
            </w:pPr>
            <w:r>
              <w:t>E74</w:t>
            </w:r>
          </w:p>
        </w:tc>
        <w:tc>
          <w:tcPr>
            <w:tcW w:w="346" w:type="dxa"/>
          </w:tcPr>
          <w:p w14:paraId="5F0C1106" w14:textId="77777777" w:rsidR="0084489F" w:rsidRDefault="00110FE6">
            <w:pPr>
              <w:pStyle w:val="Compact"/>
            </w:pPr>
            <w:r>
              <w:t>-</w:t>
            </w:r>
          </w:p>
        </w:tc>
        <w:tc>
          <w:tcPr>
            <w:tcW w:w="296" w:type="dxa"/>
          </w:tcPr>
          <w:p w14:paraId="6CF5F269" w14:textId="77777777" w:rsidR="0084489F" w:rsidRDefault="00110FE6">
            <w:pPr>
              <w:pStyle w:val="Compact"/>
            </w:pPr>
            <w:r>
              <w:t>-</w:t>
            </w:r>
          </w:p>
        </w:tc>
        <w:tc>
          <w:tcPr>
            <w:tcW w:w="296" w:type="dxa"/>
          </w:tcPr>
          <w:p w14:paraId="3261A12E" w14:textId="77777777" w:rsidR="0084489F" w:rsidRDefault="00110FE6">
            <w:pPr>
              <w:pStyle w:val="Compact"/>
            </w:pPr>
            <w:r>
              <w:t>-</w:t>
            </w:r>
          </w:p>
        </w:tc>
        <w:tc>
          <w:tcPr>
            <w:tcW w:w="6322" w:type="dxa"/>
            <w:gridSpan w:val="7"/>
          </w:tcPr>
          <w:p w14:paraId="66711F13" w14:textId="77777777" w:rsidR="0084489F" w:rsidRDefault="00110FE6">
            <w:pPr>
              <w:pStyle w:val="Compact"/>
            </w:pPr>
            <w:r>
              <w:rPr>
                <w:rStyle w:val="VerbatimChar"/>
              </w:rPr>
              <w:t>E74_Groupe</w:t>
            </w:r>
          </w:p>
        </w:tc>
      </w:tr>
      <w:tr w:rsidR="0084489F" w14:paraId="22DBA3F0" w14:textId="77777777" w:rsidTr="00CC39FB">
        <w:tc>
          <w:tcPr>
            <w:tcW w:w="737" w:type="dxa"/>
          </w:tcPr>
          <w:p w14:paraId="5C613921" w14:textId="77777777" w:rsidR="0084489F" w:rsidRDefault="00110FE6">
            <w:pPr>
              <w:pStyle w:val="Compact"/>
            </w:pPr>
            <w:r>
              <w:t>E21</w:t>
            </w:r>
          </w:p>
        </w:tc>
        <w:tc>
          <w:tcPr>
            <w:tcW w:w="346" w:type="dxa"/>
          </w:tcPr>
          <w:p w14:paraId="18D9804E" w14:textId="77777777" w:rsidR="0084489F" w:rsidRDefault="00110FE6">
            <w:pPr>
              <w:pStyle w:val="Compact"/>
            </w:pPr>
            <w:r>
              <w:t>-</w:t>
            </w:r>
          </w:p>
        </w:tc>
        <w:tc>
          <w:tcPr>
            <w:tcW w:w="296" w:type="dxa"/>
          </w:tcPr>
          <w:p w14:paraId="6B1BF797" w14:textId="77777777" w:rsidR="0084489F" w:rsidRDefault="00110FE6">
            <w:pPr>
              <w:pStyle w:val="Compact"/>
            </w:pPr>
            <w:r>
              <w:t>-</w:t>
            </w:r>
          </w:p>
        </w:tc>
        <w:tc>
          <w:tcPr>
            <w:tcW w:w="296" w:type="dxa"/>
          </w:tcPr>
          <w:p w14:paraId="2AF65218" w14:textId="77777777" w:rsidR="0084489F" w:rsidRDefault="00110FE6">
            <w:pPr>
              <w:pStyle w:val="Compact"/>
            </w:pPr>
            <w:r>
              <w:t>-</w:t>
            </w:r>
          </w:p>
        </w:tc>
        <w:tc>
          <w:tcPr>
            <w:tcW w:w="6322" w:type="dxa"/>
            <w:gridSpan w:val="7"/>
          </w:tcPr>
          <w:p w14:paraId="46B82E79" w14:textId="77777777" w:rsidR="0084489F" w:rsidRDefault="00110FE6">
            <w:pPr>
              <w:pStyle w:val="Compact"/>
            </w:pPr>
            <w:r>
              <w:rPr>
                <w:rStyle w:val="VerbatimChar"/>
                <w:i/>
                <w:iCs/>
              </w:rPr>
              <w:t>E21_Personne</w:t>
            </w:r>
          </w:p>
        </w:tc>
      </w:tr>
      <w:tr w:rsidR="0084489F" w14:paraId="6F7DE6FA" w14:textId="77777777" w:rsidTr="00CC39FB">
        <w:tc>
          <w:tcPr>
            <w:tcW w:w="737" w:type="dxa"/>
          </w:tcPr>
          <w:p w14:paraId="5F2CE8B4" w14:textId="77777777" w:rsidR="0084489F" w:rsidRDefault="00110FE6">
            <w:pPr>
              <w:pStyle w:val="Compact"/>
            </w:pPr>
            <w:r>
              <w:t>E52</w:t>
            </w:r>
          </w:p>
        </w:tc>
        <w:tc>
          <w:tcPr>
            <w:tcW w:w="346" w:type="dxa"/>
          </w:tcPr>
          <w:p w14:paraId="58E83C46" w14:textId="77777777" w:rsidR="0084489F" w:rsidRDefault="00110FE6">
            <w:pPr>
              <w:pStyle w:val="Compact"/>
            </w:pPr>
            <w:r>
              <w:t>-</w:t>
            </w:r>
          </w:p>
        </w:tc>
        <w:tc>
          <w:tcPr>
            <w:tcW w:w="6914" w:type="dxa"/>
            <w:gridSpan w:val="9"/>
          </w:tcPr>
          <w:p w14:paraId="605D1F12" w14:textId="77777777" w:rsidR="0084489F" w:rsidRDefault="00110FE6">
            <w:pPr>
              <w:pStyle w:val="Compact"/>
            </w:pPr>
            <w:r>
              <w:rPr>
                <w:rStyle w:val="VerbatimChar"/>
              </w:rPr>
              <w:t>E52_Intervalle_temporel</w:t>
            </w:r>
          </w:p>
        </w:tc>
      </w:tr>
      <w:tr w:rsidR="0084489F" w14:paraId="0F4A0F04" w14:textId="77777777" w:rsidTr="00CC39FB">
        <w:tc>
          <w:tcPr>
            <w:tcW w:w="737" w:type="dxa"/>
          </w:tcPr>
          <w:p w14:paraId="4C13052C" w14:textId="77777777" w:rsidR="0084489F" w:rsidRDefault="00110FE6">
            <w:pPr>
              <w:pStyle w:val="Compact"/>
            </w:pPr>
            <w:r>
              <w:t>E53</w:t>
            </w:r>
          </w:p>
        </w:tc>
        <w:tc>
          <w:tcPr>
            <w:tcW w:w="346" w:type="dxa"/>
          </w:tcPr>
          <w:p w14:paraId="10BA48AC" w14:textId="77777777" w:rsidR="0084489F" w:rsidRDefault="00110FE6">
            <w:pPr>
              <w:pStyle w:val="Compact"/>
            </w:pPr>
            <w:r>
              <w:t>-</w:t>
            </w:r>
          </w:p>
        </w:tc>
        <w:tc>
          <w:tcPr>
            <w:tcW w:w="6914" w:type="dxa"/>
            <w:gridSpan w:val="9"/>
          </w:tcPr>
          <w:p w14:paraId="5582A03C" w14:textId="77777777" w:rsidR="0084489F" w:rsidRDefault="00110FE6">
            <w:pPr>
              <w:pStyle w:val="Compact"/>
            </w:pPr>
            <w:r>
              <w:rPr>
                <w:rStyle w:val="VerbatimChar"/>
              </w:rPr>
              <w:t>E53_Lieu</w:t>
            </w:r>
          </w:p>
        </w:tc>
      </w:tr>
      <w:tr w:rsidR="0084489F" w14:paraId="00408AE7" w14:textId="77777777" w:rsidTr="00CC39FB">
        <w:tc>
          <w:tcPr>
            <w:tcW w:w="737" w:type="dxa"/>
          </w:tcPr>
          <w:p w14:paraId="272ED18A" w14:textId="77777777" w:rsidR="0084489F" w:rsidRDefault="00110FE6">
            <w:pPr>
              <w:pStyle w:val="Compact"/>
            </w:pPr>
            <w:r>
              <w:t>E54</w:t>
            </w:r>
          </w:p>
        </w:tc>
        <w:tc>
          <w:tcPr>
            <w:tcW w:w="346" w:type="dxa"/>
          </w:tcPr>
          <w:p w14:paraId="4A2960BE" w14:textId="77777777" w:rsidR="0084489F" w:rsidRDefault="00110FE6">
            <w:pPr>
              <w:pStyle w:val="Compact"/>
            </w:pPr>
            <w:r>
              <w:t>-</w:t>
            </w:r>
          </w:p>
        </w:tc>
        <w:tc>
          <w:tcPr>
            <w:tcW w:w="6914" w:type="dxa"/>
            <w:gridSpan w:val="9"/>
          </w:tcPr>
          <w:p w14:paraId="3071290C" w14:textId="77777777" w:rsidR="0084489F" w:rsidRDefault="00110FE6">
            <w:pPr>
              <w:pStyle w:val="Compact"/>
            </w:pPr>
            <w:r>
              <w:rPr>
                <w:rStyle w:val="VerbatimChar"/>
              </w:rPr>
              <w:t>E54_Dimension</w:t>
            </w:r>
          </w:p>
        </w:tc>
      </w:tr>
      <w:tr w:rsidR="0084489F" w14:paraId="2236A69A" w14:textId="77777777" w:rsidTr="00CC39FB">
        <w:tc>
          <w:tcPr>
            <w:tcW w:w="737" w:type="dxa"/>
          </w:tcPr>
          <w:p w14:paraId="471D75B7" w14:textId="77777777" w:rsidR="0084489F" w:rsidRDefault="00110FE6">
            <w:pPr>
              <w:pStyle w:val="Compact"/>
            </w:pPr>
            <w:r>
              <w:t>E97</w:t>
            </w:r>
          </w:p>
        </w:tc>
        <w:tc>
          <w:tcPr>
            <w:tcW w:w="346" w:type="dxa"/>
          </w:tcPr>
          <w:p w14:paraId="5039D75B" w14:textId="77777777" w:rsidR="0084489F" w:rsidRDefault="00110FE6">
            <w:pPr>
              <w:pStyle w:val="Compact"/>
            </w:pPr>
            <w:r>
              <w:t>-</w:t>
            </w:r>
          </w:p>
        </w:tc>
        <w:tc>
          <w:tcPr>
            <w:tcW w:w="296" w:type="dxa"/>
          </w:tcPr>
          <w:p w14:paraId="5607992C" w14:textId="77777777" w:rsidR="0084489F" w:rsidRDefault="00110FE6">
            <w:pPr>
              <w:pStyle w:val="Compact"/>
            </w:pPr>
            <w:r>
              <w:t>-</w:t>
            </w:r>
          </w:p>
        </w:tc>
        <w:tc>
          <w:tcPr>
            <w:tcW w:w="6618" w:type="dxa"/>
            <w:gridSpan w:val="8"/>
          </w:tcPr>
          <w:p w14:paraId="7C8C0206" w14:textId="77777777" w:rsidR="0084489F" w:rsidRDefault="00110FE6">
            <w:pPr>
              <w:pStyle w:val="Compact"/>
            </w:pPr>
            <w:r>
              <w:rPr>
                <w:rStyle w:val="VerbatimChar"/>
              </w:rPr>
              <w:t>E97_Valeur_monétaire</w:t>
            </w:r>
          </w:p>
        </w:tc>
      </w:tr>
      <w:tr w:rsidR="0084489F" w14:paraId="237320BD" w14:textId="77777777" w:rsidTr="00CC39FB">
        <w:tc>
          <w:tcPr>
            <w:tcW w:w="737" w:type="dxa"/>
          </w:tcPr>
          <w:p w14:paraId="25A236B1" w14:textId="77777777" w:rsidR="0084489F" w:rsidRDefault="00110FE6">
            <w:pPr>
              <w:pStyle w:val="Compact"/>
            </w:pPr>
            <w:r>
              <w:t>E92</w:t>
            </w:r>
          </w:p>
        </w:tc>
        <w:tc>
          <w:tcPr>
            <w:tcW w:w="346" w:type="dxa"/>
          </w:tcPr>
          <w:p w14:paraId="5B18E87C" w14:textId="77777777" w:rsidR="0084489F" w:rsidRDefault="00110FE6">
            <w:pPr>
              <w:pStyle w:val="Compact"/>
            </w:pPr>
            <w:r>
              <w:t>-</w:t>
            </w:r>
          </w:p>
        </w:tc>
        <w:tc>
          <w:tcPr>
            <w:tcW w:w="6914" w:type="dxa"/>
            <w:gridSpan w:val="9"/>
          </w:tcPr>
          <w:p w14:paraId="659BC220" w14:textId="77777777" w:rsidR="0084489F" w:rsidRDefault="00110FE6">
            <w:pPr>
              <w:pStyle w:val="Compact"/>
            </w:pPr>
            <w:r>
              <w:rPr>
                <w:rStyle w:val="VerbatimChar"/>
              </w:rPr>
              <w:t>E92_Volume_spatio-temporel</w:t>
            </w:r>
          </w:p>
        </w:tc>
      </w:tr>
      <w:tr w:rsidR="0084489F" w14:paraId="22B7EB96" w14:textId="77777777" w:rsidTr="00CC39FB">
        <w:tc>
          <w:tcPr>
            <w:tcW w:w="737" w:type="dxa"/>
          </w:tcPr>
          <w:p w14:paraId="12BBC7B5" w14:textId="77777777" w:rsidR="0084489F" w:rsidRDefault="00110FE6">
            <w:pPr>
              <w:pStyle w:val="Compact"/>
            </w:pPr>
            <w:r>
              <w:lastRenderedPageBreak/>
              <w:t>E4</w:t>
            </w:r>
          </w:p>
        </w:tc>
        <w:tc>
          <w:tcPr>
            <w:tcW w:w="346" w:type="dxa"/>
          </w:tcPr>
          <w:p w14:paraId="48E92473" w14:textId="77777777" w:rsidR="0084489F" w:rsidRDefault="00110FE6">
            <w:pPr>
              <w:pStyle w:val="Compact"/>
            </w:pPr>
            <w:r>
              <w:t>-</w:t>
            </w:r>
          </w:p>
        </w:tc>
        <w:tc>
          <w:tcPr>
            <w:tcW w:w="296" w:type="dxa"/>
          </w:tcPr>
          <w:p w14:paraId="3328245F" w14:textId="77777777" w:rsidR="0084489F" w:rsidRDefault="00110FE6">
            <w:pPr>
              <w:pStyle w:val="Compact"/>
            </w:pPr>
            <w:r>
              <w:t>-</w:t>
            </w:r>
          </w:p>
        </w:tc>
        <w:tc>
          <w:tcPr>
            <w:tcW w:w="6618" w:type="dxa"/>
            <w:gridSpan w:val="8"/>
          </w:tcPr>
          <w:p w14:paraId="26082D20" w14:textId="77777777" w:rsidR="0084489F" w:rsidRDefault="00110FE6">
            <w:pPr>
              <w:pStyle w:val="Compact"/>
            </w:pPr>
            <w:r>
              <w:rPr>
                <w:rStyle w:val="VerbatimChar"/>
                <w:i/>
                <w:iCs/>
              </w:rPr>
              <w:t>E4_Période</w:t>
            </w:r>
          </w:p>
        </w:tc>
      </w:tr>
      <w:tr w:rsidR="0084489F" w14:paraId="6DF16AF1" w14:textId="77777777" w:rsidTr="00CC39FB">
        <w:tc>
          <w:tcPr>
            <w:tcW w:w="737" w:type="dxa"/>
          </w:tcPr>
          <w:p w14:paraId="04D58D7F" w14:textId="77777777" w:rsidR="0084489F" w:rsidRDefault="00110FE6">
            <w:pPr>
              <w:pStyle w:val="Compact"/>
            </w:pPr>
            <w:r>
              <w:t>E5</w:t>
            </w:r>
          </w:p>
        </w:tc>
        <w:tc>
          <w:tcPr>
            <w:tcW w:w="346" w:type="dxa"/>
          </w:tcPr>
          <w:p w14:paraId="0FA1F6DD" w14:textId="77777777" w:rsidR="0084489F" w:rsidRDefault="00110FE6">
            <w:pPr>
              <w:pStyle w:val="Compact"/>
            </w:pPr>
            <w:r>
              <w:t>-</w:t>
            </w:r>
          </w:p>
        </w:tc>
        <w:tc>
          <w:tcPr>
            <w:tcW w:w="296" w:type="dxa"/>
          </w:tcPr>
          <w:p w14:paraId="538838D4" w14:textId="77777777" w:rsidR="0084489F" w:rsidRDefault="00110FE6">
            <w:pPr>
              <w:pStyle w:val="Compact"/>
            </w:pPr>
            <w:r>
              <w:t>-</w:t>
            </w:r>
          </w:p>
        </w:tc>
        <w:tc>
          <w:tcPr>
            <w:tcW w:w="296" w:type="dxa"/>
          </w:tcPr>
          <w:p w14:paraId="2BF8EDDD" w14:textId="77777777" w:rsidR="0084489F" w:rsidRDefault="00110FE6">
            <w:pPr>
              <w:pStyle w:val="Compact"/>
            </w:pPr>
            <w:r>
              <w:t>-</w:t>
            </w:r>
          </w:p>
        </w:tc>
        <w:tc>
          <w:tcPr>
            <w:tcW w:w="6322" w:type="dxa"/>
            <w:gridSpan w:val="7"/>
          </w:tcPr>
          <w:p w14:paraId="07CA10C1" w14:textId="77777777" w:rsidR="0084489F" w:rsidRDefault="00110FE6">
            <w:pPr>
              <w:pStyle w:val="Compact"/>
            </w:pPr>
            <w:r>
              <w:rPr>
                <w:rStyle w:val="VerbatimChar"/>
                <w:i/>
                <w:iCs/>
              </w:rPr>
              <w:t>E5_Évènement</w:t>
            </w:r>
          </w:p>
        </w:tc>
      </w:tr>
      <w:tr w:rsidR="0084489F" w14:paraId="2CE20C90" w14:textId="77777777" w:rsidTr="00CC39FB">
        <w:tc>
          <w:tcPr>
            <w:tcW w:w="737" w:type="dxa"/>
          </w:tcPr>
          <w:p w14:paraId="61A08D8B" w14:textId="77777777" w:rsidR="0084489F" w:rsidRDefault="00110FE6">
            <w:pPr>
              <w:pStyle w:val="Compact"/>
            </w:pPr>
            <w:r>
              <w:t>E7</w:t>
            </w:r>
          </w:p>
        </w:tc>
        <w:tc>
          <w:tcPr>
            <w:tcW w:w="346" w:type="dxa"/>
          </w:tcPr>
          <w:p w14:paraId="67630036" w14:textId="77777777" w:rsidR="0084489F" w:rsidRDefault="00110FE6">
            <w:pPr>
              <w:pStyle w:val="Compact"/>
            </w:pPr>
            <w:r>
              <w:t>-</w:t>
            </w:r>
          </w:p>
        </w:tc>
        <w:tc>
          <w:tcPr>
            <w:tcW w:w="296" w:type="dxa"/>
          </w:tcPr>
          <w:p w14:paraId="5C0BF4FA" w14:textId="77777777" w:rsidR="0084489F" w:rsidRDefault="00110FE6">
            <w:pPr>
              <w:pStyle w:val="Compact"/>
            </w:pPr>
            <w:r>
              <w:t>-</w:t>
            </w:r>
          </w:p>
        </w:tc>
        <w:tc>
          <w:tcPr>
            <w:tcW w:w="296" w:type="dxa"/>
          </w:tcPr>
          <w:p w14:paraId="51C20119" w14:textId="77777777" w:rsidR="0084489F" w:rsidRDefault="00110FE6">
            <w:pPr>
              <w:pStyle w:val="Compact"/>
            </w:pPr>
            <w:r>
              <w:t>-</w:t>
            </w:r>
          </w:p>
        </w:tc>
        <w:tc>
          <w:tcPr>
            <w:tcW w:w="296" w:type="dxa"/>
          </w:tcPr>
          <w:p w14:paraId="1AB0F39A" w14:textId="77777777" w:rsidR="0084489F" w:rsidRDefault="00110FE6">
            <w:pPr>
              <w:pStyle w:val="Compact"/>
            </w:pPr>
            <w:r>
              <w:t>-</w:t>
            </w:r>
          </w:p>
        </w:tc>
        <w:tc>
          <w:tcPr>
            <w:tcW w:w="6026" w:type="dxa"/>
            <w:gridSpan w:val="6"/>
          </w:tcPr>
          <w:p w14:paraId="117E146B" w14:textId="77777777" w:rsidR="0084489F" w:rsidRDefault="00110FE6">
            <w:pPr>
              <w:pStyle w:val="Compact"/>
            </w:pPr>
            <w:r>
              <w:rPr>
                <w:rStyle w:val="VerbatimChar"/>
                <w:i/>
                <w:iCs/>
              </w:rPr>
              <w:t>E7_Activité</w:t>
            </w:r>
          </w:p>
        </w:tc>
      </w:tr>
      <w:tr w:rsidR="0084489F" w14:paraId="2FD5CF56" w14:textId="77777777" w:rsidTr="00CC39FB">
        <w:tc>
          <w:tcPr>
            <w:tcW w:w="737" w:type="dxa"/>
          </w:tcPr>
          <w:p w14:paraId="7708B2EC" w14:textId="77777777" w:rsidR="0084489F" w:rsidRDefault="00110FE6">
            <w:pPr>
              <w:pStyle w:val="Compact"/>
            </w:pPr>
            <w:r>
              <w:t>E8</w:t>
            </w:r>
          </w:p>
        </w:tc>
        <w:tc>
          <w:tcPr>
            <w:tcW w:w="346" w:type="dxa"/>
          </w:tcPr>
          <w:p w14:paraId="23C4F3EF" w14:textId="77777777" w:rsidR="0084489F" w:rsidRDefault="00110FE6">
            <w:pPr>
              <w:pStyle w:val="Compact"/>
            </w:pPr>
            <w:r>
              <w:t>-</w:t>
            </w:r>
          </w:p>
        </w:tc>
        <w:tc>
          <w:tcPr>
            <w:tcW w:w="296" w:type="dxa"/>
          </w:tcPr>
          <w:p w14:paraId="55CED663" w14:textId="77777777" w:rsidR="0084489F" w:rsidRDefault="00110FE6">
            <w:pPr>
              <w:pStyle w:val="Compact"/>
            </w:pPr>
            <w:r>
              <w:t>-</w:t>
            </w:r>
          </w:p>
        </w:tc>
        <w:tc>
          <w:tcPr>
            <w:tcW w:w="296" w:type="dxa"/>
          </w:tcPr>
          <w:p w14:paraId="7B038780" w14:textId="77777777" w:rsidR="0084489F" w:rsidRDefault="00110FE6">
            <w:pPr>
              <w:pStyle w:val="Compact"/>
            </w:pPr>
            <w:r>
              <w:t>-</w:t>
            </w:r>
          </w:p>
        </w:tc>
        <w:tc>
          <w:tcPr>
            <w:tcW w:w="296" w:type="dxa"/>
          </w:tcPr>
          <w:p w14:paraId="51723D26" w14:textId="77777777" w:rsidR="0084489F" w:rsidRDefault="00110FE6">
            <w:pPr>
              <w:pStyle w:val="Compact"/>
            </w:pPr>
            <w:r>
              <w:t>-</w:t>
            </w:r>
          </w:p>
        </w:tc>
        <w:tc>
          <w:tcPr>
            <w:tcW w:w="296" w:type="dxa"/>
          </w:tcPr>
          <w:p w14:paraId="26A0BA31" w14:textId="77777777" w:rsidR="0084489F" w:rsidRDefault="00110FE6">
            <w:pPr>
              <w:pStyle w:val="Compact"/>
            </w:pPr>
            <w:r>
              <w:t>-</w:t>
            </w:r>
          </w:p>
        </w:tc>
        <w:tc>
          <w:tcPr>
            <w:tcW w:w="5730" w:type="dxa"/>
            <w:gridSpan w:val="5"/>
          </w:tcPr>
          <w:p w14:paraId="7F13A60A" w14:textId="77777777" w:rsidR="0084489F" w:rsidRDefault="00110FE6">
            <w:pPr>
              <w:pStyle w:val="Compact"/>
            </w:pPr>
            <w:r>
              <w:rPr>
                <w:rStyle w:val="VerbatimChar"/>
                <w:i/>
                <w:iCs/>
              </w:rPr>
              <w:t>E8_Acquisition</w:t>
            </w:r>
          </w:p>
        </w:tc>
      </w:tr>
      <w:tr w:rsidR="0084489F" w14:paraId="4347D56B" w14:textId="77777777" w:rsidTr="00CC39FB">
        <w:tc>
          <w:tcPr>
            <w:tcW w:w="737" w:type="dxa"/>
          </w:tcPr>
          <w:p w14:paraId="387FD9E7" w14:textId="77777777" w:rsidR="0084489F" w:rsidRDefault="00110FE6">
            <w:pPr>
              <w:pStyle w:val="Compact"/>
            </w:pPr>
            <w:r>
              <w:t>E96</w:t>
            </w:r>
          </w:p>
        </w:tc>
        <w:tc>
          <w:tcPr>
            <w:tcW w:w="346" w:type="dxa"/>
          </w:tcPr>
          <w:p w14:paraId="1BD74D95" w14:textId="77777777" w:rsidR="0084489F" w:rsidRDefault="00110FE6">
            <w:pPr>
              <w:pStyle w:val="Compact"/>
            </w:pPr>
            <w:r>
              <w:t>-</w:t>
            </w:r>
          </w:p>
        </w:tc>
        <w:tc>
          <w:tcPr>
            <w:tcW w:w="296" w:type="dxa"/>
          </w:tcPr>
          <w:p w14:paraId="2DC81EBA" w14:textId="77777777" w:rsidR="0084489F" w:rsidRDefault="00110FE6">
            <w:pPr>
              <w:pStyle w:val="Compact"/>
            </w:pPr>
            <w:r>
              <w:t>-</w:t>
            </w:r>
          </w:p>
        </w:tc>
        <w:tc>
          <w:tcPr>
            <w:tcW w:w="296" w:type="dxa"/>
          </w:tcPr>
          <w:p w14:paraId="714F97FD" w14:textId="77777777" w:rsidR="0084489F" w:rsidRDefault="00110FE6">
            <w:pPr>
              <w:pStyle w:val="Compact"/>
            </w:pPr>
            <w:r>
              <w:t>-</w:t>
            </w:r>
          </w:p>
        </w:tc>
        <w:tc>
          <w:tcPr>
            <w:tcW w:w="296" w:type="dxa"/>
          </w:tcPr>
          <w:p w14:paraId="1586BD9F" w14:textId="77777777" w:rsidR="0084489F" w:rsidRDefault="00110FE6">
            <w:pPr>
              <w:pStyle w:val="Compact"/>
            </w:pPr>
            <w:r>
              <w:t>-</w:t>
            </w:r>
          </w:p>
        </w:tc>
        <w:tc>
          <w:tcPr>
            <w:tcW w:w="296" w:type="dxa"/>
          </w:tcPr>
          <w:p w14:paraId="6D254836" w14:textId="77777777" w:rsidR="0084489F" w:rsidRDefault="00110FE6">
            <w:pPr>
              <w:pStyle w:val="Compact"/>
            </w:pPr>
            <w:r>
              <w:t>-</w:t>
            </w:r>
          </w:p>
        </w:tc>
        <w:tc>
          <w:tcPr>
            <w:tcW w:w="554" w:type="dxa"/>
          </w:tcPr>
          <w:p w14:paraId="4A503C73" w14:textId="77777777" w:rsidR="0084489F" w:rsidRDefault="00110FE6">
            <w:pPr>
              <w:pStyle w:val="Compact"/>
            </w:pPr>
            <w:r>
              <w:t>-</w:t>
            </w:r>
          </w:p>
        </w:tc>
        <w:tc>
          <w:tcPr>
            <w:tcW w:w="5176" w:type="dxa"/>
            <w:gridSpan w:val="4"/>
          </w:tcPr>
          <w:p w14:paraId="032BD2EF" w14:textId="77777777" w:rsidR="0084489F" w:rsidRDefault="00110FE6">
            <w:pPr>
              <w:pStyle w:val="Compact"/>
            </w:pPr>
            <w:r>
              <w:rPr>
                <w:rStyle w:val="VerbatimChar"/>
                <w:i/>
                <w:iCs/>
              </w:rPr>
              <w:t>E96_Achat</w:t>
            </w:r>
          </w:p>
        </w:tc>
      </w:tr>
      <w:tr w:rsidR="0084489F" w14:paraId="046810F0" w14:textId="77777777" w:rsidTr="00CC39FB">
        <w:tc>
          <w:tcPr>
            <w:tcW w:w="737" w:type="dxa"/>
          </w:tcPr>
          <w:p w14:paraId="35D3455D" w14:textId="77777777" w:rsidR="0084489F" w:rsidRDefault="00110FE6">
            <w:pPr>
              <w:pStyle w:val="Compact"/>
            </w:pPr>
            <w:r>
              <w:t>E9</w:t>
            </w:r>
          </w:p>
        </w:tc>
        <w:tc>
          <w:tcPr>
            <w:tcW w:w="346" w:type="dxa"/>
          </w:tcPr>
          <w:p w14:paraId="0518C2F3" w14:textId="77777777" w:rsidR="0084489F" w:rsidRDefault="00110FE6">
            <w:pPr>
              <w:pStyle w:val="Compact"/>
            </w:pPr>
            <w:r>
              <w:t>-</w:t>
            </w:r>
          </w:p>
        </w:tc>
        <w:tc>
          <w:tcPr>
            <w:tcW w:w="296" w:type="dxa"/>
          </w:tcPr>
          <w:p w14:paraId="21FBA6AA" w14:textId="77777777" w:rsidR="0084489F" w:rsidRDefault="00110FE6">
            <w:pPr>
              <w:pStyle w:val="Compact"/>
            </w:pPr>
            <w:r>
              <w:t>-</w:t>
            </w:r>
          </w:p>
        </w:tc>
        <w:tc>
          <w:tcPr>
            <w:tcW w:w="296" w:type="dxa"/>
          </w:tcPr>
          <w:p w14:paraId="4E359F0C" w14:textId="77777777" w:rsidR="0084489F" w:rsidRDefault="00110FE6">
            <w:pPr>
              <w:pStyle w:val="Compact"/>
            </w:pPr>
            <w:r>
              <w:t>-</w:t>
            </w:r>
          </w:p>
        </w:tc>
        <w:tc>
          <w:tcPr>
            <w:tcW w:w="296" w:type="dxa"/>
          </w:tcPr>
          <w:p w14:paraId="7A2380A6" w14:textId="77777777" w:rsidR="0084489F" w:rsidRDefault="00110FE6">
            <w:pPr>
              <w:pStyle w:val="Compact"/>
            </w:pPr>
            <w:r>
              <w:t>-</w:t>
            </w:r>
          </w:p>
        </w:tc>
        <w:tc>
          <w:tcPr>
            <w:tcW w:w="296" w:type="dxa"/>
          </w:tcPr>
          <w:p w14:paraId="3F0B52B8" w14:textId="77777777" w:rsidR="0084489F" w:rsidRDefault="00110FE6">
            <w:pPr>
              <w:pStyle w:val="Compact"/>
            </w:pPr>
            <w:r>
              <w:t>-</w:t>
            </w:r>
          </w:p>
        </w:tc>
        <w:tc>
          <w:tcPr>
            <w:tcW w:w="5730" w:type="dxa"/>
            <w:gridSpan w:val="5"/>
          </w:tcPr>
          <w:p w14:paraId="307144C5" w14:textId="77777777" w:rsidR="0084489F" w:rsidRDefault="00110FE6">
            <w:pPr>
              <w:pStyle w:val="Compact"/>
            </w:pPr>
            <w:r>
              <w:rPr>
                <w:rStyle w:val="VerbatimChar"/>
                <w:i/>
                <w:iCs/>
              </w:rPr>
              <w:t>E9_Déplacement</w:t>
            </w:r>
          </w:p>
        </w:tc>
      </w:tr>
      <w:tr w:rsidR="0084489F" w14:paraId="3DADF0DF" w14:textId="77777777" w:rsidTr="00CC39FB">
        <w:tc>
          <w:tcPr>
            <w:tcW w:w="737" w:type="dxa"/>
          </w:tcPr>
          <w:p w14:paraId="275E72B9" w14:textId="77777777" w:rsidR="0084489F" w:rsidRDefault="00110FE6">
            <w:pPr>
              <w:pStyle w:val="Compact"/>
            </w:pPr>
            <w:r>
              <w:t>E10</w:t>
            </w:r>
          </w:p>
        </w:tc>
        <w:tc>
          <w:tcPr>
            <w:tcW w:w="346" w:type="dxa"/>
          </w:tcPr>
          <w:p w14:paraId="6D63EB23" w14:textId="77777777" w:rsidR="0084489F" w:rsidRDefault="00110FE6">
            <w:pPr>
              <w:pStyle w:val="Compact"/>
            </w:pPr>
            <w:r>
              <w:t>-</w:t>
            </w:r>
          </w:p>
        </w:tc>
        <w:tc>
          <w:tcPr>
            <w:tcW w:w="296" w:type="dxa"/>
          </w:tcPr>
          <w:p w14:paraId="2D4085F1" w14:textId="77777777" w:rsidR="0084489F" w:rsidRDefault="00110FE6">
            <w:pPr>
              <w:pStyle w:val="Compact"/>
            </w:pPr>
            <w:r>
              <w:t>-</w:t>
            </w:r>
          </w:p>
        </w:tc>
        <w:tc>
          <w:tcPr>
            <w:tcW w:w="296" w:type="dxa"/>
          </w:tcPr>
          <w:p w14:paraId="1F5F3B81" w14:textId="77777777" w:rsidR="0084489F" w:rsidRDefault="00110FE6">
            <w:pPr>
              <w:pStyle w:val="Compact"/>
            </w:pPr>
            <w:r>
              <w:t>-</w:t>
            </w:r>
          </w:p>
        </w:tc>
        <w:tc>
          <w:tcPr>
            <w:tcW w:w="296" w:type="dxa"/>
          </w:tcPr>
          <w:p w14:paraId="237A8C3F" w14:textId="77777777" w:rsidR="0084489F" w:rsidRDefault="00110FE6">
            <w:pPr>
              <w:pStyle w:val="Compact"/>
            </w:pPr>
            <w:r>
              <w:t>-</w:t>
            </w:r>
          </w:p>
        </w:tc>
        <w:tc>
          <w:tcPr>
            <w:tcW w:w="296" w:type="dxa"/>
          </w:tcPr>
          <w:p w14:paraId="2F631232" w14:textId="77777777" w:rsidR="0084489F" w:rsidRDefault="00110FE6">
            <w:pPr>
              <w:pStyle w:val="Compact"/>
            </w:pPr>
            <w:r>
              <w:t>-</w:t>
            </w:r>
          </w:p>
        </w:tc>
        <w:tc>
          <w:tcPr>
            <w:tcW w:w="5730" w:type="dxa"/>
            <w:gridSpan w:val="5"/>
          </w:tcPr>
          <w:p w14:paraId="06BDE2AE" w14:textId="77777777" w:rsidR="0084489F" w:rsidRDefault="00110FE6">
            <w:pPr>
              <w:pStyle w:val="Compact"/>
            </w:pPr>
            <w:r>
              <w:rPr>
                <w:rStyle w:val="VerbatimChar"/>
                <w:i/>
                <w:iCs/>
              </w:rPr>
              <w:t>E10_Transfert_de_la_garde</w:t>
            </w:r>
          </w:p>
        </w:tc>
      </w:tr>
      <w:tr w:rsidR="0084489F" w14:paraId="46184B39" w14:textId="77777777" w:rsidTr="00CC39FB">
        <w:tc>
          <w:tcPr>
            <w:tcW w:w="737" w:type="dxa"/>
          </w:tcPr>
          <w:p w14:paraId="54FE75AD" w14:textId="77777777" w:rsidR="0084489F" w:rsidRDefault="00110FE6">
            <w:pPr>
              <w:pStyle w:val="Compact"/>
            </w:pPr>
            <w:r>
              <w:t>E11</w:t>
            </w:r>
          </w:p>
        </w:tc>
        <w:tc>
          <w:tcPr>
            <w:tcW w:w="346" w:type="dxa"/>
          </w:tcPr>
          <w:p w14:paraId="40F53F72" w14:textId="77777777" w:rsidR="0084489F" w:rsidRDefault="00110FE6">
            <w:pPr>
              <w:pStyle w:val="Compact"/>
            </w:pPr>
            <w:r>
              <w:t>-</w:t>
            </w:r>
          </w:p>
        </w:tc>
        <w:tc>
          <w:tcPr>
            <w:tcW w:w="296" w:type="dxa"/>
          </w:tcPr>
          <w:p w14:paraId="1B8FCAD6" w14:textId="77777777" w:rsidR="0084489F" w:rsidRDefault="00110FE6">
            <w:pPr>
              <w:pStyle w:val="Compact"/>
            </w:pPr>
            <w:r>
              <w:t>-</w:t>
            </w:r>
          </w:p>
        </w:tc>
        <w:tc>
          <w:tcPr>
            <w:tcW w:w="296" w:type="dxa"/>
          </w:tcPr>
          <w:p w14:paraId="76654616" w14:textId="77777777" w:rsidR="0084489F" w:rsidRDefault="00110FE6">
            <w:pPr>
              <w:pStyle w:val="Compact"/>
            </w:pPr>
            <w:r>
              <w:t>-</w:t>
            </w:r>
          </w:p>
        </w:tc>
        <w:tc>
          <w:tcPr>
            <w:tcW w:w="296" w:type="dxa"/>
          </w:tcPr>
          <w:p w14:paraId="263EABBC" w14:textId="77777777" w:rsidR="0084489F" w:rsidRDefault="00110FE6">
            <w:pPr>
              <w:pStyle w:val="Compact"/>
            </w:pPr>
            <w:r>
              <w:t>-</w:t>
            </w:r>
          </w:p>
        </w:tc>
        <w:tc>
          <w:tcPr>
            <w:tcW w:w="296" w:type="dxa"/>
          </w:tcPr>
          <w:p w14:paraId="4D4F1AF2" w14:textId="77777777" w:rsidR="0084489F" w:rsidRDefault="00110FE6">
            <w:pPr>
              <w:pStyle w:val="Compact"/>
            </w:pPr>
            <w:r>
              <w:t>-</w:t>
            </w:r>
          </w:p>
        </w:tc>
        <w:tc>
          <w:tcPr>
            <w:tcW w:w="5730" w:type="dxa"/>
            <w:gridSpan w:val="5"/>
          </w:tcPr>
          <w:p w14:paraId="6EC992F9" w14:textId="77777777" w:rsidR="0084489F" w:rsidRDefault="00110FE6">
            <w:pPr>
              <w:pStyle w:val="Compact"/>
            </w:pPr>
            <w:r>
              <w:rPr>
                <w:rStyle w:val="VerbatimChar"/>
                <w:i/>
                <w:iCs/>
              </w:rPr>
              <w:t>E11_Modification</w:t>
            </w:r>
          </w:p>
        </w:tc>
      </w:tr>
      <w:tr w:rsidR="0084489F" w14:paraId="20584D10" w14:textId="77777777" w:rsidTr="00CC39FB">
        <w:tc>
          <w:tcPr>
            <w:tcW w:w="737" w:type="dxa"/>
          </w:tcPr>
          <w:p w14:paraId="2D0AB1C9" w14:textId="77777777" w:rsidR="0084489F" w:rsidRDefault="00110FE6">
            <w:pPr>
              <w:pStyle w:val="Compact"/>
            </w:pPr>
            <w:r>
              <w:t>E12</w:t>
            </w:r>
          </w:p>
        </w:tc>
        <w:tc>
          <w:tcPr>
            <w:tcW w:w="346" w:type="dxa"/>
          </w:tcPr>
          <w:p w14:paraId="0E532AF6" w14:textId="77777777" w:rsidR="0084489F" w:rsidRDefault="00110FE6">
            <w:pPr>
              <w:pStyle w:val="Compact"/>
            </w:pPr>
            <w:r>
              <w:t>-</w:t>
            </w:r>
          </w:p>
        </w:tc>
        <w:tc>
          <w:tcPr>
            <w:tcW w:w="296" w:type="dxa"/>
          </w:tcPr>
          <w:p w14:paraId="27A3E906" w14:textId="77777777" w:rsidR="0084489F" w:rsidRDefault="00110FE6">
            <w:pPr>
              <w:pStyle w:val="Compact"/>
            </w:pPr>
            <w:r>
              <w:t>-</w:t>
            </w:r>
          </w:p>
        </w:tc>
        <w:tc>
          <w:tcPr>
            <w:tcW w:w="296" w:type="dxa"/>
          </w:tcPr>
          <w:p w14:paraId="562F53DC" w14:textId="77777777" w:rsidR="0084489F" w:rsidRDefault="00110FE6">
            <w:pPr>
              <w:pStyle w:val="Compact"/>
            </w:pPr>
            <w:r>
              <w:t>-</w:t>
            </w:r>
          </w:p>
        </w:tc>
        <w:tc>
          <w:tcPr>
            <w:tcW w:w="296" w:type="dxa"/>
          </w:tcPr>
          <w:p w14:paraId="70B1001A" w14:textId="77777777" w:rsidR="0084489F" w:rsidRDefault="00110FE6">
            <w:pPr>
              <w:pStyle w:val="Compact"/>
            </w:pPr>
            <w:r>
              <w:t>-</w:t>
            </w:r>
          </w:p>
        </w:tc>
        <w:tc>
          <w:tcPr>
            <w:tcW w:w="296" w:type="dxa"/>
          </w:tcPr>
          <w:p w14:paraId="515DD5D6" w14:textId="77777777" w:rsidR="0084489F" w:rsidRDefault="00110FE6">
            <w:pPr>
              <w:pStyle w:val="Compact"/>
            </w:pPr>
            <w:r>
              <w:t>-</w:t>
            </w:r>
          </w:p>
        </w:tc>
        <w:tc>
          <w:tcPr>
            <w:tcW w:w="554" w:type="dxa"/>
          </w:tcPr>
          <w:p w14:paraId="17E15E44" w14:textId="77777777" w:rsidR="0084489F" w:rsidRDefault="00110FE6">
            <w:pPr>
              <w:pStyle w:val="Compact"/>
            </w:pPr>
            <w:r>
              <w:t>-</w:t>
            </w:r>
          </w:p>
        </w:tc>
        <w:tc>
          <w:tcPr>
            <w:tcW w:w="5176" w:type="dxa"/>
            <w:gridSpan w:val="4"/>
          </w:tcPr>
          <w:p w14:paraId="3BEA2348" w14:textId="77777777" w:rsidR="0084489F" w:rsidRDefault="00110FE6">
            <w:pPr>
              <w:pStyle w:val="Compact"/>
            </w:pPr>
            <w:r>
              <w:rPr>
                <w:rStyle w:val="VerbatimChar"/>
                <w:i/>
                <w:iCs/>
              </w:rPr>
              <w:t>E12_Production</w:t>
            </w:r>
          </w:p>
        </w:tc>
      </w:tr>
      <w:tr w:rsidR="0084489F" w14:paraId="4BE15AEA" w14:textId="77777777" w:rsidTr="00CC39FB">
        <w:tc>
          <w:tcPr>
            <w:tcW w:w="737" w:type="dxa"/>
          </w:tcPr>
          <w:p w14:paraId="7691125C" w14:textId="77777777" w:rsidR="0084489F" w:rsidRDefault="00110FE6">
            <w:pPr>
              <w:pStyle w:val="Compact"/>
            </w:pPr>
            <w:r>
              <w:t>E79</w:t>
            </w:r>
          </w:p>
        </w:tc>
        <w:tc>
          <w:tcPr>
            <w:tcW w:w="346" w:type="dxa"/>
          </w:tcPr>
          <w:p w14:paraId="367A526D" w14:textId="77777777" w:rsidR="0084489F" w:rsidRDefault="00110FE6">
            <w:pPr>
              <w:pStyle w:val="Compact"/>
            </w:pPr>
            <w:r>
              <w:t>-</w:t>
            </w:r>
          </w:p>
        </w:tc>
        <w:tc>
          <w:tcPr>
            <w:tcW w:w="296" w:type="dxa"/>
          </w:tcPr>
          <w:p w14:paraId="0DB8F4F2" w14:textId="77777777" w:rsidR="0084489F" w:rsidRDefault="00110FE6">
            <w:pPr>
              <w:pStyle w:val="Compact"/>
            </w:pPr>
            <w:r>
              <w:t>-</w:t>
            </w:r>
          </w:p>
        </w:tc>
        <w:tc>
          <w:tcPr>
            <w:tcW w:w="296" w:type="dxa"/>
          </w:tcPr>
          <w:p w14:paraId="0B99971F" w14:textId="77777777" w:rsidR="0084489F" w:rsidRDefault="00110FE6">
            <w:pPr>
              <w:pStyle w:val="Compact"/>
            </w:pPr>
            <w:r>
              <w:t>-</w:t>
            </w:r>
          </w:p>
        </w:tc>
        <w:tc>
          <w:tcPr>
            <w:tcW w:w="296" w:type="dxa"/>
          </w:tcPr>
          <w:p w14:paraId="1E474460" w14:textId="77777777" w:rsidR="0084489F" w:rsidRDefault="00110FE6">
            <w:pPr>
              <w:pStyle w:val="Compact"/>
            </w:pPr>
            <w:r>
              <w:t>-</w:t>
            </w:r>
          </w:p>
        </w:tc>
        <w:tc>
          <w:tcPr>
            <w:tcW w:w="296" w:type="dxa"/>
          </w:tcPr>
          <w:p w14:paraId="2F16CE9F" w14:textId="77777777" w:rsidR="0084489F" w:rsidRDefault="00110FE6">
            <w:pPr>
              <w:pStyle w:val="Compact"/>
            </w:pPr>
            <w:r>
              <w:t>-</w:t>
            </w:r>
          </w:p>
        </w:tc>
        <w:tc>
          <w:tcPr>
            <w:tcW w:w="554" w:type="dxa"/>
          </w:tcPr>
          <w:p w14:paraId="19018900" w14:textId="77777777" w:rsidR="0084489F" w:rsidRDefault="00110FE6">
            <w:pPr>
              <w:pStyle w:val="Compact"/>
            </w:pPr>
            <w:r>
              <w:t>-</w:t>
            </w:r>
          </w:p>
        </w:tc>
        <w:tc>
          <w:tcPr>
            <w:tcW w:w="5176" w:type="dxa"/>
            <w:gridSpan w:val="4"/>
          </w:tcPr>
          <w:p w14:paraId="6AF1734E" w14:textId="77777777" w:rsidR="0084489F" w:rsidRDefault="00110FE6">
            <w:pPr>
              <w:pStyle w:val="Compact"/>
            </w:pPr>
            <w:r>
              <w:rPr>
                <w:rStyle w:val="VerbatimChar"/>
                <w:i/>
                <w:iCs/>
              </w:rPr>
              <w:t>E79_Ajout_d’élément</w:t>
            </w:r>
          </w:p>
        </w:tc>
      </w:tr>
      <w:tr w:rsidR="0084489F" w14:paraId="1ED0CDA4" w14:textId="77777777" w:rsidTr="00CC39FB">
        <w:tc>
          <w:tcPr>
            <w:tcW w:w="737" w:type="dxa"/>
          </w:tcPr>
          <w:p w14:paraId="1F69AC49" w14:textId="77777777" w:rsidR="0084489F" w:rsidRDefault="00110FE6">
            <w:pPr>
              <w:pStyle w:val="Compact"/>
            </w:pPr>
            <w:r>
              <w:t>E80</w:t>
            </w:r>
          </w:p>
        </w:tc>
        <w:tc>
          <w:tcPr>
            <w:tcW w:w="346" w:type="dxa"/>
          </w:tcPr>
          <w:p w14:paraId="340327DD" w14:textId="77777777" w:rsidR="0084489F" w:rsidRDefault="00110FE6">
            <w:pPr>
              <w:pStyle w:val="Compact"/>
            </w:pPr>
            <w:r>
              <w:t>-</w:t>
            </w:r>
          </w:p>
        </w:tc>
        <w:tc>
          <w:tcPr>
            <w:tcW w:w="296" w:type="dxa"/>
          </w:tcPr>
          <w:p w14:paraId="781D1DBA" w14:textId="77777777" w:rsidR="0084489F" w:rsidRDefault="00110FE6">
            <w:pPr>
              <w:pStyle w:val="Compact"/>
            </w:pPr>
            <w:r>
              <w:t>-</w:t>
            </w:r>
          </w:p>
        </w:tc>
        <w:tc>
          <w:tcPr>
            <w:tcW w:w="296" w:type="dxa"/>
          </w:tcPr>
          <w:p w14:paraId="100A5D9D" w14:textId="77777777" w:rsidR="0084489F" w:rsidRDefault="00110FE6">
            <w:pPr>
              <w:pStyle w:val="Compact"/>
            </w:pPr>
            <w:r>
              <w:t>-</w:t>
            </w:r>
          </w:p>
        </w:tc>
        <w:tc>
          <w:tcPr>
            <w:tcW w:w="296" w:type="dxa"/>
          </w:tcPr>
          <w:p w14:paraId="78B5F905" w14:textId="77777777" w:rsidR="0084489F" w:rsidRDefault="00110FE6">
            <w:pPr>
              <w:pStyle w:val="Compact"/>
            </w:pPr>
            <w:r>
              <w:t>-</w:t>
            </w:r>
          </w:p>
        </w:tc>
        <w:tc>
          <w:tcPr>
            <w:tcW w:w="296" w:type="dxa"/>
          </w:tcPr>
          <w:p w14:paraId="781F1C5D" w14:textId="77777777" w:rsidR="0084489F" w:rsidRDefault="00110FE6">
            <w:pPr>
              <w:pStyle w:val="Compact"/>
            </w:pPr>
            <w:r>
              <w:t>-</w:t>
            </w:r>
          </w:p>
        </w:tc>
        <w:tc>
          <w:tcPr>
            <w:tcW w:w="554" w:type="dxa"/>
          </w:tcPr>
          <w:p w14:paraId="5C901D2F" w14:textId="77777777" w:rsidR="0084489F" w:rsidRDefault="00110FE6">
            <w:pPr>
              <w:pStyle w:val="Compact"/>
            </w:pPr>
            <w:r>
              <w:t>-</w:t>
            </w:r>
          </w:p>
        </w:tc>
        <w:tc>
          <w:tcPr>
            <w:tcW w:w="5176" w:type="dxa"/>
            <w:gridSpan w:val="4"/>
          </w:tcPr>
          <w:p w14:paraId="1FBC8897" w14:textId="77777777" w:rsidR="0084489F" w:rsidRDefault="00110FE6">
            <w:pPr>
              <w:pStyle w:val="Compact"/>
            </w:pPr>
            <w:r>
              <w:rPr>
                <w:rStyle w:val="VerbatimChar"/>
                <w:i/>
                <w:iCs/>
              </w:rPr>
              <w:t>E80_Retrait_d’élément</w:t>
            </w:r>
          </w:p>
        </w:tc>
      </w:tr>
      <w:tr w:rsidR="0084489F" w14:paraId="1CDFB313" w14:textId="77777777" w:rsidTr="00CC39FB">
        <w:tc>
          <w:tcPr>
            <w:tcW w:w="737" w:type="dxa"/>
          </w:tcPr>
          <w:p w14:paraId="4B6DDCAD" w14:textId="77777777" w:rsidR="0084489F" w:rsidRDefault="00110FE6">
            <w:pPr>
              <w:pStyle w:val="Compact"/>
            </w:pPr>
            <w:r>
              <w:t>E13</w:t>
            </w:r>
          </w:p>
        </w:tc>
        <w:tc>
          <w:tcPr>
            <w:tcW w:w="346" w:type="dxa"/>
          </w:tcPr>
          <w:p w14:paraId="50B7B95B" w14:textId="77777777" w:rsidR="0084489F" w:rsidRDefault="00110FE6">
            <w:pPr>
              <w:pStyle w:val="Compact"/>
            </w:pPr>
            <w:r>
              <w:t>-</w:t>
            </w:r>
          </w:p>
        </w:tc>
        <w:tc>
          <w:tcPr>
            <w:tcW w:w="296" w:type="dxa"/>
          </w:tcPr>
          <w:p w14:paraId="334EB01A" w14:textId="77777777" w:rsidR="0084489F" w:rsidRDefault="00110FE6">
            <w:pPr>
              <w:pStyle w:val="Compact"/>
            </w:pPr>
            <w:r>
              <w:t>-</w:t>
            </w:r>
          </w:p>
        </w:tc>
        <w:tc>
          <w:tcPr>
            <w:tcW w:w="296" w:type="dxa"/>
          </w:tcPr>
          <w:p w14:paraId="6CC69954" w14:textId="77777777" w:rsidR="0084489F" w:rsidRDefault="00110FE6">
            <w:pPr>
              <w:pStyle w:val="Compact"/>
            </w:pPr>
            <w:r>
              <w:t>-</w:t>
            </w:r>
          </w:p>
        </w:tc>
        <w:tc>
          <w:tcPr>
            <w:tcW w:w="296" w:type="dxa"/>
          </w:tcPr>
          <w:p w14:paraId="19F51B16" w14:textId="77777777" w:rsidR="0084489F" w:rsidRDefault="00110FE6">
            <w:pPr>
              <w:pStyle w:val="Compact"/>
            </w:pPr>
            <w:r>
              <w:t>-</w:t>
            </w:r>
          </w:p>
        </w:tc>
        <w:tc>
          <w:tcPr>
            <w:tcW w:w="296" w:type="dxa"/>
          </w:tcPr>
          <w:p w14:paraId="6B1CE04C" w14:textId="77777777" w:rsidR="0084489F" w:rsidRDefault="00110FE6">
            <w:pPr>
              <w:pStyle w:val="Compact"/>
            </w:pPr>
            <w:r>
              <w:t>-</w:t>
            </w:r>
          </w:p>
        </w:tc>
        <w:tc>
          <w:tcPr>
            <w:tcW w:w="5730" w:type="dxa"/>
            <w:gridSpan w:val="5"/>
          </w:tcPr>
          <w:p w14:paraId="4DD5C47C" w14:textId="77777777" w:rsidR="0084489F" w:rsidRDefault="00110FE6">
            <w:pPr>
              <w:pStyle w:val="Compact"/>
            </w:pPr>
            <w:r>
              <w:rPr>
                <w:rStyle w:val="VerbatimChar"/>
                <w:i/>
                <w:iCs/>
              </w:rPr>
              <w:t>E13_Assignation_d’attribut</w:t>
            </w:r>
          </w:p>
        </w:tc>
      </w:tr>
      <w:tr w:rsidR="0084489F" w14:paraId="067D2C35" w14:textId="77777777" w:rsidTr="00CC39FB">
        <w:tc>
          <w:tcPr>
            <w:tcW w:w="737" w:type="dxa"/>
          </w:tcPr>
          <w:p w14:paraId="4CE59434" w14:textId="77777777" w:rsidR="0084489F" w:rsidRDefault="00110FE6">
            <w:pPr>
              <w:pStyle w:val="Compact"/>
            </w:pPr>
            <w:r>
              <w:t>E14</w:t>
            </w:r>
          </w:p>
        </w:tc>
        <w:tc>
          <w:tcPr>
            <w:tcW w:w="346" w:type="dxa"/>
          </w:tcPr>
          <w:p w14:paraId="1E73607D" w14:textId="77777777" w:rsidR="0084489F" w:rsidRDefault="00110FE6">
            <w:pPr>
              <w:pStyle w:val="Compact"/>
            </w:pPr>
            <w:r>
              <w:t>-</w:t>
            </w:r>
          </w:p>
        </w:tc>
        <w:tc>
          <w:tcPr>
            <w:tcW w:w="296" w:type="dxa"/>
          </w:tcPr>
          <w:p w14:paraId="4B496DD5" w14:textId="77777777" w:rsidR="0084489F" w:rsidRDefault="00110FE6">
            <w:pPr>
              <w:pStyle w:val="Compact"/>
            </w:pPr>
            <w:r>
              <w:t>-</w:t>
            </w:r>
          </w:p>
        </w:tc>
        <w:tc>
          <w:tcPr>
            <w:tcW w:w="296" w:type="dxa"/>
          </w:tcPr>
          <w:p w14:paraId="5B0756B9" w14:textId="77777777" w:rsidR="0084489F" w:rsidRDefault="00110FE6">
            <w:pPr>
              <w:pStyle w:val="Compact"/>
            </w:pPr>
            <w:r>
              <w:t>-</w:t>
            </w:r>
          </w:p>
        </w:tc>
        <w:tc>
          <w:tcPr>
            <w:tcW w:w="296" w:type="dxa"/>
          </w:tcPr>
          <w:p w14:paraId="4396E8F3" w14:textId="77777777" w:rsidR="0084489F" w:rsidRDefault="00110FE6">
            <w:pPr>
              <w:pStyle w:val="Compact"/>
            </w:pPr>
            <w:r>
              <w:t>-</w:t>
            </w:r>
          </w:p>
        </w:tc>
        <w:tc>
          <w:tcPr>
            <w:tcW w:w="296" w:type="dxa"/>
          </w:tcPr>
          <w:p w14:paraId="0F7381C8" w14:textId="77777777" w:rsidR="0084489F" w:rsidRDefault="00110FE6">
            <w:pPr>
              <w:pStyle w:val="Compact"/>
            </w:pPr>
            <w:r>
              <w:t>-</w:t>
            </w:r>
          </w:p>
        </w:tc>
        <w:tc>
          <w:tcPr>
            <w:tcW w:w="554" w:type="dxa"/>
          </w:tcPr>
          <w:p w14:paraId="5D467E6A" w14:textId="77777777" w:rsidR="0084489F" w:rsidRDefault="00110FE6">
            <w:pPr>
              <w:pStyle w:val="Compact"/>
            </w:pPr>
            <w:r>
              <w:t>-</w:t>
            </w:r>
          </w:p>
        </w:tc>
        <w:tc>
          <w:tcPr>
            <w:tcW w:w="5176" w:type="dxa"/>
            <w:gridSpan w:val="4"/>
          </w:tcPr>
          <w:p w14:paraId="746CA184" w14:textId="77777777" w:rsidR="0084489F" w:rsidRDefault="00110FE6">
            <w:pPr>
              <w:pStyle w:val="Compact"/>
            </w:pPr>
            <w:r>
              <w:rPr>
                <w:rStyle w:val="VerbatimChar"/>
                <w:i/>
                <w:iCs/>
              </w:rPr>
              <w:t>E14_Évaluation_d’état_matériel</w:t>
            </w:r>
          </w:p>
        </w:tc>
      </w:tr>
      <w:tr w:rsidR="0084489F" w14:paraId="04E1AA7F" w14:textId="77777777" w:rsidTr="00CC39FB">
        <w:tc>
          <w:tcPr>
            <w:tcW w:w="737" w:type="dxa"/>
          </w:tcPr>
          <w:p w14:paraId="0B15AC6C" w14:textId="77777777" w:rsidR="0084489F" w:rsidRDefault="00110FE6">
            <w:pPr>
              <w:pStyle w:val="Compact"/>
            </w:pPr>
            <w:r>
              <w:t>E15</w:t>
            </w:r>
          </w:p>
        </w:tc>
        <w:tc>
          <w:tcPr>
            <w:tcW w:w="346" w:type="dxa"/>
          </w:tcPr>
          <w:p w14:paraId="5984636E" w14:textId="77777777" w:rsidR="0084489F" w:rsidRDefault="00110FE6">
            <w:pPr>
              <w:pStyle w:val="Compact"/>
            </w:pPr>
            <w:r>
              <w:t>-</w:t>
            </w:r>
          </w:p>
        </w:tc>
        <w:tc>
          <w:tcPr>
            <w:tcW w:w="296" w:type="dxa"/>
          </w:tcPr>
          <w:p w14:paraId="46E755A4" w14:textId="77777777" w:rsidR="0084489F" w:rsidRDefault="00110FE6">
            <w:pPr>
              <w:pStyle w:val="Compact"/>
            </w:pPr>
            <w:r>
              <w:t>-</w:t>
            </w:r>
          </w:p>
        </w:tc>
        <w:tc>
          <w:tcPr>
            <w:tcW w:w="296" w:type="dxa"/>
          </w:tcPr>
          <w:p w14:paraId="33CD56E3" w14:textId="77777777" w:rsidR="0084489F" w:rsidRDefault="00110FE6">
            <w:pPr>
              <w:pStyle w:val="Compact"/>
            </w:pPr>
            <w:r>
              <w:t>-</w:t>
            </w:r>
          </w:p>
        </w:tc>
        <w:tc>
          <w:tcPr>
            <w:tcW w:w="296" w:type="dxa"/>
          </w:tcPr>
          <w:p w14:paraId="678B01ED" w14:textId="77777777" w:rsidR="0084489F" w:rsidRDefault="00110FE6">
            <w:pPr>
              <w:pStyle w:val="Compact"/>
            </w:pPr>
            <w:r>
              <w:t>-</w:t>
            </w:r>
          </w:p>
        </w:tc>
        <w:tc>
          <w:tcPr>
            <w:tcW w:w="296" w:type="dxa"/>
          </w:tcPr>
          <w:p w14:paraId="5AD5DB87" w14:textId="77777777" w:rsidR="0084489F" w:rsidRDefault="00110FE6">
            <w:pPr>
              <w:pStyle w:val="Compact"/>
            </w:pPr>
            <w:r>
              <w:t>-</w:t>
            </w:r>
          </w:p>
        </w:tc>
        <w:tc>
          <w:tcPr>
            <w:tcW w:w="554" w:type="dxa"/>
          </w:tcPr>
          <w:p w14:paraId="5953C29A" w14:textId="77777777" w:rsidR="0084489F" w:rsidRDefault="00110FE6">
            <w:pPr>
              <w:pStyle w:val="Compact"/>
            </w:pPr>
            <w:r>
              <w:t>-</w:t>
            </w:r>
          </w:p>
        </w:tc>
        <w:tc>
          <w:tcPr>
            <w:tcW w:w="5176" w:type="dxa"/>
            <w:gridSpan w:val="4"/>
          </w:tcPr>
          <w:p w14:paraId="7D5D71BF" w14:textId="77777777" w:rsidR="0084489F" w:rsidRDefault="00110FE6">
            <w:pPr>
              <w:pStyle w:val="Compact"/>
            </w:pPr>
            <w:r>
              <w:rPr>
                <w:rStyle w:val="VerbatimChar"/>
                <w:i/>
                <w:iCs/>
              </w:rPr>
              <w:t>E15_Assignation_d’identifiant</w:t>
            </w:r>
          </w:p>
        </w:tc>
      </w:tr>
      <w:tr w:rsidR="0084489F" w14:paraId="7E3F0DCC" w14:textId="77777777" w:rsidTr="00CC39FB">
        <w:tc>
          <w:tcPr>
            <w:tcW w:w="737" w:type="dxa"/>
          </w:tcPr>
          <w:p w14:paraId="60567239" w14:textId="77777777" w:rsidR="0084489F" w:rsidRDefault="00110FE6">
            <w:pPr>
              <w:pStyle w:val="Compact"/>
            </w:pPr>
            <w:r>
              <w:t>E16</w:t>
            </w:r>
          </w:p>
        </w:tc>
        <w:tc>
          <w:tcPr>
            <w:tcW w:w="346" w:type="dxa"/>
          </w:tcPr>
          <w:p w14:paraId="6F68D55D" w14:textId="77777777" w:rsidR="0084489F" w:rsidRDefault="00110FE6">
            <w:pPr>
              <w:pStyle w:val="Compact"/>
            </w:pPr>
            <w:r>
              <w:t>-</w:t>
            </w:r>
          </w:p>
        </w:tc>
        <w:tc>
          <w:tcPr>
            <w:tcW w:w="296" w:type="dxa"/>
          </w:tcPr>
          <w:p w14:paraId="23CE36C4" w14:textId="77777777" w:rsidR="0084489F" w:rsidRDefault="00110FE6">
            <w:pPr>
              <w:pStyle w:val="Compact"/>
            </w:pPr>
            <w:r>
              <w:t>-</w:t>
            </w:r>
          </w:p>
        </w:tc>
        <w:tc>
          <w:tcPr>
            <w:tcW w:w="296" w:type="dxa"/>
          </w:tcPr>
          <w:p w14:paraId="3917B8EC" w14:textId="77777777" w:rsidR="0084489F" w:rsidRDefault="00110FE6">
            <w:pPr>
              <w:pStyle w:val="Compact"/>
            </w:pPr>
            <w:r>
              <w:t>-</w:t>
            </w:r>
          </w:p>
        </w:tc>
        <w:tc>
          <w:tcPr>
            <w:tcW w:w="296" w:type="dxa"/>
          </w:tcPr>
          <w:p w14:paraId="5E1E06A8" w14:textId="77777777" w:rsidR="0084489F" w:rsidRDefault="00110FE6">
            <w:pPr>
              <w:pStyle w:val="Compact"/>
            </w:pPr>
            <w:r>
              <w:t>-</w:t>
            </w:r>
          </w:p>
        </w:tc>
        <w:tc>
          <w:tcPr>
            <w:tcW w:w="296" w:type="dxa"/>
          </w:tcPr>
          <w:p w14:paraId="40F23B77" w14:textId="77777777" w:rsidR="0084489F" w:rsidRDefault="00110FE6">
            <w:pPr>
              <w:pStyle w:val="Compact"/>
            </w:pPr>
            <w:r>
              <w:t>-</w:t>
            </w:r>
          </w:p>
        </w:tc>
        <w:tc>
          <w:tcPr>
            <w:tcW w:w="554" w:type="dxa"/>
          </w:tcPr>
          <w:p w14:paraId="27E0154E" w14:textId="77777777" w:rsidR="0084489F" w:rsidRDefault="00110FE6">
            <w:pPr>
              <w:pStyle w:val="Compact"/>
            </w:pPr>
            <w:r>
              <w:t>-</w:t>
            </w:r>
          </w:p>
        </w:tc>
        <w:tc>
          <w:tcPr>
            <w:tcW w:w="5176" w:type="dxa"/>
            <w:gridSpan w:val="4"/>
          </w:tcPr>
          <w:p w14:paraId="5A9E1957" w14:textId="77777777" w:rsidR="0084489F" w:rsidRDefault="00110FE6">
            <w:pPr>
              <w:pStyle w:val="Compact"/>
            </w:pPr>
            <w:r>
              <w:rPr>
                <w:rStyle w:val="VerbatimChar"/>
                <w:i/>
                <w:iCs/>
              </w:rPr>
              <w:t>E16_Mesurage</w:t>
            </w:r>
          </w:p>
        </w:tc>
      </w:tr>
      <w:tr w:rsidR="0084489F" w14:paraId="5189A4D4" w14:textId="77777777" w:rsidTr="00CC39FB">
        <w:tc>
          <w:tcPr>
            <w:tcW w:w="737" w:type="dxa"/>
          </w:tcPr>
          <w:p w14:paraId="54013A3A" w14:textId="77777777" w:rsidR="0084489F" w:rsidRDefault="00110FE6">
            <w:pPr>
              <w:pStyle w:val="Compact"/>
            </w:pPr>
            <w:r>
              <w:t>E17</w:t>
            </w:r>
          </w:p>
        </w:tc>
        <w:tc>
          <w:tcPr>
            <w:tcW w:w="346" w:type="dxa"/>
          </w:tcPr>
          <w:p w14:paraId="4E23AB4C" w14:textId="77777777" w:rsidR="0084489F" w:rsidRDefault="00110FE6">
            <w:pPr>
              <w:pStyle w:val="Compact"/>
            </w:pPr>
            <w:r>
              <w:t>-</w:t>
            </w:r>
          </w:p>
        </w:tc>
        <w:tc>
          <w:tcPr>
            <w:tcW w:w="296" w:type="dxa"/>
          </w:tcPr>
          <w:p w14:paraId="496F4F7C" w14:textId="77777777" w:rsidR="0084489F" w:rsidRDefault="00110FE6">
            <w:pPr>
              <w:pStyle w:val="Compact"/>
            </w:pPr>
            <w:r>
              <w:t>-</w:t>
            </w:r>
          </w:p>
        </w:tc>
        <w:tc>
          <w:tcPr>
            <w:tcW w:w="296" w:type="dxa"/>
          </w:tcPr>
          <w:p w14:paraId="4E492FD2" w14:textId="77777777" w:rsidR="0084489F" w:rsidRDefault="00110FE6">
            <w:pPr>
              <w:pStyle w:val="Compact"/>
            </w:pPr>
            <w:r>
              <w:t>-</w:t>
            </w:r>
          </w:p>
        </w:tc>
        <w:tc>
          <w:tcPr>
            <w:tcW w:w="296" w:type="dxa"/>
          </w:tcPr>
          <w:p w14:paraId="68BC7B14" w14:textId="77777777" w:rsidR="0084489F" w:rsidRDefault="00110FE6">
            <w:pPr>
              <w:pStyle w:val="Compact"/>
            </w:pPr>
            <w:r>
              <w:t>-</w:t>
            </w:r>
          </w:p>
        </w:tc>
        <w:tc>
          <w:tcPr>
            <w:tcW w:w="296" w:type="dxa"/>
          </w:tcPr>
          <w:p w14:paraId="21CAAEC5" w14:textId="77777777" w:rsidR="0084489F" w:rsidRDefault="00110FE6">
            <w:pPr>
              <w:pStyle w:val="Compact"/>
            </w:pPr>
            <w:r>
              <w:t>-</w:t>
            </w:r>
          </w:p>
        </w:tc>
        <w:tc>
          <w:tcPr>
            <w:tcW w:w="554" w:type="dxa"/>
          </w:tcPr>
          <w:p w14:paraId="779F82BF" w14:textId="77777777" w:rsidR="0084489F" w:rsidRDefault="00110FE6">
            <w:pPr>
              <w:pStyle w:val="Compact"/>
            </w:pPr>
            <w:r>
              <w:t>-</w:t>
            </w:r>
          </w:p>
        </w:tc>
        <w:tc>
          <w:tcPr>
            <w:tcW w:w="5176" w:type="dxa"/>
            <w:gridSpan w:val="4"/>
          </w:tcPr>
          <w:p w14:paraId="3D67C8A8" w14:textId="77777777" w:rsidR="0084489F" w:rsidRDefault="00110FE6">
            <w:pPr>
              <w:pStyle w:val="Compact"/>
            </w:pPr>
            <w:r>
              <w:rPr>
                <w:rStyle w:val="VerbatimChar"/>
                <w:i/>
                <w:iCs/>
              </w:rPr>
              <w:t>E17_Assignation_de_type</w:t>
            </w:r>
          </w:p>
        </w:tc>
      </w:tr>
      <w:tr w:rsidR="0084489F" w14:paraId="6D149DC2" w14:textId="77777777" w:rsidTr="00CC39FB">
        <w:tc>
          <w:tcPr>
            <w:tcW w:w="737" w:type="dxa"/>
          </w:tcPr>
          <w:p w14:paraId="28854404" w14:textId="77777777" w:rsidR="0084489F" w:rsidRDefault="00110FE6">
            <w:pPr>
              <w:pStyle w:val="Compact"/>
            </w:pPr>
            <w:r>
              <w:t>E65</w:t>
            </w:r>
          </w:p>
        </w:tc>
        <w:tc>
          <w:tcPr>
            <w:tcW w:w="346" w:type="dxa"/>
          </w:tcPr>
          <w:p w14:paraId="1B8F0F9E" w14:textId="77777777" w:rsidR="0084489F" w:rsidRDefault="00110FE6">
            <w:pPr>
              <w:pStyle w:val="Compact"/>
            </w:pPr>
            <w:r>
              <w:t>-</w:t>
            </w:r>
          </w:p>
        </w:tc>
        <w:tc>
          <w:tcPr>
            <w:tcW w:w="296" w:type="dxa"/>
          </w:tcPr>
          <w:p w14:paraId="5A56E2C9" w14:textId="77777777" w:rsidR="0084489F" w:rsidRDefault="00110FE6">
            <w:pPr>
              <w:pStyle w:val="Compact"/>
            </w:pPr>
            <w:r>
              <w:t>-</w:t>
            </w:r>
          </w:p>
        </w:tc>
        <w:tc>
          <w:tcPr>
            <w:tcW w:w="296" w:type="dxa"/>
          </w:tcPr>
          <w:p w14:paraId="5247104F" w14:textId="77777777" w:rsidR="0084489F" w:rsidRDefault="00110FE6">
            <w:pPr>
              <w:pStyle w:val="Compact"/>
            </w:pPr>
            <w:r>
              <w:t>-</w:t>
            </w:r>
          </w:p>
        </w:tc>
        <w:tc>
          <w:tcPr>
            <w:tcW w:w="296" w:type="dxa"/>
          </w:tcPr>
          <w:p w14:paraId="0B4997FF" w14:textId="77777777" w:rsidR="0084489F" w:rsidRDefault="00110FE6">
            <w:pPr>
              <w:pStyle w:val="Compact"/>
            </w:pPr>
            <w:r>
              <w:t>-</w:t>
            </w:r>
          </w:p>
        </w:tc>
        <w:tc>
          <w:tcPr>
            <w:tcW w:w="296" w:type="dxa"/>
          </w:tcPr>
          <w:p w14:paraId="2158B754" w14:textId="77777777" w:rsidR="0084489F" w:rsidRDefault="00110FE6">
            <w:pPr>
              <w:pStyle w:val="Compact"/>
            </w:pPr>
            <w:r>
              <w:t>-</w:t>
            </w:r>
          </w:p>
        </w:tc>
        <w:tc>
          <w:tcPr>
            <w:tcW w:w="5730" w:type="dxa"/>
            <w:gridSpan w:val="5"/>
          </w:tcPr>
          <w:p w14:paraId="637DD300" w14:textId="77777777" w:rsidR="0084489F" w:rsidRDefault="00110FE6">
            <w:pPr>
              <w:pStyle w:val="Compact"/>
            </w:pPr>
            <w:r>
              <w:rPr>
                <w:rStyle w:val="VerbatimChar"/>
                <w:i/>
                <w:iCs/>
              </w:rPr>
              <w:t>E65_Création</w:t>
            </w:r>
          </w:p>
        </w:tc>
      </w:tr>
      <w:tr w:rsidR="0084489F" w14:paraId="3888352A" w14:textId="77777777" w:rsidTr="00CC39FB">
        <w:tc>
          <w:tcPr>
            <w:tcW w:w="737" w:type="dxa"/>
          </w:tcPr>
          <w:p w14:paraId="4AF517DB" w14:textId="77777777" w:rsidR="0084489F" w:rsidRDefault="00110FE6">
            <w:pPr>
              <w:pStyle w:val="Compact"/>
            </w:pPr>
            <w:r>
              <w:t>E83</w:t>
            </w:r>
          </w:p>
        </w:tc>
        <w:tc>
          <w:tcPr>
            <w:tcW w:w="346" w:type="dxa"/>
          </w:tcPr>
          <w:p w14:paraId="37A11A7B" w14:textId="77777777" w:rsidR="0084489F" w:rsidRDefault="00110FE6">
            <w:pPr>
              <w:pStyle w:val="Compact"/>
            </w:pPr>
            <w:r>
              <w:t>-</w:t>
            </w:r>
          </w:p>
        </w:tc>
        <w:tc>
          <w:tcPr>
            <w:tcW w:w="296" w:type="dxa"/>
          </w:tcPr>
          <w:p w14:paraId="3A81A611" w14:textId="77777777" w:rsidR="0084489F" w:rsidRDefault="00110FE6">
            <w:pPr>
              <w:pStyle w:val="Compact"/>
            </w:pPr>
            <w:r>
              <w:t>-</w:t>
            </w:r>
          </w:p>
        </w:tc>
        <w:tc>
          <w:tcPr>
            <w:tcW w:w="296" w:type="dxa"/>
          </w:tcPr>
          <w:p w14:paraId="1ACCBBA9" w14:textId="77777777" w:rsidR="0084489F" w:rsidRDefault="00110FE6">
            <w:pPr>
              <w:pStyle w:val="Compact"/>
            </w:pPr>
            <w:r>
              <w:t>-</w:t>
            </w:r>
          </w:p>
        </w:tc>
        <w:tc>
          <w:tcPr>
            <w:tcW w:w="296" w:type="dxa"/>
          </w:tcPr>
          <w:p w14:paraId="3B4801EF" w14:textId="77777777" w:rsidR="0084489F" w:rsidRDefault="00110FE6">
            <w:pPr>
              <w:pStyle w:val="Compact"/>
            </w:pPr>
            <w:r>
              <w:t>-</w:t>
            </w:r>
          </w:p>
        </w:tc>
        <w:tc>
          <w:tcPr>
            <w:tcW w:w="296" w:type="dxa"/>
          </w:tcPr>
          <w:p w14:paraId="547F08DC" w14:textId="77777777" w:rsidR="0084489F" w:rsidRDefault="00110FE6">
            <w:pPr>
              <w:pStyle w:val="Compact"/>
            </w:pPr>
            <w:r>
              <w:t>-</w:t>
            </w:r>
          </w:p>
        </w:tc>
        <w:tc>
          <w:tcPr>
            <w:tcW w:w="554" w:type="dxa"/>
          </w:tcPr>
          <w:p w14:paraId="2883D45D" w14:textId="77777777" w:rsidR="0084489F" w:rsidRDefault="00110FE6">
            <w:pPr>
              <w:pStyle w:val="Compact"/>
            </w:pPr>
            <w:r>
              <w:t>-</w:t>
            </w:r>
          </w:p>
        </w:tc>
        <w:tc>
          <w:tcPr>
            <w:tcW w:w="5176" w:type="dxa"/>
            <w:gridSpan w:val="4"/>
          </w:tcPr>
          <w:p w14:paraId="6476B199" w14:textId="77777777" w:rsidR="0084489F" w:rsidRDefault="00110FE6">
            <w:pPr>
              <w:pStyle w:val="Compact"/>
            </w:pPr>
            <w:r>
              <w:rPr>
                <w:rStyle w:val="VerbatimChar"/>
                <w:i/>
                <w:iCs/>
              </w:rPr>
              <w:t>E83_Création_de_type</w:t>
            </w:r>
          </w:p>
        </w:tc>
      </w:tr>
      <w:tr w:rsidR="0084489F" w14:paraId="10FB0200" w14:textId="77777777" w:rsidTr="00CC39FB">
        <w:tc>
          <w:tcPr>
            <w:tcW w:w="737" w:type="dxa"/>
          </w:tcPr>
          <w:p w14:paraId="5C6C6C64" w14:textId="77777777" w:rsidR="0084489F" w:rsidRDefault="00110FE6">
            <w:pPr>
              <w:pStyle w:val="Compact"/>
            </w:pPr>
            <w:r>
              <w:t>E66</w:t>
            </w:r>
          </w:p>
        </w:tc>
        <w:tc>
          <w:tcPr>
            <w:tcW w:w="346" w:type="dxa"/>
          </w:tcPr>
          <w:p w14:paraId="468713E4" w14:textId="77777777" w:rsidR="0084489F" w:rsidRDefault="00110FE6">
            <w:pPr>
              <w:pStyle w:val="Compact"/>
            </w:pPr>
            <w:r>
              <w:t>-</w:t>
            </w:r>
          </w:p>
        </w:tc>
        <w:tc>
          <w:tcPr>
            <w:tcW w:w="296" w:type="dxa"/>
          </w:tcPr>
          <w:p w14:paraId="4712EA51" w14:textId="77777777" w:rsidR="0084489F" w:rsidRDefault="00110FE6">
            <w:pPr>
              <w:pStyle w:val="Compact"/>
            </w:pPr>
            <w:r>
              <w:t>-</w:t>
            </w:r>
          </w:p>
        </w:tc>
        <w:tc>
          <w:tcPr>
            <w:tcW w:w="296" w:type="dxa"/>
          </w:tcPr>
          <w:p w14:paraId="3BB4131F" w14:textId="77777777" w:rsidR="0084489F" w:rsidRDefault="00110FE6">
            <w:pPr>
              <w:pStyle w:val="Compact"/>
            </w:pPr>
            <w:r>
              <w:t>-</w:t>
            </w:r>
          </w:p>
        </w:tc>
        <w:tc>
          <w:tcPr>
            <w:tcW w:w="296" w:type="dxa"/>
          </w:tcPr>
          <w:p w14:paraId="064E631C" w14:textId="77777777" w:rsidR="0084489F" w:rsidRDefault="00110FE6">
            <w:pPr>
              <w:pStyle w:val="Compact"/>
            </w:pPr>
            <w:r>
              <w:t>-</w:t>
            </w:r>
          </w:p>
        </w:tc>
        <w:tc>
          <w:tcPr>
            <w:tcW w:w="296" w:type="dxa"/>
          </w:tcPr>
          <w:p w14:paraId="083CCA4B" w14:textId="77777777" w:rsidR="0084489F" w:rsidRDefault="00110FE6">
            <w:pPr>
              <w:pStyle w:val="Compact"/>
            </w:pPr>
            <w:r>
              <w:t>-</w:t>
            </w:r>
          </w:p>
        </w:tc>
        <w:tc>
          <w:tcPr>
            <w:tcW w:w="5730" w:type="dxa"/>
            <w:gridSpan w:val="5"/>
          </w:tcPr>
          <w:p w14:paraId="1F295DAA" w14:textId="77777777" w:rsidR="0084489F" w:rsidRDefault="00110FE6">
            <w:pPr>
              <w:pStyle w:val="Compact"/>
            </w:pPr>
            <w:r>
              <w:rPr>
                <w:rStyle w:val="VerbatimChar"/>
                <w:i/>
                <w:iCs/>
              </w:rPr>
              <w:t>E66_Formation</w:t>
            </w:r>
          </w:p>
        </w:tc>
      </w:tr>
      <w:tr w:rsidR="0084489F" w14:paraId="321805CA" w14:textId="77777777" w:rsidTr="00CC39FB">
        <w:tc>
          <w:tcPr>
            <w:tcW w:w="737" w:type="dxa"/>
          </w:tcPr>
          <w:p w14:paraId="0888792B" w14:textId="77777777" w:rsidR="0084489F" w:rsidRDefault="00110FE6">
            <w:pPr>
              <w:pStyle w:val="Compact"/>
            </w:pPr>
            <w:r>
              <w:t>E85</w:t>
            </w:r>
          </w:p>
        </w:tc>
        <w:tc>
          <w:tcPr>
            <w:tcW w:w="346" w:type="dxa"/>
          </w:tcPr>
          <w:p w14:paraId="769D1ED0" w14:textId="77777777" w:rsidR="0084489F" w:rsidRDefault="00110FE6">
            <w:pPr>
              <w:pStyle w:val="Compact"/>
            </w:pPr>
            <w:r>
              <w:t>-</w:t>
            </w:r>
          </w:p>
        </w:tc>
        <w:tc>
          <w:tcPr>
            <w:tcW w:w="296" w:type="dxa"/>
          </w:tcPr>
          <w:p w14:paraId="04B41A9C" w14:textId="77777777" w:rsidR="0084489F" w:rsidRDefault="00110FE6">
            <w:pPr>
              <w:pStyle w:val="Compact"/>
            </w:pPr>
            <w:r>
              <w:t>-</w:t>
            </w:r>
          </w:p>
        </w:tc>
        <w:tc>
          <w:tcPr>
            <w:tcW w:w="296" w:type="dxa"/>
          </w:tcPr>
          <w:p w14:paraId="0C6D8EB1" w14:textId="77777777" w:rsidR="0084489F" w:rsidRDefault="00110FE6">
            <w:pPr>
              <w:pStyle w:val="Compact"/>
            </w:pPr>
            <w:r>
              <w:t>-</w:t>
            </w:r>
          </w:p>
        </w:tc>
        <w:tc>
          <w:tcPr>
            <w:tcW w:w="296" w:type="dxa"/>
          </w:tcPr>
          <w:p w14:paraId="6207E2BB" w14:textId="77777777" w:rsidR="0084489F" w:rsidRDefault="00110FE6">
            <w:pPr>
              <w:pStyle w:val="Compact"/>
            </w:pPr>
            <w:r>
              <w:t>-</w:t>
            </w:r>
          </w:p>
        </w:tc>
        <w:tc>
          <w:tcPr>
            <w:tcW w:w="296" w:type="dxa"/>
          </w:tcPr>
          <w:p w14:paraId="6392163E" w14:textId="77777777" w:rsidR="0084489F" w:rsidRDefault="00110FE6">
            <w:pPr>
              <w:pStyle w:val="Compact"/>
            </w:pPr>
            <w:r>
              <w:t>-</w:t>
            </w:r>
          </w:p>
        </w:tc>
        <w:tc>
          <w:tcPr>
            <w:tcW w:w="5730" w:type="dxa"/>
            <w:gridSpan w:val="5"/>
          </w:tcPr>
          <w:p w14:paraId="766C4174" w14:textId="77777777" w:rsidR="0084489F" w:rsidRDefault="00110FE6">
            <w:pPr>
              <w:pStyle w:val="Compact"/>
            </w:pPr>
            <w:r>
              <w:rPr>
                <w:rStyle w:val="VerbatimChar"/>
                <w:i/>
                <w:iCs/>
              </w:rPr>
              <w:t>E85_Adhésion</w:t>
            </w:r>
          </w:p>
        </w:tc>
      </w:tr>
      <w:tr w:rsidR="0084489F" w14:paraId="16717A62" w14:textId="77777777" w:rsidTr="00CC39FB">
        <w:tc>
          <w:tcPr>
            <w:tcW w:w="737" w:type="dxa"/>
          </w:tcPr>
          <w:p w14:paraId="5EA2D998" w14:textId="77777777" w:rsidR="0084489F" w:rsidRDefault="00110FE6">
            <w:pPr>
              <w:pStyle w:val="Compact"/>
            </w:pPr>
            <w:r>
              <w:t>E86</w:t>
            </w:r>
          </w:p>
        </w:tc>
        <w:tc>
          <w:tcPr>
            <w:tcW w:w="346" w:type="dxa"/>
          </w:tcPr>
          <w:p w14:paraId="28827370" w14:textId="77777777" w:rsidR="0084489F" w:rsidRDefault="00110FE6">
            <w:pPr>
              <w:pStyle w:val="Compact"/>
            </w:pPr>
            <w:r>
              <w:t>-</w:t>
            </w:r>
          </w:p>
        </w:tc>
        <w:tc>
          <w:tcPr>
            <w:tcW w:w="296" w:type="dxa"/>
          </w:tcPr>
          <w:p w14:paraId="2F9353A6" w14:textId="77777777" w:rsidR="0084489F" w:rsidRDefault="00110FE6">
            <w:pPr>
              <w:pStyle w:val="Compact"/>
            </w:pPr>
            <w:r>
              <w:t>-</w:t>
            </w:r>
          </w:p>
        </w:tc>
        <w:tc>
          <w:tcPr>
            <w:tcW w:w="296" w:type="dxa"/>
          </w:tcPr>
          <w:p w14:paraId="41FCD77A" w14:textId="77777777" w:rsidR="0084489F" w:rsidRDefault="00110FE6">
            <w:pPr>
              <w:pStyle w:val="Compact"/>
            </w:pPr>
            <w:r>
              <w:t>-</w:t>
            </w:r>
          </w:p>
        </w:tc>
        <w:tc>
          <w:tcPr>
            <w:tcW w:w="296" w:type="dxa"/>
          </w:tcPr>
          <w:p w14:paraId="1BE34ACC" w14:textId="77777777" w:rsidR="0084489F" w:rsidRDefault="00110FE6">
            <w:pPr>
              <w:pStyle w:val="Compact"/>
            </w:pPr>
            <w:r>
              <w:t>-</w:t>
            </w:r>
          </w:p>
        </w:tc>
        <w:tc>
          <w:tcPr>
            <w:tcW w:w="296" w:type="dxa"/>
          </w:tcPr>
          <w:p w14:paraId="79B94807" w14:textId="77777777" w:rsidR="0084489F" w:rsidRDefault="00110FE6">
            <w:pPr>
              <w:pStyle w:val="Compact"/>
            </w:pPr>
            <w:r>
              <w:t>-</w:t>
            </w:r>
          </w:p>
        </w:tc>
        <w:tc>
          <w:tcPr>
            <w:tcW w:w="5730" w:type="dxa"/>
            <w:gridSpan w:val="5"/>
          </w:tcPr>
          <w:p w14:paraId="540D1F2A" w14:textId="77777777" w:rsidR="0084489F" w:rsidRDefault="00110FE6">
            <w:pPr>
              <w:pStyle w:val="Compact"/>
            </w:pPr>
            <w:r>
              <w:rPr>
                <w:rStyle w:val="VerbatimChar"/>
                <w:i/>
                <w:iCs/>
              </w:rPr>
              <w:t>E86_Départ</w:t>
            </w:r>
          </w:p>
        </w:tc>
      </w:tr>
      <w:tr w:rsidR="0084489F" w14:paraId="2EBAAB05" w14:textId="77777777" w:rsidTr="00CC39FB">
        <w:tc>
          <w:tcPr>
            <w:tcW w:w="737" w:type="dxa"/>
          </w:tcPr>
          <w:p w14:paraId="1A70B933" w14:textId="77777777" w:rsidR="0084489F" w:rsidRDefault="00110FE6">
            <w:pPr>
              <w:pStyle w:val="Compact"/>
            </w:pPr>
            <w:r>
              <w:t>E87</w:t>
            </w:r>
          </w:p>
        </w:tc>
        <w:tc>
          <w:tcPr>
            <w:tcW w:w="346" w:type="dxa"/>
          </w:tcPr>
          <w:p w14:paraId="717DAAD2" w14:textId="77777777" w:rsidR="0084489F" w:rsidRDefault="00110FE6">
            <w:pPr>
              <w:pStyle w:val="Compact"/>
            </w:pPr>
            <w:r>
              <w:t>-</w:t>
            </w:r>
          </w:p>
        </w:tc>
        <w:tc>
          <w:tcPr>
            <w:tcW w:w="296" w:type="dxa"/>
          </w:tcPr>
          <w:p w14:paraId="7D0F3D8F" w14:textId="77777777" w:rsidR="0084489F" w:rsidRDefault="00110FE6">
            <w:pPr>
              <w:pStyle w:val="Compact"/>
            </w:pPr>
            <w:r>
              <w:t>-</w:t>
            </w:r>
          </w:p>
        </w:tc>
        <w:tc>
          <w:tcPr>
            <w:tcW w:w="296" w:type="dxa"/>
          </w:tcPr>
          <w:p w14:paraId="4CB9A024" w14:textId="77777777" w:rsidR="0084489F" w:rsidRDefault="00110FE6">
            <w:pPr>
              <w:pStyle w:val="Compact"/>
            </w:pPr>
            <w:r>
              <w:t>-</w:t>
            </w:r>
          </w:p>
        </w:tc>
        <w:tc>
          <w:tcPr>
            <w:tcW w:w="296" w:type="dxa"/>
          </w:tcPr>
          <w:p w14:paraId="08417566" w14:textId="77777777" w:rsidR="0084489F" w:rsidRDefault="00110FE6">
            <w:pPr>
              <w:pStyle w:val="Compact"/>
            </w:pPr>
            <w:r>
              <w:t>-</w:t>
            </w:r>
          </w:p>
        </w:tc>
        <w:tc>
          <w:tcPr>
            <w:tcW w:w="296" w:type="dxa"/>
          </w:tcPr>
          <w:p w14:paraId="5241883F" w14:textId="77777777" w:rsidR="0084489F" w:rsidRDefault="00110FE6">
            <w:pPr>
              <w:pStyle w:val="Compact"/>
            </w:pPr>
            <w:r>
              <w:t>-</w:t>
            </w:r>
          </w:p>
        </w:tc>
        <w:tc>
          <w:tcPr>
            <w:tcW w:w="5730" w:type="dxa"/>
            <w:gridSpan w:val="5"/>
          </w:tcPr>
          <w:p w14:paraId="3714A996" w14:textId="77777777" w:rsidR="0084489F" w:rsidRDefault="00110FE6">
            <w:pPr>
              <w:pStyle w:val="Compact"/>
            </w:pPr>
            <w:r>
              <w:rPr>
                <w:rStyle w:val="VerbatimChar"/>
                <w:i/>
                <w:iCs/>
              </w:rPr>
              <w:t>E87_Activité_curatoriale</w:t>
            </w:r>
          </w:p>
        </w:tc>
      </w:tr>
      <w:tr w:rsidR="0084489F" w14:paraId="15409812" w14:textId="77777777" w:rsidTr="00CC39FB">
        <w:tc>
          <w:tcPr>
            <w:tcW w:w="737" w:type="dxa"/>
          </w:tcPr>
          <w:p w14:paraId="4A3FBC40" w14:textId="77777777" w:rsidR="0084489F" w:rsidRDefault="00110FE6">
            <w:pPr>
              <w:pStyle w:val="Compact"/>
            </w:pPr>
            <w:r>
              <w:t>E63</w:t>
            </w:r>
          </w:p>
        </w:tc>
        <w:tc>
          <w:tcPr>
            <w:tcW w:w="346" w:type="dxa"/>
          </w:tcPr>
          <w:p w14:paraId="0A25D080" w14:textId="77777777" w:rsidR="0084489F" w:rsidRDefault="00110FE6">
            <w:pPr>
              <w:pStyle w:val="Compact"/>
            </w:pPr>
            <w:r>
              <w:t>-</w:t>
            </w:r>
          </w:p>
        </w:tc>
        <w:tc>
          <w:tcPr>
            <w:tcW w:w="296" w:type="dxa"/>
          </w:tcPr>
          <w:p w14:paraId="67BC6B88" w14:textId="77777777" w:rsidR="0084489F" w:rsidRDefault="00110FE6">
            <w:pPr>
              <w:pStyle w:val="Compact"/>
            </w:pPr>
            <w:r>
              <w:t>-</w:t>
            </w:r>
          </w:p>
        </w:tc>
        <w:tc>
          <w:tcPr>
            <w:tcW w:w="296" w:type="dxa"/>
          </w:tcPr>
          <w:p w14:paraId="4276209D" w14:textId="77777777" w:rsidR="0084489F" w:rsidRDefault="00110FE6">
            <w:pPr>
              <w:pStyle w:val="Compact"/>
            </w:pPr>
            <w:r>
              <w:t>-</w:t>
            </w:r>
          </w:p>
        </w:tc>
        <w:tc>
          <w:tcPr>
            <w:tcW w:w="296" w:type="dxa"/>
          </w:tcPr>
          <w:p w14:paraId="48CE0991" w14:textId="77777777" w:rsidR="0084489F" w:rsidRDefault="00110FE6">
            <w:pPr>
              <w:pStyle w:val="Compact"/>
            </w:pPr>
            <w:r>
              <w:t>-</w:t>
            </w:r>
          </w:p>
        </w:tc>
        <w:tc>
          <w:tcPr>
            <w:tcW w:w="6026" w:type="dxa"/>
            <w:gridSpan w:val="6"/>
          </w:tcPr>
          <w:p w14:paraId="2351D40C" w14:textId="77777777" w:rsidR="0084489F" w:rsidRDefault="00110FE6">
            <w:pPr>
              <w:pStyle w:val="Compact"/>
            </w:pPr>
            <w:r>
              <w:rPr>
                <w:rStyle w:val="VerbatimChar"/>
                <w:i/>
                <w:iCs/>
              </w:rPr>
              <w:t>E63_Début_d’existence</w:t>
            </w:r>
          </w:p>
        </w:tc>
      </w:tr>
      <w:tr w:rsidR="0084489F" w14:paraId="397C4A2A" w14:textId="77777777" w:rsidTr="00CC39FB">
        <w:tc>
          <w:tcPr>
            <w:tcW w:w="737" w:type="dxa"/>
          </w:tcPr>
          <w:p w14:paraId="6A16977E" w14:textId="77777777" w:rsidR="0084489F" w:rsidRDefault="00110FE6">
            <w:pPr>
              <w:pStyle w:val="Compact"/>
            </w:pPr>
            <w:r>
              <w:t>E67</w:t>
            </w:r>
          </w:p>
        </w:tc>
        <w:tc>
          <w:tcPr>
            <w:tcW w:w="346" w:type="dxa"/>
          </w:tcPr>
          <w:p w14:paraId="7FBEBC5F" w14:textId="77777777" w:rsidR="0084489F" w:rsidRDefault="00110FE6">
            <w:pPr>
              <w:pStyle w:val="Compact"/>
            </w:pPr>
            <w:r>
              <w:t>-</w:t>
            </w:r>
          </w:p>
        </w:tc>
        <w:tc>
          <w:tcPr>
            <w:tcW w:w="296" w:type="dxa"/>
          </w:tcPr>
          <w:p w14:paraId="534D9587" w14:textId="77777777" w:rsidR="0084489F" w:rsidRDefault="00110FE6">
            <w:pPr>
              <w:pStyle w:val="Compact"/>
            </w:pPr>
            <w:r>
              <w:t>-</w:t>
            </w:r>
          </w:p>
        </w:tc>
        <w:tc>
          <w:tcPr>
            <w:tcW w:w="296" w:type="dxa"/>
          </w:tcPr>
          <w:p w14:paraId="626E3030" w14:textId="77777777" w:rsidR="0084489F" w:rsidRDefault="00110FE6">
            <w:pPr>
              <w:pStyle w:val="Compact"/>
            </w:pPr>
            <w:r>
              <w:t>-</w:t>
            </w:r>
          </w:p>
        </w:tc>
        <w:tc>
          <w:tcPr>
            <w:tcW w:w="296" w:type="dxa"/>
          </w:tcPr>
          <w:p w14:paraId="383B7A9A" w14:textId="77777777" w:rsidR="0084489F" w:rsidRDefault="00110FE6">
            <w:pPr>
              <w:pStyle w:val="Compact"/>
            </w:pPr>
            <w:r>
              <w:t>-</w:t>
            </w:r>
          </w:p>
        </w:tc>
        <w:tc>
          <w:tcPr>
            <w:tcW w:w="296" w:type="dxa"/>
          </w:tcPr>
          <w:p w14:paraId="5CDB45A1" w14:textId="77777777" w:rsidR="0084489F" w:rsidRDefault="00110FE6">
            <w:pPr>
              <w:pStyle w:val="Compact"/>
            </w:pPr>
            <w:r>
              <w:t>-</w:t>
            </w:r>
          </w:p>
        </w:tc>
        <w:tc>
          <w:tcPr>
            <w:tcW w:w="5730" w:type="dxa"/>
            <w:gridSpan w:val="5"/>
          </w:tcPr>
          <w:p w14:paraId="630B099A" w14:textId="77777777" w:rsidR="0084489F" w:rsidRDefault="00110FE6">
            <w:pPr>
              <w:pStyle w:val="Compact"/>
            </w:pPr>
            <w:r>
              <w:rPr>
                <w:rStyle w:val="VerbatimChar"/>
                <w:i/>
                <w:iCs/>
              </w:rPr>
              <w:t>E67_Naissance</w:t>
            </w:r>
          </w:p>
        </w:tc>
      </w:tr>
      <w:tr w:rsidR="0084489F" w14:paraId="587FB7AA" w14:textId="77777777" w:rsidTr="00CC39FB">
        <w:tc>
          <w:tcPr>
            <w:tcW w:w="737" w:type="dxa"/>
          </w:tcPr>
          <w:p w14:paraId="7035F257" w14:textId="77777777" w:rsidR="0084489F" w:rsidRDefault="00110FE6">
            <w:pPr>
              <w:pStyle w:val="Compact"/>
            </w:pPr>
            <w:r>
              <w:lastRenderedPageBreak/>
              <w:t>E81</w:t>
            </w:r>
          </w:p>
        </w:tc>
        <w:tc>
          <w:tcPr>
            <w:tcW w:w="346" w:type="dxa"/>
          </w:tcPr>
          <w:p w14:paraId="609EDF93" w14:textId="77777777" w:rsidR="0084489F" w:rsidRDefault="00110FE6">
            <w:pPr>
              <w:pStyle w:val="Compact"/>
            </w:pPr>
            <w:r>
              <w:t>-</w:t>
            </w:r>
          </w:p>
        </w:tc>
        <w:tc>
          <w:tcPr>
            <w:tcW w:w="296" w:type="dxa"/>
          </w:tcPr>
          <w:p w14:paraId="49F400DD" w14:textId="77777777" w:rsidR="0084489F" w:rsidRDefault="00110FE6">
            <w:pPr>
              <w:pStyle w:val="Compact"/>
            </w:pPr>
            <w:r>
              <w:t>-</w:t>
            </w:r>
          </w:p>
        </w:tc>
        <w:tc>
          <w:tcPr>
            <w:tcW w:w="296" w:type="dxa"/>
          </w:tcPr>
          <w:p w14:paraId="30D1FECB" w14:textId="77777777" w:rsidR="0084489F" w:rsidRDefault="00110FE6">
            <w:pPr>
              <w:pStyle w:val="Compact"/>
            </w:pPr>
            <w:r>
              <w:t>-</w:t>
            </w:r>
          </w:p>
        </w:tc>
        <w:tc>
          <w:tcPr>
            <w:tcW w:w="296" w:type="dxa"/>
          </w:tcPr>
          <w:p w14:paraId="032889CA" w14:textId="77777777" w:rsidR="0084489F" w:rsidRDefault="00110FE6">
            <w:pPr>
              <w:pStyle w:val="Compact"/>
            </w:pPr>
            <w:r>
              <w:t>-</w:t>
            </w:r>
          </w:p>
        </w:tc>
        <w:tc>
          <w:tcPr>
            <w:tcW w:w="296" w:type="dxa"/>
          </w:tcPr>
          <w:p w14:paraId="453ACE45" w14:textId="77777777" w:rsidR="0084489F" w:rsidRDefault="00110FE6">
            <w:pPr>
              <w:pStyle w:val="Compact"/>
            </w:pPr>
            <w:r>
              <w:t>-</w:t>
            </w:r>
          </w:p>
        </w:tc>
        <w:tc>
          <w:tcPr>
            <w:tcW w:w="5730" w:type="dxa"/>
            <w:gridSpan w:val="5"/>
          </w:tcPr>
          <w:p w14:paraId="7C07F645" w14:textId="77777777" w:rsidR="0084489F" w:rsidRDefault="00110FE6">
            <w:pPr>
              <w:pStyle w:val="Compact"/>
            </w:pPr>
            <w:r>
              <w:rPr>
                <w:rStyle w:val="VerbatimChar"/>
                <w:i/>
                <w:iCs/>
              </w:rPr>
              <w:t>E81_Transformation</w:t>
            </w:r>
          </w:p>
        </w:tc>
      </w:tr>
      <w:tr w:rsidR="0084489F" w14:paraId="14983AA5" w14:textId="77777777" w:rsidTr="00CC39FB">
        <w:tc>
          <w:tcPr>
            <w:tcW w:w="737" w:type="dxa"/>
          </w:tcPr>
          <w:p w14:paraId="36B5E5AD" w14:textId="77777777" w:rsidR="0084489F" w:rsidRDefault="00110FE6">
            <w:pPr>
              <w:pStyle w:val="Compact"/>
            </w:pPr>
            <w:r>
              <w:t>E12</w:t>
            </w:r>
          </w:p>
        </w:tc>
        <w:tc>
          <w:tcPr>
            <w:tcW w:w="346" w:type="dxa"/>
          </w:tcPr>
          <w:p w14:paraId="7B38ED6B" w14:textId="77777777" w:rsidR="0084489F" w:rsidRDefault="00110FE6">
            <w:pPr>
              <w:pStyle w:val="Compact"/>
            </w:pPr>
            <w:r>
              <w:t>-</w:t>
            </w:r>
          </w:p>
        </w:tc>
        <w:tc>
          <w:tcPr>
            <w:tcW w:w="296" w:type="dxa"/>
          </w:tcPr>
          <w:p w14:paraId="51F91E54" w14:textId="77777777" w:rsidR="0084489F" w:rsidRDefault="00110FE6">
            <w:pPr>
              <w:pStyle w:val="Compact"/>
            </w:pPr>
            <w:r>
              <w:t>-</w:t>
            </w:r>
          </w:p>
        </w:tc>
        <w:tc>
          <w:tcPr>
            <w:tcW w:w="296" w:type="dxa"/>
          </w:tcPr>
          <w:p w14:paraId="5D0D4B1D" w14:textId="77777777" w:rsidR="0084489F" w:rsidRDefault="00110FE6">
            <w:pPr>
              <w:pStyle w:val="Compact"/>
            </w:pPr>
            <w:r>
              <w:t>-</w:t>
            </w:r>
          </w:p>
        </w:tc>
        <w:tc>
          <w:tcPr>
            <w:tcW w:w="296" w:type="dxa"/>
          </w:tcPr>
          <w:p w14:paraId="62078621" w14:textId="77777777" w:rsidR="0084489F" w:rsidRDefault="00110FE6">
            <w:pPr>
              <w:pStyle w:val="Compact"/>
            </w:pPr>
            <w:r>
              <w:t>-</w:t>
            </w:r>
          </w:p>
        </w:tc>
        <w:tc>
          <w:tcPr>
            <w:tcW w:w="296" w:type="dxa"/>
          </w:tcPr>
          <w:p w14:paraId="55B17DB9" w14:textId="77777777" w:rsidR="0084489F" w:rsidRDefault="00110FE6">
            <w:pPr>
              <w:pStyle w:val="Compact"/>
            </w:pPr>
            <w:r>
              <w:t>-</w:t>
            </w:r>
          </w:p>
        </w:tc>
        <w:tc>
          <w:tcPr>
            <w:tcW w:w="5730" w:type="dxa"/>
            <w:gridSpan w:val="5"/>
          </w:tcPr>
          <w:p w14:paraId="153104F7" w14:textId="77777777" w:rsidR="0084489F" w:rsidRDefault="00110FE6">
            <w:pPr>
              <w:pStyle w:val="Compact"/>
            </w:pPr>
            <w:r>
              <w:rPr>
                <w:rStyle w:val="VerbatimChar"/>
                <w:i/>
                <w:iCs/>
              </w:rPr>
              <w:t>E12_Production</w:t>
            </w:r>
          </w:p>
        </w:tc>
      </w:tr>
      <w:tr w:rsidR="0084489F" w14:paraId="5160931C" w14:textId="77777777" w:rsidTr="00CC39FB">
        <w:tc>
          <w:tcPr>
            <w:tcW w:w="737" w:type="dxa"/>
          </w:tcPr>
          <w:p w14:paraId="2F0E8749" w14:textId="77777777" w:rsidR="0084489F" w:rsidRDefault="00110FE6">
            <w:pPr>
              <w:pStyle w:val="Compact"/>
            </w:pPr>
            <w:r>
              <w:t>E65</w:t>
            </w:r>
          </w:p>
        </w:tc>
        <w:tc>
          <w:tcPr>
            <w:tcW w:w="346" w:type="dxa"/>
          </w:tcPr>
          <w:p w14:paraId="5B68CFF6" w14:textId="77777777" w:rsidR="0084489F" w:rsidRDefault="00110FE6">
            <w:pPr>
              <w:pStyle w:val="Compact"/>
            </w:pPr>
            <w:r>
              <w:t>-</w:t>
            </w:r>
          </w:p>
        </w:tc>
        <w:tc>
          <w:tcPr>
            <w:tcW w:w="296" w:type="dxa"/>
          </w:tcPr>
          <w:p w14:paraId="5EFF0567" w14:textId="77777777" w:rsidR="0084489F" w:rsidRDefault="00110FE6">
            <w:pPr>
              <w:pStyle w:val="Compact"/>
            </w:pPr>
            <w:r>
              <w:t>-</w:t>
            </w:r>
          </w:p>
        </w:tc>
        <w:tc>
          <w:tcPr>
            <w:tcW w:w="296" w:type="dxa"/>
          </w:tcPr>
          <w:p w14:paraId="787F35FA" w14:textId="77777777" w:rsidR="0084489F" w:rsidRDefault="00110FE6">
            <w:pPr>
              <w:pStyle w:val="Compact"/>
            </w:pPr>
            <w:r>
              <w:t>-</w:t>
            </w:r>
          </w:p>
        </w:tc>
        <w:tc>
          <w:tcPr>
            <w:tcW w:w="296" w:type="dxa"/>
          </w:tcPr>
          <w:p w14:paraId="4346B7CC" w14:textId="77777777" w:rsidR="0084489F" w:rsidRDefault="00110FE6">
            <w:pPr>
              <w:pStyle w:val="Compact"/>
            </w:pPr>
            <w:r>
              <w:t>-</w:t>
            </w:r>
          </w:p>
        </w:tc>
        <w:tc>
          <w:tcPr>
            <w:tcW w:w="296" w:type="dxa"/>
          </w:tcPr>
          <w:p w14:paraId="0B05F03E" w14:textId="77777777" w:rsidR="0084489F" w:rsidRDefault="00110FE6">
            <w:pPr>
              <w:pStyle w:val="Compact"/>
            </w:pPr>
            <w:r>
              <w:t>-</w:t>
            </w:r>
          </w:p>
        </w:tc>
        <w:tc>
          <w:tcPr>
            <w:tcW w:w="5730" w:type="dxa"/>
            <w:gridSpan w:val="5"/>
          </w:tcPr>
          <w:p w14:paraId="7DDE39E9" w14:textId="77777777" w:rsidR="0084489F" w:rsidRDefault="00110FE6">
            <w:pPr>
              <w:pStyle w:val="Compact"/>
            </w:pPr>
            <w:r>
              <w:rPr>
                <w:rStyle w:val="VerbatimChar"/>
                <w:i/>
                <w:iCs/>
              </w:rPr>
              <w:t>E65_Création</w:t>
            </w:r>
          </w:p>
        </w:tc>
      </w:tr>
      <w:tr w:rsidR="0084489F" w14:paraId="68CD534B" w14:textId="77777777" w:rsidTr="00CC39FB">
        <w:tc>
          <w:tcPr>
            <w:tcW w:w="737" w:type="dxa"/>
          </w:tcPr>
          <w:p w14:paraId="00F86F92" w14:textId="77777777" w:rsidR="0084489F" w:rsidRDefault="00110FE6">
            <w:pPr>
              <w:pStyle w:val="Compact"/>
            </w:pPr>
            <w:r>
              <w:t>E83</w:t>
            </w:r>
          </w:p>
        </w:tc>
        <w:tc>
          <w:tcPr>
            <w:tcW w:w="346" w:type="dxa"/>
          </w:tcPr>
          <w:p w14:paraId="55DCD1B6" w14:textId="77777777" w:rsidR="0084489F" w:rsidRDefault="00110FE6">
            <w:pPr>
              <w:pStyle w:val="Compact"/>
            </w:pPr>
            <w:r>
              <w:t>-</w:t>
            </w:r>
          </w:p>
        </w:tc>
        <w:tc>
          <w:tcPr>
            <w:tcW w:w="296" w:type="dxa"/>
          </w:tcPr>
          <w:p w14:paraId="13660A43" w14:textId="77777777" w:rsidR="0084489F" w:rsidRDefault="00110FE6">
            <w:pPr>
              <w:pStyle w:val="Compact"/>
            </w:pPr>
            <w:r>
              <w:t>-</w:t>
            </w:r>
          </w:p>
        </w:tc>
        <w:tc>
          <w:tcPr>
            <w:tcW w:w="296" w:type="dxa"/>
          </w:tcPr>
          <w:p w14:paraId="4CA474CC" w14:textId="77777777" w:rsidR="0084489F" w:rsidRDefault="00110FE6">
            <w:pPr>
              <w:pStyle w:val="Compact"/>
            </w:pPr>
            <w:r>
              <w:t>-</w:t>
            </w:r>
          </w:p>
        </w:tc>
        <w:tc>
          <w:tcPr>
            <w:tcW w:w="296" w:type="dxa"/>
          </w:tcPr>
          <w:p w14:paraId="5C218263" w14:textId="77777777" w:rsidR="0084489F" w:rsidRDefault="00110FE6">
            <w:pPr>
              <w:pStyle w:val="Compact"/>
            </w:pPr>
            <w:r>
              <w:t>-</w:t>
            </w:r>
          </w:p>
        </w:tc>
        <w:tc>
          <w:tcPr>
            <w:tcW w:w="296" w:type="dxa"/>
          </w:tcPr>
          <w:p w14:paraId="0C93E65C" w14:textId="77777777" w:rsidR="0084489F" w:rsidRDefault="00110FE6">
            <w:pPr>
              <w:pStyle w:val="Compact"/>
            </w:pPr>
            <w:r>
              <w:t>-</w:t>
            </w:r>
          </w:p>
        </w:tc>
        <w:tc>
          <w:tcPr>
            <w:tcW w:w="554" w:type="dxa"/>
          </w:tcPr>
          <w:p w14:paraId="20F91B76" w14:textId="77777777" w:rsidR="0084489F" w:rsidRDefault="00110FE6">
            <w:pPr>
              <w:pStyle w:val="Compact"/>
            </w:pPr>
            <w:r>
              <w:t>-</w:t>
            </w:r>
          </w:p>
        </w:tc>
        <w:tc>
          <w:tcPr>
            <w:tcW w:w="5176" w:type="dxa"/>
            <w:gridSpan w:val="4"/>
          </w:tcPr>
          <w:p w14:paraId="0F9F2EA6" w14:textId="77777777" w:rsidR="0084489F" w:rsidRDefault="00110FE6">
            <w:pPr>
              <w:pStyle w:val="Compact"/>
            </w:pPr>
            <w:r>
              <w:rPr>
                <w:rStyle w:val="VerbatimChar"/>
                <w:i/>
                <w:iCs/>
              </w:rPr>
              <w:t>E83_Création_de_type</w:t>
            </w:r>
          </w:p>
        </w:tc>
      </w:tr>
      <w:tr w:rsidR="0084489F" w14:paraId="704E355D" w14:textId="77777777" w:rsidTr="00CC39FB">
        <w:tc>
          <w:tcPr>
            <w:tcW w:w="737" w:type="dxa"/>
          </w:tcPr>
          <w:p w14:paraId="28015EE8" w14:textId="77777777" w:rsidR="0084489F" w:rsidRDefault="00110FE6">
            <w:pPr>
              <w:pStyle w:val="Compact"/>
            </w:pPr>
            <w:r>
              <w:t>E66</w:t>
            </w:r>
          </w:p>
        </w:tc>
        <w:tc>
          <w:tcPr>
            <w:tcW w:w="346" w:type="dxa"/>
          </w:tcPr>
          <w:p w14:paraId="57A2AB05" w14:textId="77777777" w:rsidR="0084489F" w:rsidRDefault="00110FE6">
            <w:pPr>
              <w:pStyle w:val="Compact"/>
            </w:pPr>
            <w:r>
              <w:t>-</w:t>
            </w:r>
          </w:p>
        </w:tc>
        <w:tc>
          <w:tcPr>
            <w:tcW w:w="296" w:type="dxa"/>
          </w:tcPr>
          <w:p w14:paraId="1687B643" w14:textId="77777777" w:rsidR="0084489F" w:rsidRDefault="00110FE6">
            <w:pPr>
              <w:pStyle w:val="Compact"/>
            </w:pPr>
            <w:r>
              <w:t>-</w:t>
            </w:r>
          </w:p>
        </w:tc>
        <w:tc>
          <w:tcPr>
            <w:tcW w:w="296" w:type="dxa"/>
          </w:tcPr>
          <w:p w14:paraId="6F67DAD7" w14:textId="77777777" w:rsidR="0084489F" w:rsidRDefault="00110FE6">
            <w:pPr>
              <w:pStyle w:val="Compact"/>
            </w:pPr>
            <w:r>
              <w:t>-</w:t>
            </w:r>
          </w:p>
        </w:tc>
        <w:tc>
          <w:tcPr>
            <w:tcW w:w="296" w:type="dxa"/>
          </w:tcPr>
          <w:p w14:paraId="7E435446" w14:textId="77777777" w:rsidR="0084489F" w:rsidRDefault="00110FE6">
            <w:pPr>
              <w:pStyle w:val="Compact"/>
            </w:pPr>
            <w:r>
              <w:t>-</w:t>
            </w:r>
          </w:p>
        </w:tc>
        <w:tc>
          <w:tcPr>
            <w:tcW w:w="296" w:type="dxa"/>
          </w:tcPr>
          <w:p w14:paraId="78051077" w14:textId="77777777" w:rsidR="0084489F" w:rsidRDefault="00110FE6">
            <w:pPr>
              <w:pStyle w:val="Compact"/>
            </w:pPr>
            <w:r>
              <w:t>-</w:t>
            </w:r>
          </w:p>
        </w:tc>
        <w:tc>
          <w:tcPr>
            <w:tcW w:w="5730" w:type="dxa"/>
            <w:gridSpan w:val="5"/>
          </w:tcPr>
          <w:p w14:paraId="75559BFD" w14:textId="77777777" w:rsidR="0084489F" w:rsidRDefault="00110FE6">
            <w:pPr>
              <w:pStyle w:val="Compact"/>
            </w:pPr>
            <w:r>
              <w:rPr>
                <w:rStyle w:val="VerbatimChar"/>
                <w:i/>
                <w:iCs/>
              </w:rPr>
              <w:t>E66_Formation</w:t>
            </w:r>
          </w:p>
        </w:tc>
      </w:tr>
      <w:tr w:rsidR="0084489F" w14:paraId="01E60CB2" w14:textId="77777777" w:rsidTr="00CC39FB">
        <w:tc>
          <w:tcPr>
            <w:tcW w:w="737" w:type="dxa"/>
          </w:tcPr>
          <w:p w14:paraId="036225C1" w14:textId="77777777" w:rsidR="0084489F" w:rsidRDefault="00110FE6">
            <w:pPr>
              <w:pStyle w:val="Compact"/>
            </w:pPr>
            <w:r>
              <w:t>E64</w:t>
            </w:r>
          </w:p>
        </w:tc>
        <w:tc>
          <w:tcPr>
            <w:tcW w:w="346" w:type="dxa"/>
          </w:tcPr>
          <w:p w14:paraId="674EFF0E" w14:textId="77777777" w:rsidR="0084489F" w:rsidRDefault="00110FE6">
            <w:pPr>
              <w:pStyle w:val="Compact"/>
            </w:pPr>
            <w:r>
              <w:t>-</w:t>
            </w:r>
          </w:p>
        </w:tc>
        <w:tc>
          <w:tcPr>
            <w:tcW w:w="296" w:type="dxa"/>
          </w:tcPr>
          <w:p w14:paraId="5C9BA0CA" w14:textId="77777777" w:rsidR="0084489F" w:rsidRDefault="00110FE6">
            <w:pPr>
              <w:pStyle w:val="Compact"/>
            </w:pPr>
            <w:r>
              <w:t>-</w:t>
            </w:r>
          </w:p>
        </w:tc>
        <w:tc>
          <w:tcPr>
            <w:tcW w:w="296" w:type="dxa"/>
          </w:tcPr>
          <w:p w14:paraId="59744404" w14:textId="77777777" w:rsidR="0084489F" w:rsidRDefault="00110FE6">
            <w:pPr>
              <w:pStyle w:val="Compact"/>
            </w:pPr>
            <w:r>
              <w:t>-</w:t>
            </w:r>
          </w:p>
        </w:tc>
        <w:tc>
          <w:tcPr>
            <w:tcW w:w="296" w:type="dxa"/>
          </w:tcPr>
          <w:p w14:paraId="5C62371A" w14:textId="77777777" w:rsidR="0084489F" w:rsidRDefault="00110FE6">
            <w:pPr>
              <w:pStyle w:val="Compact"/>
            </w:pPr>
            <w:r>
              <w:t>-</w:t>
            </w:r>
          </w:p>
        </w:tc>
        <w:tc>
          <w:tcPr>
            <w:tcW w:w="6026" w:type="dxa"/>
            <w:gridSpan w:val="6"/>
          </w:tcPr>
          <w:p w14:paraId="3EE8BEA1" w14:textId="77777777" w:rsidR="0084489F" w:rsidRDefault="00110FE6">
            <w:pPr>
              <w:pStyle w:val="Compact"/>
            </w:pPr>
            <w:r>
              <w:rPr>
                <w:rStyle w:val="VerbatimChar"/>
                <w:i/>
                <w:iCs/>
              </w:rPr>
              <w:t>E64_Fin_d’existence</w:t>
            </w:r>
          </w:p>
        </w:tc>
      </w:tr>
      <w:tr w:rsidR="0084489F" w14:paraId="481A34D2" w14:textId="77777777" w:rsidTr="00CC39FB">
        <w:tc>
          <w:tcPr>
            <w:tcW w:w="737" w:type="dxa"/>
          </w:tcPr>
          <w:p w14:paraId="7181B2D9" w14:textId="77777777" w:rsidR="0084489F" w:rsidRDefault="00110FE6">
            <w:pPr>
              <w:pStyle w:val="Compact"/>
            </w:pPr>
            <w:r>
              <w:t>E6</w:t>
            </w:r>
          </w:p>
        </w:tc>
        <w:tc>
          <w:tcPr>
            <w:tcW w:w="346" w:type="dxa"/>
          </w:tcPr>
          <w:p w14:paraId="17B712CB" w14:textId="77777777" w:rsidR="0084489F" w:rsidRDefault="00110FE6">
            <w:pPr>
              <w:pStyle w:val="Compact"/>
            </w:pPr>
            <w:r>
              <w:t>-</w:t>
            </w:r>
          </w:p>
        </w:tc>
        <w:tc>
          <w:tcPr>
            <w:tcW w:w="296" w:type="dxa"/>
          </w:tcPr>
          <w:p w14:paraId="6558A5C6" w14:textId="77777777" w:rsidR="0084489F" w:rsidRDefault="00110FE6">
            <w:pPr>
              <w:pStyle w:val="Compact"/>
            </w:pPr>
            <w:r>
              <w:t>-</w:t>
            </w:r>
          </w:p>
        </w:tc>
        <w:tc>
          <w:tcPr>
            <w:tcW w:w="296" w:type="dxa"/>
          </w:tcPr>
          <w:p w14:paraId="14DC8755" w14:textId="77777777" w:rsidR="0084489F" w:rsidRDefault="00110FE6">
            <w:pPr>
              <w:pStyle w:val="Compact"/>
            </w:pPr>
            <w:r>
              <w:t>-</w:t>
            </w:r>
          </w:p>
        </w:tc>
        <w:tc>
          <w:tcPr>
            <w:tcW w:w="296" w:type="dxa"/>
          </w:tcPr>
          <w:p w14:paraId="6B4078A8" w14:textId="77777777" w:rsidR="0084489F" w:rsidRDefault="00110FE6">
            <w:pPr>
              <w:pStyle w:val="Compact"/>
            </w:pPr>
            <w:r>
              <w:t>-</w:t>
            </w:r>
          </w:p>
        </w:tc>
        <w:tc>
          <w:tcPr>
            <w:tcW w:w="296" w:type="dxa"/>
          </w:tcPr>
          <w:p w14:paraId="2361A863" w14:textId="77777777" w:rsidR="0084489F" w:rsidRDefault="00110FE6">
            <w:pPr>
              <w:pStyle w:val="Compact"/>
            </w:pPr>
            <w:r>
              <w:t>-</w:t>
            </w:r>
          </w:p>
        </w:tc>
        <w:tc>
          <w:tcPr>
            <w:tcW w:w="5730" w:type="dxa"/>
            <w:gridSpan w:val="5"/>
          </w:tcPr>
          <w:p w14:paraId="7485B268" w14:textId="77777777" w:rsidR="0084489F" w:rsidRDefault="00110FE6">
            <w:pPr>
              <w:pStyle w:val="Compact"/>
            </w:pPr>
            <w:r>
              <w:rPr>
                <w:rStyle w:val="VerbatimChar"/>
                <w:i/>
                <w:iCs/>
              </w:rPr>
              <w:t>E6_Destruction</w:t>
            </w:r>
          </w:p>
        </w:tc>
      </w:tr>
      <w:tr w:rsidR="0084489F" w14:paraId="17333BE2" w14:textId="77777777" w:rsidTr="00CC39FB">
        <w:tc>
          <w:tcPr>
            <w:tcW w:w="737" w:type="dxa"/>
          </w:tcPr>
          <w:p w14:paraId="30692BA4" w14:textId="77777777" w:rsidR="0084489F" w:rsidRDefault="00110FE6">
            <w:pPr>
              <w:pStyle w:val="Compact"/>
            </w:pPr>
            <w:r>
              <w:t>E68</w:t>
            </w:r>
          </w:p>
        </w:tc>
        <w:tc>
          <w:tcPr>
            <w:tcW w:w="346" w:type="dxa"/>
          </w:tcPr>
          <w:p w14:paraId="4DBBF3C4" w14:textId="77777777" w:rsidR="0084489F" w:rsidRDefault="00110FE6">
            <w:pPr>
              <w:pStyle w:val="Compact"/>
            </w:pPr>
            <w:r>
              <w:t>-</w:t>
            </w:r>
          </w:p>
        </w:tc>
        <w:tc>
          <w:tcPr>
            <w:tcW w:w="296" w:type="dxa"/>
          </w:tcPr>
          <w:p w14:paraId="3E838117" w14:textId="77777777" w:rsidR="0084489F" w:rsidRDefault="00110FE6">
            <w:pPr>
              <w:pStyle w:val="Compact"/>
            </w:pPr>
            <w:r>
              <w:t>-</w:t>
            </w:r>
          </w:p>
        </w:tc>
        <w:tc>
          <w:tcPr>
            <w:tcW w:w="296" w:type="dxa"/>
          </w:tcPr>
          <w:p w14:paraId="55FC35DB" w14:textId="77777777" w:rsidR="0084489F" w:rsidRDefault="00110FE6">
            <w:pPr>
              <w:pStyle w:val="Compact"/>
            </w:pPr>
            <w:r>
              <w:t>-</w:t>
            </w:r>
          </w:p>
        </w:tc>
        <w:tc>
          <w:tcPr>
            <w:tcW w:w="296" w:type="dxa"/>
          </w:tcPr>
          <w:p w14:paraId="47AAFEFB" w14:textId="77777777" w:rsidR="0084489F" w:rsidRDefault="00110FE6">
            <w:pPr>
              <w:pStyle w:val="Compact"/>
            </w:pPr>
            <w:r>
              <w:t>-</w:t>
            </w:r>
          </w:p>
        </w:tc>
        <w:tc>
          <w:tcPr>
            <w:tcW w:w="296" w:type="dxa"/>
          </w:tcPr>
          <w:p w14:paraId="0604B6A8" w14:textId="77777777" w:rsidR="0084489F" w:rsidRDefault="00110FE6">
            <w:pPr>
              <w:pStyle w:val="Compact"/>
            </w:pPr>
            <w:r>
              <w:t>-</w:t>
            </w:r>
          </w:p>
        </w:tc>
        <w:tc>
          <w:tcPr>
            <w:tcW w:w="5730" w:type="dxa"/>
            <w:gridSpan w:val="5"/>
          </w:tcPr>
          <w:p w14:paraId="7DE00BD7" w14:textId="77777777" w:rsidR="0084489F" w:rsidRDefault="00110FE6">
            <w:pPr>
              <w:pStyle w:val="Compact"/>
            </w:pPr>
            <w:r>
              <w:rPr>
                <w:rStyle w:val="VerbatimChar"/>
                <w:i/>
                <w:iCs/>
              </w:rPr>
              <w:t>E68_Dissolution</w:t>
            </w:r>
          </w:p>
        </w:tc>
      </w:tr>
      <w:tr w:rsidR="0084489F" w14:paraId="5C25CE4B" w14:textId="77777777" w:rsidTr="00CC39FB">
        <w:tc>
          <w:tcPr>
            <w:tcW w:w="737" w:type="dxa"/>
          </w:tcPr>
          <w:p w14:paraId="238CFB7C" w14:textId="77777777" w:rsidR="0084489F" w:rsidRDefault="00110FE6">
            <w:pPr>
              <w:pStyle w:val="Compact"/>
            </w:pPr>
            <w:r>
              <w:t>E69</w:t>
            </w:r>
          </w:p>
        </w:tc>
        <w:tc>
          <w:tcPr>
            <w:tcW w:w="346" w:type="dxa"/>
          </w:tcPr>
          <w:p w14:paraId="7298883B" w14:textId="77777777" w:rsidR="0084489F" w:rsidRDefault="00110FE6">
            <w:pPr>
              <w:pStyle w:val="Compact"/>
            </w:pPr>
            <w:r>
              <w:t>-</w:t>
            </w:r>
          </w:p>
        </w:tc>
        <w:tc>
          <w:tcPr>
            <w:tcW w:w="296" w:type="dxa"/>
          </w:tcPr>
          <w:p w14:paraId="60AF2483" w14:textId="77777777" w:rsidR="0084489F" w:rsidRDefault="00110FE6">
            <w:pPr>
              <w:pStyle w:val="Compact"/>
            </w:pPr>
            <w:r>
              <w:t>-</w:t>
            </w:r>
          </w:p>
        </w:tc>
        <w:tc>
          <w:tcPr>
            <w:tcW w:w="296" w:type="dxa"/>
          </w:tcPr>
          <w:p w14:paraId="3A1890C7" w14:textId="77777777" w:rsidR="0084489F" w:rsidRDefault="00110FE6">
            <w:pPr>
              <w:pStyle w:val="Compact"/>
            </w:pPr>
            <w:r>
              <w:t>-</w:t>
            </w:r>
          </w:p>
        </w:tc>
        <w:tc>
          <w:tcPr>
            <w:tcW w:w="296" w:type="dxa"/>
          </w:tcPr>
          <w:p w14:paraId="5B76FE4E" w14:textId="77777777" w:rsidR="0084489F" w:rsidRDefault="00110FE6">
            <w:pPr>
              <w:pStyle w:val="Compact"/>
            </w:pPr>
            <w:r>
              <w:t>-</w:t>
            </w:r>
          </w:p>
        </w:tc>
        <w:tc>
          <w:tcPr>
            <w:tcW w:w="296" w:type="dxa"/>
          </w:tcPr>
          <w:p w14:paraId="7F06D245" w14:textId="77777777" w:rsidR="0084489F" w:rsidRDefault="00110FE6">
            <w:pPr>
              <w:pStyle w:val="Compact"/>
            </w:pPr>
            <w:r>
              <w:t>-</w:t>
            </w:r>
          </w:p>
        </w:tc>
        <w:tc>
          <w:tcPr>
            <w:tcW w:w="5730" w:type="dxa"/>
            <w:gridSpan w:val="5"/>
          </w:tcPr>
          <w:p w14:paraId="43BD9C66" w14:textId="77777777" w:rsidR="0084489F" w:rsidRDefault="00110FE6">
            <w:pPr>
              <w:pStyle w:val="Compact"/>
            </w:pPr>
            <w:r>
              <w:rPr>
                <w:rStyle w:val="VerbatimChar"/>
                <w:i/>
                <w:iCs/>
              </w:rPr>
              <w:t>E69_Mort</w:t>
            </w:r>
          </w:p>
        </w:tc>
      </w:tr>
      <w:tr w:rsidR="0084489F" w14:paraId="2E1BCBEF" w14:textId="77777777" w:rsidTr="00CC39FB">
        <w:tc>
          <w:tcPr>
            <w:tcW w:w="737" w:type="dxa"/>
          </w:tcPr>
          <w:p w14:paraId="3167F9E6" w14:textId="77777777" w:rsidR="0084489F" w:rsidRDefault="00110FE6">
            <w:pPr>
              <w:pStyle w:val="Compact"/>
            </w:pPr>
            <w:r>
              <w:t>E81</w:t>
            </w:r>
          </w:p>
        </w:tc>
        <w:tc>
          <w:tcPr>
            <w:tcW w:w="346" w:type="dxa"/>
          </w:tcPr>
          <w:p w14:paraId="7CEAC08C" w14:textId="77777777" w:rsidR="0084489F" w:rsidRDefault="00110FE6">
            <w:pPr>
              <w:pStyle w:val="Compact"/>
            </w:pPr>
            <w:r>
              <w:t>-</w:t>
            </w:r>
          </w:p>
        </w:tc>
        <w:tc>
          <w:tcPr>
            <w:tcW w:w="296" w:type="dxa"/>
          </w:tcPr>
          <w:p w14:paraId="54E9AC73" w14:textId="77777777" w:rsidR="0084489F" w:rsidRDefault="00110FE6">
            <w:pPr>
              <w:pStyle w:val="Compact"/>
            </w:pPr>
            <w:r>
              <w:t>-</w:t>
            </w:r>
          </w:p>
        </w:tc>
        <w:tc>
          <w:tcPr>
            <w:tcW w:w="296" w:type="dxa"/>
          </w:tcPr>
          <w:p w14:paraId="23899FB4" w14:textId="77777777" w:rsidR="0084489F" w:rsidRDefault="00110FE6">
            <w:pPr>
              <w:pStyle w:val="Compact"/>
            </w:pPr>
            <w:r>
              <w:t>-</w:t>
            </w:r>
          </w:p>
        </w:tc>
        <w:tc>
          <w:tcPr>
            <w:tcW w:w="296" w:type="dxa"/>
          </w:tcPr>
          <w:p w14:paraId="71C093C1" w14:textId="77777777" w:rsidR="0084489F" w:rsidRDefault="00110FE6">
            <w:pPr>
              <w:pStyle w:val="Compact"/>
            </w:pPr>
            <w:r>
              <w:t>-</w:t>
            </w:r>
          </w:p>
        </w:tc>
        <w:tc>
          <w:tcPr>
            <w:tcW w:w="296" w:type="dxa"/>
          </w:tcPr>
          <w:p w14:paraId="03F14B61" w14:textId="77777777" w:rsidR="0084489F" w:rsidRDefault="00110FE6">
            <w:pPr>
              <w:pStyle w:val="Compact"/>
            </w:pPr>
            <w:r>
              <w:t>-</w:t>
            </w:r>
          </w:p>
        </w:tc>
        <w:tc>
          <w:tcPr>
            <w:tcW w:w="5730" w:type="dxa"/>
            <w:gridSpan w:val="5"/>
          </w:tcPr>
          <w:p w14:paraId="5AE569E1" w14:textId="77777777" w:rsidR="0084489F" w:rsidRDefault="00110FE6">
            <w:pPr>
              <w:pStyle w:val="Compact"/>
            </w:pPr>
            <w:r>
              <w:rPr>
                <w:rStyle w:val="VerbatimChar"/>
                <w:i/>
                <w:iCs/>
              </w:rPr>
              <w:t>E81_Transformation</w:t>
            </w:r>
          </w:p>
        </w:tc>
      </w:tr>
      <w:tr w:rsidR="0084489F" w14:paraId="0A15FC4A" w14:textId="77777777" w:rsidTr="00CC39FB">
        <w:tc>
          <w:tcPr>
            <w:tcW w:w="737" w:type="dxa"/>
          </w:tcPr>
          <w:p w14:paraId="7B6B5894" w14:textId="77777777" w:rsidR="0084489F" w:rsidRDefault="00110FE6">
            <w:pPr>
              <w:pStyle w:val="Compact"/>
            </w:pPr>
            <w:r>
              <w:t>E93</w:t>
            </w:r>
          </w:p>
        </w:tc>
        <w:tc>
          <w:tcPr>
            <w:tcW w:w="346" w:type="dxa"/>
          </w:tcPr>
          <w:p w14:paraId="60320DEA" w14:textId="77777777" w:rsidR="0084489F" w:rsidRDefault="00110FE6">
            <w:pPr>
              <w:pStyle w:val="Compact"/>
            </w:pPr>
            <w:r>
              <w:t>-</w:t>
            </w:r>
          </w:p>
        </w:tc>
        <w:tc>
          <w:tcPr>
            <w:tcW w:w="296" w:type="dxa"/>
          </w:tcPr>
          <w:p w14:paraId="7B4CB66D" w14:textId="77777777" w:rsidR="0084489F" w:rsidRDefault="00110FE6">
            <w:pPr>
              <w:pStyle w:val="Compact"/>
            </w:pPr>
            <w:r>
              <w:t>-</w:t>
            </w:r>
          </w:p>
        </w:tc>
        <w:tc>
          <w:tcPr>
            <w:tcW w:w="6618" w:type="dxa"/>
            <w:gridSpan w:val="8"/>
          </w:tcPr>
          <w:p w14:paraId="48FF6D6E" w14:textId="77777777" w:rsidR="0084489F" w:rsidRDefault="00110FE6">
            <w:pPr>
              <w:pStyle w:val="Compact"/>
            </w:pPr>
            <w:r>
              <w:rPr>
                <w:rStyle w:val="VerbatimChar"/>
              </w:rPr>
              <w:t>E93_Présence</w:t>
            </w:r>
          </w:p>
        </w:tc>
      </w:tr>
      <w:tr w:rsidR="0084489F" w14:paraId="50882D7B" w14:textId="77777777" w:rsidTr="00CC39FB">
        <w:tc>
          <w:tcPr>
            <w:tcW w:w="737" w:type="dxa"/>
          </w:tcPr>
          <w:p w14:paraId="087C68DF" w14:textId="77777777" w:rsidR="0084489F" w:rsidRDefault="00110FE6">
            <w:pPr>
              <w:pStyle w:val="Compact"/>
            </w:pPr>
            <w:r>
              <w:t>E59</w:t>
            </w:r>
          </w:p>
        </w:tc>
        <w:tc>
          <w:tcPr>
            <w:tcW w:w="346" w:type="dxa"/>
          </w:tcPr>
          <w:p w14:paraId="27CFD927" w14:textId="77777777" w:rsidR="0084489F" w:rsidRDefault="00110FE6">
            <w:pPr>
              <w:pStyle w:val="Compact"/>
            </w:pPr>
            <w:r>
              <w:t>-</w:t>
            </w:r>
          </w:p>
        </w:tc>
        <w:tc>
          <w:tcPr>
            <w:tcW w:w="6914" w:type="dxa"/>
            <w:gridSpan w:val="9"/>
          </w:tcPr>
          <w:p w14:paraId="6BCA721A" w14:textId="77777777" w:rsidR="0084489F" w:rsidRDefault="00110FE6">
            <w:pPr>
              <w:pStyle w:val="Compact"/>
            </w:pPr>
            <w:r>
              <w:rPr>
                <w:rStyle w:val="VerbatimChar"/>
              </w:rPr>
              <w:t>E59_Valeur_primitive</w:t>
            </w:r>
          </w:p>
        </w:tc>
      </w:tr>
      <w:tr w:rsidR="0084489F" w14:paraId="5F5C2396" w14:textId="77777777" w:rsidTr="00CC39FB">
        <w:tc>
          <w:tcPr>
            <w:tcW w:w="737" w:type="dxa"/>
          </w:tcPr>
          <w:p w14:paraId="1345A007" w14:textId="77777777" w:rsidR="0084489F" w:rsidRDefault="00110FE6">
            <w:pPr>
              <w:pStyle w:val="Compact"/>
            </w:pPr>
            <w:r>
              <w:t>E60</w:t>
            </w:r>
          </w:p>
        </w:tc>
        <w:tc>
          <w:tcPr>
            <w:tcW w:w="346" w:type="dxa"/>
          </w:tcPr>
          <w:p w14:paraId="7118E5EF" w14:textId="77777777" w:rsidR="0084489F" w:rsidRDefault="00110FE6">
            <w:pPr>
              <w:pStyle w:val="Compact"/>
            </w:pPr>
            <w:r>
              <w:t>-</w:t>
            </w:r>
          </w:p>
        </w:tc>
        <w:tc>
          <w:tcPr>
            <w:tcW w:w="296" w:type="dxa"/>
          </w:tcPr>
          <w:p w14:paraId="633A0745" w14:textId="77777777" w:rsidR="0084489F" w:rsidRDefault="00110FE6">
            <w:pPr>
              <w:pStyle w:val="Compact"/>
            </w:pPr>
            <w:r>
              <w:t>-</w:t>
            </w:r>
          </w:p>
        </w:tc>
        <w:tc>
          <w:tcPr>
            <w:tcW w:w="6618" w:type="dxa"/>
            <w:gridSpan w:val="8"/>
          </w:tcPr>
          <w:p w14:paraId="4435CF3D" w14:textId="77777777" w:rsidR="0084489F" w:rsidRDefault="00110FE6">
            <w:pPr>
              <w:pStyle w:val="Compact"/>
            </w:pPr>
            <w:r>
              <w:rPr>
                <w:rStyle w:val="VerbatimChar"/>
              </w:rPr>
              <w:t>E60_Nombre</w:t>
            </w:r>
          </w:p>
        </w:tc>
      </w:tr>
      <w:tr w:rsidR="0084489F" w14:paraId="64BD5D88" w14:textId="77777777" w:rsidTr="00CC39FB">
        <w:tc>
          <w:tcPr>
            <w:tcW w:w="737" w:type="dxa"/>
          </w:tcPr>
          <w:p w14:paraId="6CCE15D2" w14:textId="77777777" w:rsidR="0084489F" w:rsidRDefault="00110FE6">
            <w:pPr>
              <w:pStyle w:val="Compact"/>
            </w:pPr>
            <w:r>
              <w:t>E61</w:t>
            </w:r>
          </w:p>
        </w:tc>
        <w:tc>
          <w:tcPr>
            <w:tcW w:w="346" w:type="dxa"/>
          </w:tcPr>
          <w:p w14:paraId="3927FB72" w14:textId="77777777" w:rsidR="0084489F" w:rsidRDefault="00110FE6">
            <w:pPr>
              <w:pStyle w:val="Compact"/>
            </w:pPr>
            <w:r>
              <w:t>-</w:t>
            </w:r>
          </w:p>
        </w:tc>
        <w:tc>
          <w:tcPr>
            <w:tcW w:w="296" w:type="dxa"/>
          </w:tcPr>
          <w:p w14:paraId="4DE61C74" w14:textId="77777777" w:rsidR="0084489F" w:rsidRDefault="00110FE6">
            <w:pPr>
              <w:pStyle w:val="Compact"/>
            </w:pPr>
            <w:r>
              <w:t>-</w:t>
            </w:r>
          </w:p>
        </w:tc>
        <w:tc>
          <w:tcPr>
            <w:tcW w:w="6618" w:type="dxa"/>
            <w:gridSpan w:val="8"/>
          </w:tcPr>
          <w:p w14:paraId="0FDE7864" w14:textId="77777777" w:rsidR="0084489F" w:rsidRDefault="00110FE6">
            <w:pPr>
              <w:pStyle w:val="Compact"/>
            </w:pPr>
            <w:r>
              <w:rPr>
                <w:rStyle w:val="VerbatimChar"/>
                <w:i/>
                <w:iCs/>
              </w:rPr>
              <w:t>E61_Primitive_temporelle</w:t>
            </w:r>
          </w:p>
        </w:tc>
      </w:tr>
      <w:tr w:rsidR="0084489F" w14:paraId="412E8195" w14:textId="77777777" w:rsidTr="00CC39FB">
        <w:tc>
          <w:tcPr>
            <w:tcW w:w="737" w:type="dxa"/>
          </w:tcPr>
          <w:p w14:paraId="4FBA1601" w14:textId="77777777" w:rsidR="0084489F" w:rsidRDefault="00110FE6">
            <w:pPr>
              <w:pStyle w:val="Compact"/>
            </w:pPr>
            <w:r>
              <w:t>E62</w:t>
            </w:r>
          </w:p>
        </w:tc>
        <w:tc>
          <w:tcPr>
            <w:tcW w:w="346" w:type="dxa"/>
          </w:tcPr>
          <w:p w14:paraId="30EAF7E9" w14:textId="77777777" w:rsidR="0084489F" w:rsidRDefault="00110FE6">
            <w:pPr>
              <w:pStyle w:val="Compact"/>
            </w:pPr>
            <w:r>
              <w:t>-</w:t>
            </w:r>
          </w:p>
        </w:tc>
        <w:tc>
          <w:tcPr>
            <w:tcW w:w="296" w:type="dxa"/>
          </w:tcPr>
          <w:p w14:paraId="41356D6D" w14:textId="77777777" w:rsidR="0084489F" w:rsidRDefault="00110FE6">
            <w:pPr>
              <w:pStyle w:val="Compact"/>
            </w:pPr>
            <w:r>
              <w:t>-</w:t>
            </w:r>
          </w:p>
        </w:tc>
        <w:tc>
          <w:tcPr>
            <w:tcW w:w="6618" w:type="dxa"/>
            <w:gridSpan w:val="8"/>
          </w:tcPr>
          <w:p w14:paraId="39B3C8E3" w14:textId="77777777" w:rsidR="0084489F" w:rsidRDefault="00110FE6">
            <w:pPr>
              <w:pStyle w:val="Compact"/>
            </w:pPr>
            <w:r>
              <w:rPr>
                <w:rStyle w:val="VerbatimChar"/>
              </w:rPr>
              <w:t>E62_Chaîne_de_caractères</w:t>
            </w:r>
          </w:p>
        </w:tc>
      </w:tr>
      <w:tr w:rsidR="0084489F" w14:paraId="25EBFC0F" w14:textId="77777777" w:rsidTr="00CC39FB">
        <w:tc>
          <w:tcPr>
            <w:tcW w:w="737" w:type="dxa"/>
          </w:tcPr>
          <w:p w14:paraId="302E1828" w14:textId="77777777" w:rsidR="0084489F" w:rsidRDefault="00110FE6">
            <w:pPr>
              <w:pStyle w:val="Compact"/>
            </w:pPr>
            <w:r>
              <w:t>E94</w:t>
            </w:r>
          </w:p>
        </w:tc>
        <w:tc>
          <w:tcPr>
            <w:tcW w:w="346" w:type="dxa"/>
          </w:tcPr>
          <w:p w14:paraId="73618700" w14:textId="77777777" w:rsidR="0084489F" w:rsidRDefault="00110FE6">
            <w:pPr>
              <w:pStyle w:val="Compact"/>
            </w:pPr>
            <w:r>
              <w:t>-</w:t>
            </w:r>
          </w:p>
        </w:tc>
        <w:tc>
          <w:tcPr>
            <w:tcW w:w="296" w:type="dxa"/>
          </w:tcPr>
          <w:p w14:paraId="7F850E59" w14:textId="77777777" w:rsidR="0084489F" w:rsidRDefault="00110FE6">
            <w:pPr>
              <w:pStyle w:val="Compact"/>
            </w:pPr>
            <w:r>
              <w:t>-</w:t>
            </w:r>
          </w:p>
        </w:tc>
        <w:tc>
          <w:tcPr>
            <w:tcW w:w="6618" w:type="dxa"/>
            <w:gridSpan w:val="8"/>
          </w:tcPr>
          <w:p w14:paraId="2E845635" w14:textId="77777777" w:rsidR="0084489F" w:rsidRDefault="00110FE6">
            <w:pPr>
              <w:pStyle w:val="Compact"/>
            </w:pPr>
            <w:r>
              <w:rPr>
                <w:rStyle w:val="VerbatimChar"/>
                <w:i/>
                <w:iCs/>
              </w:rPr>
              <w:t>E94_Primitive_spatiale</w:t>
            </w:r>
          </w:p>
        </w:tc>
      </w:tr>
      <w:tr w:rsidR="0084489F" w14:paraId="605C8680" w14:textId="77777777" w:rsidTr="00CC39FB">
        <w:tc>
          <w:tcPr>
            <w:tcW w:w="737" w:type="dxa"/>
          </w:tcPr>
          <w:p w14:paraId="693185E4" w14:textId="77777777" w:rsidR="0084489F" w:rsidRDefault="00110FE6">
            <w:pPr>
              <w:pStyle w:val="Compact"/>
            </w:pPr>
            <w:r>
              <w:t>E95</w:t>
            </w:r>
          </w:p>
        </w:tc>
        <w:tc>
          <w:tcPr>
            <w:tcW w:w="346" w:type="dxa"/>
          </w:tcPr>
          <w:p w14:paraId="2BEA6FBE" w14:textId="77777777" w:rsidR="0084489F" w:rsidRDefault="00110FE6">
            <w:pPr>
              <w:pStyle w:val="Compact"/>
            </w:pPr>
            <w:r>
              <w:t>-</w:t>
            </w:r>
          </w:p>
        </w:tc>
        <w:tc>
          <w:tcPr>
            <w:tcW w:w="296" w:type="dxa"/>
          </w:tcPr>
          <w:p w14:paraId="5BCDA5C9" w14:textId="77777777" w:rsidR="0084489F" w:rsidRDefault="00110FE6">
            <w:pPr>
              <w:pStyle w:val="Compact"/>
            </w:pPr>
            <w:r>
              <w:t>-</w:t>
            </w:r>
          </w:p>
        </w:tc>
        <w:tc>
          <w:tcPr>
            <w:tcW w:w="6618" w:type="dxa"/>
            <w:gridSpan w:val="8"/>
          </w:tcPr>
          <w:p w14:paraId="7B5E0115" w14:textId="77777777" w:rsidR="0084489F" w:rsidRDefault="00110FE6">
            <w:pPr>
              <w:pStyle w:val="Compact"/>
            </w:pPr>
            <w:r>
              <w:rPr>
                <w:rStyle w:val="VerbatimChar"/>
                <w:i/>
                <w:iCs/>
              </w:rPr>
              <w:t>E95_Primitive_spatio-temporelle</w:t>
            </w:r>
          </w:p>
        </w:tc>
      </w:tr>
    </w:tbl>
    <w:p w14:paraId="1E7DC915" w14:textId="51EE086B" w:rsidR="296B54BA" w:rsidRDefault="296B54BA" w:rsidP="00CC39FB">
      <w:pPr>
        <w:pStyle w:val="Heading2"/>
      </w:pPr>
      <w:bookmarkStart w:id="99" w:name="_Toc176864432"/>
      <w:bookmarkStart w:id="100" w:name="Xe7732bbdc4c06cb3595859192ee3d388e81634c"/>
      <w:bookmarkEnd w:id="98"/>
      <w:r>
        <w:t>Liste hiérarchisée des propriétés du CIDOC CRM</w:t>
      </w:r>
      <w:bookmarkEnd w:id="99"/>
    </w:p>
    <w:tbl>
      <w:tblPr>
        <w:tblStyle w:val="Table"/>
        <w:tblW w:w="0" w:type="auto"/>
        <w:tblInd w:w="0" w:type="dxa"/>
        <w:tblLayout w:type="fixed"/>
        <w:tblLook w:val="0000" w:firstRow="0" w:lastRow="0" w:firstColumn="0" w:lastColumn="0" w:noHBand="0" w:noVBand="0"/>
      </w:tblPr>
      <w:tblGrid>
        <w:gridCol w:w="800"/>
        <w:gridCol w:w="256"/>
        <w:gridCol w:w="267"/>
        <w:gridCol w:w="293"/>
        <w:gridCol w:w="309"/>
        <w:gridCol w:w="309"/>
        <w:gridCol w:w="3074"/>
        <w:gridCol w:w="2620"/>
        <w:gridCol w:w="2268"/>
      </w:tblGrid>
      <w:tr w:rsidR="00201C99" w14:paraId="1436283A" w14:textId="77777777">
        <w:trPr>
          <w:cantSplit/>
          <w:trHeight w:val="2251"/>
        </w:trPr>
        <w:tc>
          <w:tcPr>
            <w:tcW w:w="800" w:type="dxa"/>
            <w:textDirection w:val="btLr"/>
          </w:tcPr>
          <w:p w14:paraId="1FFF6415" w14:textId="77777777" w:rsidR="00201C99" w:rsidRDefault="00201C99">
            <w:pPr>
              <w:pStyle w:val="Compact"/>
              <w:ind w:left="113" w:right="113"/>
            </w:pPr>
            <w:r>
              <w:rPr>
                <w:b/>
                <w:bCs/>
              </w:rPr>
              <w:t>Identifiant unique de propriété</w:t>
            </w:r>
          </w:p>
        </w:tc>
        <w:tc>
          <w:tcPr>
            <w:tcW w:w="4508" w:type="dxa"/>
            <w:gridSpan w:val="6"/>
            <w:textDirection w:val="btLr"/>
          </w:tcPr>
          <w:p w14:paraId="23AF3FFD" w14:textId="77777777" w:rsidR="00201C99" w:rsidRDefault="00201C99">
            <w:pPr>
              <w:pStyle w:val="Compact"/>
              <w:ind w:left="113" w:right="113"/>
            </w:pPr>
            <w:r>
              <w:rPr>
                <w:b/>
                <w:bCs/>
              </w:rPr>
              <w:t>Nom de la propriété</w:t>
            </w:r>
          </w:p>
        </w:tc>
        <w:tc>
          <w:tcPr>
            <w:tcW w:w="2620" w:type="dxa"/>
            <w:textDirection w:val="btLr"/>
          </w:tcPr>
          <w:p w14:paraId="153695E5" w14:textId="77777777" w:rsidR="00201C99" w:rsidRDefault="00201C99">
            <w:pPr>
              <w:pStyle w:val="Compact"/>
              <w:ind w:left="113" w:right="113"/>
            </w:pPr>
            <w:r>
              <w:rPr>
                <w:b/>
                <w:bCs/>
              </w:rPr>
              <w:t>Domaine</w:t>
            </w:r>
          </w:p>
        </w:tc>
        <w:tc>
          <w:tcPr>
            <w:tcW w:w="2268" w:type="dxa"/>
            <w:textDirection w:val="btLr"/>
          </w:tcPr>
          <w:p w14:paraId="6A212285" w14:textId="77777777" w:rsidR="00201C99" w:rsidRDefault="00201C99">
            <w:pPr>
              <w:pStyle w:val="Compact"/>
              <w:ind w:left="113" w:right="113"/>
            </w:pPr>
            <w:r>
              <w:rPr>
                <w:b/>
                <w:bCs/>
              </w:rPr>
              <w:t>Portée</w:t>
            </w:r>
          </w:p>
        </w:tc>
      </w:tr>
      <w:tr w:rsidR="00201C99" w14:paraId="78A6F33C" w14:textId="77777777">
        <w:tc>
          <w:tcPr>
            <w:tcW w:w="800" w:type="dxa"/>
          </w:tcPr>
          <w:p w14:paraId="7CB1FFB9" w14:textId="77777777" w:rsidR="00201C99" w:rsidRDefault="00201C99">
            <w:pPr>
              <w:pStyle w:val="Compact"/>
            </w:pPr>
            <w:r>
              <w:t>P1</w:t>
            </w:r>
          </w:p>
        </w:tc>
        <w:tc>
          <w:tcPr>
            <w:tcW w:w="4508" w:type="dxa"/>
            <w:gridSpan w:val="6"/>
          </w:tcPr>
          <w:p w14:paraId="53AC676C" w14:textId="77777777" w:rsidR="00201C99" w:rsidRDefault="00201C99">
            <w:pPr>
              <w:pStyle w:val="Compact"/>
            </w:pPr>
            <w:r>
              <w:rPr>
                <w:rStyle w:val="VerbatimChar"/>
              </w:rPr>
              <w:t>P1_est_identifié_par (identifie)</w:t>
            </w:r>
          </w:p>
        </w:tc>
        <w:tc>
          <w:tcPr>
            <w:tcW w:w="2620" w:type="dxa"/>
          </w:tcPr>
          <w:p w14:paraId="180886F5" w14:textId="77777777" w:rsidR="00201C99" w:rsidRDefault="00201C99">
            <w:pPr>
              <w:pStyle w:val="Compact"/>
            </w:pPr>
            <w:r>
              <w:rPr>
                <w:rStyle w:val="VerbatimChar"/>
              </w:rPr>
              <w:t>E1_Entité_CRM</w:t>
            </w:r>
          </w:p>
        </w:tc>
        <w:tc>
          <w:tcPr>
            <w:tcW w:w="2268" w:type="dxa"/>
          </w:tcPr>
          <w:p w14:paraId="1A2E2DFD" w14:textId="77777777" w:rsidR="00201C99" w:rsidRDefault="00201C99">
            <w:pPr>
              <w:pStyle w:val="Compact"/>
            </w:pPr>
            <w:r>
              <w:rPr>
                <w:rStyle w:val="VerbatimChar"/>
              </w:rPr>
              <w:t>E41_Appellation</w:t>
            </w:r>
          </w:p>
        </w:tc>
      </w:tr>
      <w:tr w:rsidR="00201C99" w14:paraId="5280E898" w14:textId="77777777">
        <w:tc>
          <w:tcPr>
            <w:tcW w:w="800" w:type="dxa"/>
          </w:tcPr>
          <w:p w14:paraId="37CE4B12" w14:textId="77777777" w:rsidR="00201C99" w:rsidRDefault="00201C99">
            <w:pPr>
              <w:pStyle w:val="Compact"/>
            </w:pPr>
            <w:r>
              <w:lastRenderedPageBreak/>
              <w:t>P48</w:t>
            </w:r>
          </w:p>
        </w:tc>
        <w:tc>
          <w:tcPr>
            <w:tcW w:w="256" w:type="dxa"/>
          </w:tcPr>
          <w:p w14:paraId="0022B833" w14:textId="77777777" w:rsidR="00201C99" w:rsidRDefault="00201C99">
            <w:pPr>
              <w:pStyle w:val="Compact"/>
            </w:pPr>
            <w:r>
              <w:t>-</w:t>
            </w:r>
          </w:p>
        </w:tc>
        <w:tc>
          <w:tcPr>
            <w:tcW w:w="4252" w:type="dxa"/>
            <w:gridSpan w:val="5"/>
          </w:tcPr>
          <w:p w14:paraId="4F013B04" w14:textId="77777777" w:rsidR="00201C99" w:rsidRDefault="00201C99">
            <w:pPr>
              <w:pStyle w:val="Compact"/>
            </w:pPr>
            <w:r w:rsidRPr="6E5D7753">
              <w:rPr>
                <w:rStyle w:val="VerbatimChar"/>
                <w:lang w:val="fr-FR"/>
              </w:rPr>
              <w:t>P48_a_pour_identifiant_préférentiel (est_l’identifiant_préférentiel_de)</w:t>
            </w:r>
          </w:p>
        </w:tc>
        <w:tc>
          <w:tcPr>
            <w:tcW w:w="2620" w:type="dxa"/>
          </w:tcPr>
          <w:p w14:paraId="7D41F506" w14:textId="77777777" w:rsidR="00201C99" w:rsidRDefault="00201C99">
            <w:pPr>
              <w:pStyle w:val="Compact"/>
            </w:pPr>
            <w:r>
              <w:rPr>
                <w:rStyle w:val="VerbatimChar"/>
              </w:rPr>
              <w:t>E1_Entité_CRM</w:t>
            </w:r>
          </w:p>
        </w:tc>
        <w:tc>
          <w:tcPr>
            <w:tcW w:w="2268" w:type="dxa"/>
          </w:tcPr>
          <w:p w14:paraId="6661D6F8" w14:textId="77777777" w:rsidR="00201C99" w:rsidRDefault="00201C99">
            <w:pPr>
              <w:pStyle w:val="Compact"/>
            </w:pPr>
            <w:r>
              <w:rPr>
                <w:rStyle w:val="VerbatimChar"/>
              </w:rPr>
              <w:t>E42_Identifiant</w:t>
            </w:r>
          </w:p>
        </w:tc>
      </w:tr>
      <w:tr w:rsidR="00201C99" w14:paraId="22F6784A" w14:textId="77777777">
        <w:tc>
          <w:tcPr>
            <w:tcW w:w="800" w:type="dxa"/>
          </w:tcPr>
          <w:p w14:paraId="3667FCC4" w14:textId="77777777" w:rsidR="00201C99" w:rsidRDefault="00201C99">
            <w:pPr>
              <w:pStyle w:val="Compact"/>
            </w:pPr>
            <w:r>
              <w:t>P102</w:t>
            </w:r>
          </w:p>
        </w:tc>
        <w:tc>
          <w:tcPr>
            <w:tcW w:w="256" w:type="dxa"/>
          </w:tcPr>
          <w:p w14:paraId="4E58B41C" w14:textId="77777777" w:rsidR="00201C99" w:rsidRDefault="00201C99">
            <w:pPr>
              <w:pStyle w:val="Compact"/>
            </w:pPr>
            <w:r>
              <w:t>-</w:t>
            </w:r>
          </w:p>
        </w:tc>
        <w:tc>
          <w:tcPr>
            <w:tcW w:w="4252" w:type="dxa"/>
            <w:gridSpan w:val="5"/>
          </w:tcPr>
          <w:p w14:paraId="3C0265E5" w14:textId="77777777" w:rsidR="00201C99" w:rsidRDefault="00201C99">
            <w:pPr>
              <w:pStyle w:val="Compact"/>
            </w:pPr>
            <w:r w:rsidRPr="6E5D7753">
              <w:rPr>
                <w:rStyle w:val="VerbatimChar"/>
                <w:lang w:val="fr-FR"/>
              </w:rPr>
              <w:t>P102_a_pour_titre (est_le_titre_de)</w:t>
            </w:r>
          </w:p>
        </w:tc>
        <w:tc>
          <w:tcPr>
            <w:tcW w:w="2620" w:type="dxa"/>
          </w:tcPr>
          <w:p w14:paraId="430BE639" w14:textId="77777777" w:rsidR="00201C99" w:rsidRDefault="00201C99">
            <w:pPr>
              <w:pStyle w:val="Compact"/>
            </w:pPr>
            <w:r>
              <w:rPr>
                <w:rStyle w:val="VerbatimChar"/>
              </w:rPr>
              <w:t>E71_Chose_élaborée_par_l’humain</w:t>
            </w:r>
          </w:p>
        </w:tc>
        <w:tc>
          <w:tcPr>
            <w:tcW w:w="2268" w:type="dxa"/>
          </w:tcPr>
          <w:p w14:paraId="3A8BDEFE" w14:textId="77777777" w:rsidR="00201C99" w:rsidRDefault="00201C99">
            <w:pPr>
              <w:pStyle w:val="Compact"/>
            </w:pPr>
            <w:r>
              <w:rPr>
                <w:rStyle w:val="VerbatimChar"/>
              </w:rPr>
              <w:t>E35_Titre</w:t>
            </w:r>
          </w:p>
        </w:tc>
      </w:tr>
      <w:tr w:rsidR="00201C99" w14:paraId="5ED5CDE4" w14:textId="77777777">
        <w:tc>
          <w:tcPr>
            <w:tcW w:w="800" w:type="dxa"/>
          </w:tcPr>
          <w:p w14:paraId="64716355" w14:textId="77777777" w:rsidR="00201C99" w:rsidRDefault="00201C99">
            <w:pPr>
              <w:pStyle w:val="Compact"/>
            </w:pPr>
            <w:r>
              <w:t>P168</w:t>
            </w:r>
          </w:p>
        </w:tc>
        <w:tc>
          <w:tcPr>
            <w:tcW w:w="256" w:type="dxa"/>
          </w:tcPr>
          <w:p w14:paraId="6CFC9369" w14:textId="77777777" w:rsidR="00201C99" w:rsidRDefault="00201C99">
            <w:pPr>
              <w:pStyle w:val="Compact"/>
            </w:pPr>
            <w:r>
              <w:t>-</w:t>
            </w:r>
          </w:p>
        </w:tc>
        <w:tc>
          <w:tcPr>
            <w:tcW w:w="4252" w:type="dxa"/>
            <w:gridSpan w:val="5"/>
          </w:tcPr>
          <w:p w14:paraId="30B013B0" w14:textId="77777777" w:rsidR="00201C99" w:rsidRDefault="00201C99">
            <w:pPr>
              <w:pStyle w:val="Compact"/>
            </w:pPr>
            <w:r w:rsidRPr="6E5D7753">
              <w:rPr>
                <w:rStyle w:val="VerbatimChar"/>
                <w:lang w:val="fr-FR"/>
              </w:rPr>
              <w:t>P168_lieu_défini_par (définit_le_lieu)</w:t>
            </w:r>
          </w:p>
        </w:tc>
        <w:tc>
          <w:tcPr>
            <w:tcW w:w="2620" w:type="dxa"/>
          </w:tcPr>
          <w:p w14:paraId="6DF01A2E" w14:textId="77777777" w:rsidR="00201C99" w:rsidRDefault="00201C99">
            <w:pPr>
              <w:pStyle w:val="Compact"/>
            </w:pPr>
            <w:r>
              <w:rPr>
                <w:rStyle w:val="VerbatimChar"/>
              </w:rPr>
              <w:t>E53_Lieu</w:t>
            </w:r>
          </w:p>
        </w:tc>
        <w:tc>
          <w:tcPr>
            <w:tcW w:w="2268" w:type="dxa"/>
          </w:tcPr>
          <w:p w14:paraId="2F294F59" w14:textId="77777777" w:rsidR="00201C99" w:rsidRDefault="00201C99">
            <w:pPr>
              <w:pStyle w:val="Compact"/>
            </w:pPr>
            <w:r>
              <w:rPr>
                <w:rStyle w:val="VerbatimChar"/>
              </w:rPr>
              <w:t>E94_Primitive_spatiale</w:t>
            </w:r>
          </w:p>
        </w:tc>
      </w:tr>
      <w:tr w:rsidR="00201C99" w14:paraId="4223AB8C" w14:textId="77777777">
        <w:tc>
          <w:tcPr>
            <w:tcW w:w="800" w:type="dxa"/>
          </w:tcPr>
          <w:p w14:paraId="4B488562" w14:textId="77777777" w:rsidR="00201C99" w:rsidRDefault="00201C99">
            <w:pPr>
              <w:pStyle w:val="Compact"/>
            </w:pPr>
            <w:r>
              <w:t>P169i</w:t>
            </w:r>
          </w:p>
        </w:tc>
        <w:tc>
          <w:tcPr>
            <w:tcW w:w="256" w:type="dxa"/>
          </w:tcPr>
          <w:p w14:paraId="3831ED79" w14:textId="77777777" w:rsidR="00201C99" w:rsidRDefault="00201C99">
            <w:pPr>
              <w:pStyle w:val="Compact"/>
            </w:pPr>
            <w:r>
              <w:t>-</w:t>
            </w:r>
          </w:p>
        </w:tc>
        <w:tc>
          <w:tcPr>
            <w:tcW w:w="4252" w:type="dxa"/>
            <w:gridSpan w:val="5"/>
          </w:tcPr>
          <w:p w14:paraId="6E7011DF" w14:textId="77777777" w:rsidR="00201C99" w:rsidRDefault="00201C99">
            <w:pPr>
              <w:pStyle w:val="Compact"/>
            </w:pPr>
            <w:r w:rsidRPr="6E5D7753">
              <w:rPr>
                <w:rStyle w:val="VerbatimChar"/>
                <w:lang w:val="fr-FR"/>
              </w:rPr>
              <w:t>P169i_volume_spatio-temporel_défini_par (définit_le_volume_spatio-temporel)</w:t>
            </w:r>
          </w:p>
        </w:tc>
        <w:tc>
          <w:tcPr>
            <w:tcW w:w="2620" w:type="dxa"/>
          </w:tcPr>
          <w:p w14:paraId="5C6A8CD3" w14:textId="77777777" w:rsidR="00201C99" w:rsidRDefault="00201C99">
            <w:pPr>
              <w:pStyle w:val="Compact"/>
            </w:pPr>
            <w:r>
              <w:rPr>
                <w:rStyle w:val="VerbatimChar"/>
              </w:rPr>
              <w:t>E92_Volume_spatio-temporel</w:t>
            </w:r>
          </w:p>
        </w:tc>
        <w:tc>
          <w:tcPr>
            <w:tcW w:w="2268" w:type="dxa"/>
          </w:tcPr>
          <w:p w14:paraId="7EA95B62" w14:textId="77777777" w:rsidR="00201C99" w:rsidRDefault="00201C99">
            <w:pPr>
              <w:pStyle w:val="Compact"/>
            </w:pPr>
            <w:r>
              <w:rPr>
                <w:rStyle w:val="VerbatimChar"/>
              </w:rPr>
              <w:t>E95_Primitive_spatio-temporelle</w:t>
            </w:r>
          </w:p>
        </w:tc>
      </w:tr>
      <w:tr w:rsidR="00201C99" w14:paraId="7CEE48F5" w14:textId="77777777">
        <w:tc>
          <w:tcPr>
            <w:tcW w:w="800" w:type="dxa"/>
          </w:tcPr>
          <w:p w14:paraId="6D78F7E4" w14:textId="77777777" w:rsidR="00201C99" w:rsidRDefault="00201C99">
            <w:pPr>
              <w:pStyle w:val="Compact"/>
            </w:pPr>
            <w:r>
              <w:t>P170i</w:t>
            </w:r>
          </w:p>
        </w:tc>
        <w:tc>
          <w:tcPr>
            <w:tcW w:w="256" w:type="dxa"/>
          </w:tcPr>
          <w:p w14:paraId="54CAE475" w14:textId="77777777" w:rsidR="00201C99" w:rsidRDefault="00201C99">
            <w:pPr>
              <w:pStyle w:val="Compact"/>
            </w:pPr>
            <w:r>
              <w:t>-</w:t>
            </w:r>
          </w:p>
        </w:tc>
        <w:tc>
          <w:tcPr>
            <w:tcW w:w="4252" w:type="dxa"/>
            <w:gridSpan w:val="5"/>
          </w:tcPr>
          <w:p w14:paraId="06AB3573" w14:textId="77777777" w:rsidR="00201C99" w:rsidRDefault="00201C99">
            <w:pPr>
              <w:pStyle w:val="Compact"/>
            </w:pPr>
            <w:r w:rsidRPr="6E5D7753">
              <w:rPr>
                <w:rStyle w:val="VerbatimChar"/>
                <w:lang w:val="fr-FR"/>
              </w:rPr>
              <w:t>P170i_temps_défini_par (définit_le_temps)</w:t>
            </w:r>
          </w:p>
        </w:tc>
        <w:tc>
          <w:tcPr>
            <w:tcW w:w="2620" w:type="dxa"/>
          </w:tcPr>
          <w:p w14:paraId="712E2131" w14:textId="77777777" w:rsidR="00201C99" w:rsidRDefault="00201C99">
            <w:pPr>
              <w:pStyle w:val="Compact"/>
            </w:pPr>
            <w:r>
              <w:rPr>
                <w:rStyle w:val="VerbatimChar"/>
              </w:rPr>
              <w:t xml:space="preserve">E52_Intervalle_temporel </w:t>
            </w:r>
          </w:p>
        </w:tc>
        <w:tc>
          <w:tcPr>
            <w:tcW w:w="2268" w:type="dxa"/>
          </w:tcPr>
          <w:p w14:paraId="11BC3948" w14:textId="77777777" w:rsidR="00201C99" w:rsidRDefault="00201C99">
            <w:pPr>
              <w:pStyle w:val="Compact"/>
            </w:pPr>
            <w:r>
              <w:rPr>
                <w:rStyle w:val="VerbatimChar"/>
              </w:rPr>
              <w:t>E61_Primitive_temporelle</w:t>
            </w:r>
          </w:p>
        </w:tc>
      </w:tr>
      <w:tr w:rsidR="00201C99" w14:paraId="4635AF1A" w14:textId="77777777">
        <w:tc>
          <w:tcPr>
            <w:tcW w:w="800" w:type="dxa"/>
          </w:tcPr>
          <w:p w14:paraId="5C71DBFC" w14:textId="77777777" w:rsidR="00201C99" w:rsidRDefault="00201C99">
            <w:pPr>
              <w:pStyle w:val="Compact"/>
            </w:pPr>
            <w:r>
              <w:t>P2</w:t>
            </w:r>
          </w:p>
        </w:tc>
        <w:tc>
          <w:tcPr>
            <w:tcW w:w="4508" w:type="dxa"/>
            <w:gridSpan w:val="6"/>
          </w:tcPr>
          <w:p w14:paraId="17112B7D" w14:textId="77777777" w:rsidR="00201C99" w:rsidRDefault="00201C99">
            <w:pPr>
              <w:pStyle w:val="Compact"/>
            </w:pPr>
            <w:r w:rsidRPr="6E5D7753">
              <w:rPr>
                <w:rStyle w:val="VerbatimChar"/>
                <w:lang w:val="fr-FR"/>
              </w:rPr>
              <w:t>P2_a_pour_type (est_le_type_de)</w:t>
            </w:r>
          </w:p>
        </w:tc>
        <w:tc>
          <w:tcPr>
            <w:tcW w:w="2620" w:type="dxa"/>
          </w:tcPr>
          <w:p w14:paraId="08BE2531" w14:textId="77777777" w:rsidR="00201C99" w:rsidRDefault="00201C99">
            <w:pPr>
              <w:pStyle w:val="Compact"/>
            </w:pPr>
            <w:r>
              <w:rPr>
                <w:rStyle w:val="VerbatimChar"/>
              </w:rPr>
              <w:t>E1_Entité_CRM</w:t>
            </w:r>
          </w:p>
        </w:tc>
        <w:tc>
          <w:tcPr>
            <w:tcW w:w="2268" w:type="dxa"/>
          </w:tcPr>
          <w:p w14:paraId="01A586EC" w14:textId="77777777" w:rsidR="00201C99" w:rsidRDefault="00201C99">
            <w:pPr>
              <w:pStyle w:val="Compact"/>
            </w:pPr>
            <w:r>
              <w:rPr>
                <w:rStyle w:val="VerbatimChar"/>
              </w:rPr>
              <w:t>E55_Type</w:t>
            </w:r>
          </w:p>
        </w:tc>
      </w:tr>
      <w:tr w:rsidR="00201C99" w14:paraId="292FEAC5" w14:textId="77777777">
        <w:tc>
          <w:tcPr>
            <w:tcW w:w="800" w:type="dxa"/>
          </w:tcPr>
          <w:p w14:paraId="148B4819" w14:textId="77777777" w:rsidR="00201C99" w:rsidRDefault="00201C99">
            <w:pPr>
              <w:pStyle w:val="Compact"/>
            </w:pPr>
            <w:r>
              <w:t>P137</w:t>
            </w:r>
          </w:p>
        </w:tc>
        <w:tc>
          <w:tcPr>
            <w:tcW w:w="256" w:type="dxa"/>
          </w:tcPr>
          <w:p w14:paraId="3E59A93F" w14:textId="77777777" w:rsidR="00201C99" w:rsidRDefault="00201C99">
            <w:pPr>
              <w:pStyle w:val="Compact"/>
            </w:pPr>
            <w:r>
              <w:t>-</w:t>
            </w:r>
          </w:p>
        </w:tc>
        <w:tc>
          <w:tcPr>
            <w:tcW w:w="4252" w:type="dxa"/>
            <w:gridSpan w:val="5"/>
          </w:tcPr>
          <w:p w14:paraId="10BE9847" w14:textId="77777777" w:rsidR="00201C99" w:rsidRDefault="00201C99">
            <w:pPr>
              <w:pStyle w:val="Compact"/>
            </w:pPr>
            <w:r w:rsidRPr="6E5D7753">
              <w:rPr>
                <w:rStyle w:val="VerbatimChar"/>
                <w:lang w:val="fr-FR"/>
              </w:rPr>
              <w:t>P137_exemplifie (est_exemplifié_par)</w:t>
            </w:r>
          </w:p>
        </w:tc>
        <w:tc>
          <w:tcPr>
            <w:tcW w:w="2620" w:type="dxa"/>
          </w:tcPr>
          <w:p w14:paraId="7AE48CB8" w14:textId="77777777" w:rsidR="00201C99" w:rsidRDefault="00201C99">
            <w:pPr>
              <w:pStyle w:val="Compact"/>
            </w:pPr>
            <w:r>
              <w:rPr>
                <w:rStyle w:val="VerbatimChar"/>
              </w:rPr>
              <w:t>E1_Entité_CRM</w:t>
            </w:r>
          </w:p>
        </w:tc>
        <w:tc>
          <w:tcPr>
            <w:tcW w:w="2268" w:type="dxa"/>
          </w:tcPr>
          <w:p w14:paraId="2CF76023" w14:textId="77777777" w:rsidR="00201C99" w:rsidRDefault="00201C99">
            <w:pPr>
              <w:pStyle w:val="Compact"/>
            </w:pPr>
            <w:r>
              <w:rPr>
                <w:rStyle w:val="VerbatimChar"/>
              </w:rPr>
              <w:t>E55_Type</w:t>
            </w:r>
          </w:p>
        </w:tc>
      </w:tr>
      <w:tr w:rsidR="00201C99" w14:paraId="7E5191D7" w14:textId="77777777">
        <w:tc>
          <w:tcPr>
            <w:tcW w:w="800" w:type="dxa"/>
          </w:tcPr>
          <w:p w14:paraId="2E4E490E" w14:textId="77777777" w:rsidR="00201C99" w:rsidRDefault="00201C99">
            <w:pPr>
              <w:pStyle w:val="Compact"/>
            </w:pPr>
            <w:r>
              <w:t>P177</w:t>
            </w:r>
          </w:p>
        </w:tc>
        <w:tc>
          <w:tcPr>
            <w:tcW w:w="256" w:type="dxa"/>
          </w:tcPr>
          <w:p w14:paraId="0C556E7D" w14:textId="77777777" w:rsidR="00201C99" w:rsidRDefault="00201C99">
            <w:pPr>
              <w:pStyle w:val="Compact"/>
            </w:pPr>
            <w:r>
              <w:t>-</w:t>
            </w:r>
          </w:p>
        </w:tc>
        <w:tc>
          <w:tcPr>
            <w:tcW w:w="4252" w:type="dxa"/>
            <w:gridSpan w:val="5"/>
          </w:tcPr>
          <w:p w14:paraId="447C6111" w14:textId="77777777" w:rsidR="00201C99" w:rsidRDefault="00201C99">
            <w:pPr>
              <w:pStyle w:val="Compact"/>
            </w:pPr>
            <w:r>
              <w:rPr>
                <w:rStyle w:val="VerbatimChar"/>
              </w:rPr>
              <w:t xml:space="preserve">P177_a_assigné_le_type_de_propriété (est le type de la propriété assigné) </w:t>
            </w:r>
          </w:p>
        </w:tc>
        <w:tc>
          <w:tcPr>
            <w:tcW w:w="2620" w:type="dxa"/>
          </w:tcPr>
          <w:p w14:paraId="72A490BB" w14:textId="77777777" w:rsidR="00201C99" w:rsidRDefault="00201C99">
            <w:pPr>
              <w:pStyle w:val="Compact"/>
            </w:pPr>
            <w:r>
              <w:rPr>
                <w:rStyle w:val="VerbatimChar"/>
              </w:rPr>
              <w:t>E13_Assignation_d’attribut</w:t>
            </w:r>
          </w:p>
        </w:tc>
        <w:tc>
          <w:tcPr>
            <w:tcW w:w="2268" w:type="dxa"/>
          </w:tcPr>
          <w:p w14:paraId="2E5141AF" w14:textId="77777777" w:rsidR="00201C99" w:rsidRDefault="00201C99">
            <w:pPr>
              <w:pStyle w:val="Compact"/>
            </w:pPr>
            <w:r>
              <w:rPr>
                <w:rStyle w:val="VerbatimChar"/>
              </w:rPr>
              <w:t>E55_Type</w:t>
            </w:r>
          </w:p>
        </w:tc>
      </w:tr>
      <w:tr w:rsidR="00201C99" w14:paraId="42341DB7" w14:textId="77777777">
        <w:tc>
          <w:tcPr>
            <w:tcW w:w="800" w:type="dxa"/>
          </w:tcPr>
          <w:p w14:paraId="1A54D8F2" w14:textId="77777777" w:rsidR="00201C99" w:rsidRDefault="00201C99">
            <w:pPr>
              <w:pStyle w:val="Compact"/>
            </w:pPr>
            <w:r>
              <w:t>P3</w:t>
            </w:r>
          </w:p>
        </w:tc>
        <w:tc>
          <w:tcPr>
            <w:tcW w:w="4508" w:type="dxa"/>
            <w:gridSpan w:val="6"/>
          </w:tcPr>
          <w:p w14:paraId="44138EDC" w14:textId="77777777" w:rsidR="00201C99" w:rsidRDefault="00201C99">
            <w:pPr>
              <w:pStyle w:val="Compact"/>
            </w:pPr>
            <w:r>
              <w:rPr>
                <w:rStyle w:val="VerbatimChar"/>
              </w:rPr>
              <w:t>P3_a_pour_note</w:t>
            </w:r>
          </w:p>
        </w:tc>
        <w:tc>
          <w:tcPr>
            <w:tcW w:w="2620" w:type="dxa"/>
          </w:tcPr>
          <w:p w14:paraId="3D5C6AAF" w14:textId="77777777" w:rsidR="00201C99" w:rsidRDefault="00201C99">
            <w:pPr>
              <w:pStyle w:val="Compact"/>
            </w:pPr>
            <w:r>
              <w:rPr>
                <w:rStyle w:val="VerbatimChar"/>
              </w:rPr>
              <w:t>E1_Entité_CRM</w:t>
            </w:r>
          </w:p>
        </w:tc>
        <w:tc>
          <w:tcPr>
            <w:tcW w:w="2268" w:type="dxa"/>
          </w:tcPr>
          <w:p w14:paraId="1D759078" w14:textId="77777777" w:rsidR="00201C99" w:rsidRDefault="00201C99">
            <w:pPr>
              <w:pStyle w:val="Compact"/>
            </w:pPr>
            <w:r>
              <w:rPr>
                <w:rStyle w:val="VerbatimChar"/>
              </w:rPr>
              <w:t>E62_Chaîne_de_caractères</w:t>
            </w:r>
          </w:p>
        </w:tc>
      </w:tr>
      <w:tr w:rsidR="00201C99" w14:paraId="62A6902D" w14:textId="77777777">
        <w:tc>
          <w:tcPr>
            <w:tcW w:w="800" w:type="dxa"/>
          </w:tcPr>
          <w:p w14:paraId="6464D251" w14:textId="77777777" w:rsidR="00201C99" w:rsidRDefault="00201C99">
            <w:pPr>
              <w:pStyle w:val="Compact"/>
            </w:pPr>
            <w:r>
              <w:t>P79</w:t>
            </w:r>
          </w:p>
        </w:tc>
        <w:tc>
          <w:tcPr>
            <w:tcW w:w="256" w:type="dxa"/>
          </w:tcPr>
          <w:p w14:paraId="0AE5494B" w14:textId="77777777" w:rsidR="00201C99" w:rsidRDefault="00201C99">
            <w:pPr>
              <w:pStyle w:val="Compact"/>
            </w:pPr>
            <w:r>
              <w:t>-</w:t>
            </w:r>
          </w:p>
        </w:tc>
        <w:tc>
          <w:tcPr>
            <w:tcW w:w="4252" w:type="dxa"/>
            <w:gridSpan w:val="5"/>
          </w:tcPr>
          <w:p w14:paraId="193969E3" w14:textId="77777777" w:rsidR="00201C99" w:rsidRDefault="00201C99">
            <w:pPr>
              <w:pStyle w:val="Compact"/>
            </w:pPr>
            <w:r>
              <w:rPr>
                <w:rStyle w:val="VerbatimChar"/>
              </w:rPr>
              <w:t>P79_a_son_début_qualifié_par</w:t>
            </w:r>
          </w:p>
        </w:tc>
        <w:tc>
          <w:tcPr>
            <w:tcW w:w="2620" w:type="dxa"/>
          </w:tcPr>
          <w:p w14:paraId="4A9FE050" w14:textId="77777777" w:rsidR="00201C99" w:rsidRDefault="00201C99">
            <w:pPr>
              <w:pStyle w:val="Compact"/>
            </w:pPr>
            <w:r>
              <w:rPr>
                <w:rStyle w:val="VerbatimChar"/>
              </w:rPr>
              <w:t xml:space="preserve">E52_Intervalle_temporel </w:t>
            </w:r>
          </w:p>
        </w:tc>
        <w:tc>
          <w:tcPr>
            <w:tcW w:w="2268" w:type="dxa"/>
          </w:tcPr>
          <w:p w14:paraId="726D3566" w14:textId="77777777" w:rsidR="00201C99" w:rsidRDefault="00201C99">
            <w:pPr>
              <w:pStyle w:val="Compact"/>
            </w:pPr>
            <w:r>
              <w:rPr>
                <w:rStyle w:val="VerbatimChar"/>
              </w:rPr>
              <w:t>E62_Chaîne_de_caractères</w:t>
            </w:r>
          </w:p>
        </w:tc>
      </w:tr>
      <w:tr w:rsidR="00201C99" w14:paraId="16E9FAB5" w14:textId="77777777">
        <w:tc>
          <w:tcPr>
            <w:tcW w:w="800" w:type="dxa"/>
          </w:tcPr>
          <w:p w14:paraId="2AF5ED95" w14:textId="77777777" w:rsidR="00201C99" w:rsidRDefault="00201C99">
            <w:pPr>
              <w:pStyle w:val="Compact"/>
            </w:pPr>
            <w:r>
              <w:t>P80</w:t>
            </w:r>
          </w:p>
        </w:tc>
        <w:tc>
          <w:tcPr>
            <w:tcW w:w="256" w:type="dxa"/>
          </w:tcPr>
          <w:p w14:paraId="37A841CC" w14:textId="77777777" w:rsidR="00201C99" w:rsidRDefault="00201C99">
            <w:pPr>
              <w:pStyle w:val="Compact"/>
            </w:pPr>
            <w:r>
              <w:t>-</w:t>
            </w:r>
          </w:p>
        </w:tc>
        <w:tc>
          <w:tcPr>
            <w:tcW w:w="4252" w:type="dxa"/>
            <w:gridSpan w:val="5"/>
          </w:tcPr>
          <w:p w14:paraId="4CF112B0" w14:textId="77777777" w:rsidR="00201C99" w:rsidRDefault="00201C99">
            <w:pPr>
              <w:pStyle w:val="Compact"/>
            </w:pPr>
            <w:r>
              <w:rPr>
                <w:rStyle w:val="VerbatimChar"/>
              </w:rPr>
              <w:t>P80_a_sa_fin_qualifiée_par</w:t>
            </w:r>
          </w:p>
        </w:tc>
        <w:tc>
          <w:tcPr>
            <w:tcW w:w="2620" w:type="dxa"/>
          </w:tcPr>
          <w:p w14:paraId="5766D323" w14:textId="77777777" w:rsidR="00201C99" w:rsidRDefault="00201C99">
            <w:pPr>
              <w:pStyle w:val="Compact"/>
            </w:pPr>
            <w:r>
              <w:rPr>
                <w:rStyle w:val="VerbatimChar"/>
              </w:rPr>
              <w:t xml:space="preserve">E52_Intervalle_temporel </w:t>
            </w:r>
          </w:p>
        </w:tc>
        <w:tc>
          <w:tcPr>
            <w:tcW w:w="2268" w:type="dxa"/>
          </w:tcPr>
          <w:p w14:paraId="1EBEC075" w14:textId="77777777" w:rsidR="00201C99" w:rsidRDefault="00201C99">
            <w:pPr>
              <w:pStyle w:val="Compact"/>
            </w:pPr>
            <w:r>
              <w:rPr>
                <w:rStyle w:val="VerbatimChar"/>
              </w:rPr>
              <w:t>E62_Chaîne_de_caractères</w:t>
            </w:r>
          </w:p>
        </w:tc>
      </w:tr>
      <w:tr w:rsidR="00201C99" w14:paraId="466ED122" w14:textId="77777777">
        <w:tc>
          <w:tcPr>
            <w:tcW w:w="800" w:type="dxa"/>
          </w:tcPr>
          <w:p w14:paraId="2943C00E" w14:textId="77777777" w:rsidR="00201C99" w:rsidRDefault="00201C99">
            <w:pPr>
              <w:pStyle w:val="Compact"/>
            </w:pPr>
            <w:r>
              <w:t>P190</w:t>
            </w:r>
          </w:p>
        </w:tc>
        <w:tc>
          <w:tcPr>
            <w:tcW w:w="256" w:type="dxa"/>
          </w:tcPr>
          <w:p w14:paraId="272BABCF" w14:textId="77777777" w:rsidR="00201C99" w:rsidRDefault="00201C99">
            <w:pPr>
              <w:pStyle w:val="Compact"/>
            </w:pPr>
            <w:r>
              <w:t>-</w:t>
            </w:r>
          </w:p>
        </w:tc>
        <w:tc>
          <w:tcPr>
            <w:tcW w:w="4252" w:type="dxa"/>
            <w:gridSpan w:val="5"/>
          </w:tcPr>
          <w:p w14:paraId="516AEC0E" w14:textId="77777777" w:rsidR="00201C99" w:rsidRDefault="00201C99">
            <w:pPr>
              <w:pStyle w:val="Compact"/>
            </w:pPr>
            <w:r>
              <w:rPr>
                <w:rStyle w:val="VerbatimChar"/>
              </w:rPr>
              <w:t>P190_a_pour_contenu_symbolique</w:t>
            </w:r>
          </w:p>
        </w:tc>
        <w:tc>
          <w:tcPr>
            <w:tcW w:w="2620" w:type="dxa"/>
          </w:tcPr>
          <w:p w14:paraId="0DEEB659" w14:textId="77777777" w:rsidR="00201C99" w:rsidRDefault="00201C99">
            <w:pPr>
              <w:pStyle w:val="Compact"/>
            </w:pPr>
            <w:r>
              <w:rPr>
                <w:rStyle w:val="VerbatimChar"/>
              </w:rPr>
              <w:t>E90_Objet_symbolique</w:t>
            </w:r>
          </w:p>
        </w:tc>
        <w:tc>
          <w:tcPr>
            <w:tcW w:w="2268" w:type="dxa"/>
          </w:tcPr>
          <w:p w14:paraId="19D61EF8" w14:textId="77777777" w:rsidR="00201C99" w:rsidRDefault="00201C99">
            <w:pPr>
              <w:pStyle w:val="Compact"/>
            </w:pPr>
            <w:r>
              <w:rPr>
                <w:rStyle w:val="VerbatimChar"/>
              </w:rPr>
              <w:t>E62_Chaîne_de_caractères</w:t>
            </w:r>
          </w:p>
        </w:tc>
      </w:tr>
      <w:tr w:rsidR="00201C99" w14:paraId="190F893D" w14:textId="77777777">
        <w:tc>
          <w:tcPr>
            <w:tcW w:w="800" w:type="dxa"/>
          </w:tcPr>
          <w:p w14:paraId="2459D24E" w14:textId="77777777" w:rsidR="00201C99" w:rsidRDefault="00201C99">
            <w:pPr>
              <w:pStyle w:val="Compact"/>
            </w:pPr>
            <w:r>
              <w:t>P4</w:t>
            </w:r>
          </w:p>
        </w:tc>
        <w:tc>
          <w:tcPr>
            <w:tcW w:w="4508" w:type="dxa"/>
            <w:gridSpan w:val="6"/>
          </w:tcPr>
          <w:p w14:paraId="24E5C2B8" w14:textId="77777777" w:rsidR="00201C99" w:rsidRDefault="00201C99">
            <w:pPr>
              <w:pStyle w:val="Compact"/>
            </w:pPr>
            <w:r w:rsidRPr="6E5D7753">
              <w:rPr>
                <w:rStyle w:val="VerbatimChar"/>
                <w:lang w:val="fr-FR"/>
              </w:rPr>
              <w:t>P4_a_pour_intervalle_temporel (est_l’intervalle_temporel_de)</w:t>
            </w:r>
          </w:p>
        </w:tc>
        <w:tc>
          <w:tcPr>
            <w:tcW w:w="2620" w:type="dxa"/>
          </w:tcPr>
          <w:p w14:paraId="1D6BD228" w14:textId="77777777" w:rsidR="00201C99" w:rsidRDefault="00201C99">
            <w:pPr>
              <w:pStyle w:val="Compact"/>
            </w:pPr>
            <w:r>
              <w:rPr>
                <w:rStyle w:val="VerbatimChar"/>
              </w:rPr>
              <w:t>E2_Entité_temporelle</w:t>
            </w:r>
          </w:p>
        </w:tc>
        <w:tc>
          <w:tcPr>
            <w:tcW w:w="2268" w:type="dxa"/>
          </w:tcPr>
          <w:p w14:paraId="4C69FCAE" w14:textId="77777777" w:rsidR="00201C99" w:rsidRDefault="00201C99">
            <w:pPr>
              <w:pStyle w:val="Compact"/>
            </w:pPr>
            <w:r>
              <w:rPr>
                <w:rStyle w:val="VerbatimChar"/>
              </w:rPr>
              <w:t xml:space="preserve">E52_Intervalle_temporel </w:t>
            </w:r>
          </w:p>
        </w:tc>
      </w:tr>
      <w:tr w:rsidR="00201C99" w14:paraId="17B305D5" w14:textId="77777777">
        <w:tc>
          <w:tcPr>
            <w:tcW w:w="800" w:type="dxa"/>
          </w:tcPr>
          <w:p w14:paraId="04109D77" w14:textId="77777777" w:rsidR="00201C99" w:rsidRDefault="00201C99">
            <w:pPr>
              <w:pStyle w:val="Compact"/>
            </w:pPr>
            <w:r>
              <w:t>P5</w:t>
            </w:r>
          </w:p>
        </w:tc>
        <w:tc>
          <w:tcPr>
            <w:tcW w:w="4508" w:type="dxa"/>
            <w:gridSpan w:val="6"/>
          </w:tcPr>
          <w:p w14:paraId="0C758978" w14:textId="77777777" w:rsidR="00201C99" w:rsidRDefault="00201C99">
            <w:pPr>
              <w:pStyle w:val="Compact"/>
            </w:pPr>
            <w:r w:rsidRPr="6E5D7753">
              <w:rPr>
                <w:rStyle w:val="VerbatimChar"/>
                <w:lang w:val="fr-FR"/>
              </w:rPr>
              <w:t>P5_comprend (fait_partie_de)</w:t>
            </w:r>
          </w:p>
        </w:tc>
        <w:tc>
          <w:tcPr>
            <w:tcW w:w="2620" w:type="dxa"/>
          </w:tcPr>
          <w:p w14:paraId="14276CA8" w14:textId="77777777" w:rsidR="00201C99" w:rsidRDefault="00201C99">
            <w:pPr>
              <w:pStyle w:val="Compact"/>
            </w:pPr>
            <w:r>
              <w:rPr>
                <w:rStyle w:val="VerbatimChar"/>
              </w:rPr>
              <w:t>E3_État_matériel</w:t>
            </w:r>
          </w:p>
        </w:tc>
        <w:tc>
          <w:tcPr>
            <w:tcW w:w="2268" w:type="dxa"/>
          </w:tcPr>
          <w:p w14:paraId="47801504" w14:textId="77777777" w:rsidR="00201C99" w:rsidRDefault="00201C99">
            <w:pPr>
              <w:pStyle w:val="Compact"/>
            </w:pPr>
            <w:r>
              <w:rPr>
                <w:rStyle w:val="VerbatimChar"/>
              </w:rPr>
              <w:t>E3_État_matériel</w:t>
            </w:r>
          </w:p>
        </w:tc>
      </w:tr>
      <w:tr w:rsidR="00201C99" w14:paraId="11EE61A6" w14:textId="77777777">
        <w:tc>
          <w:tcPr>
            <w:tcW w:w="800" w:type="dxa"/>
          </w:tcPr>
          <w:p w14:paraId="49F38BE1" w14:textId="77777777" w:rsidR="00201C99" w:rsidRDefault="00201C99">
            <w:pPr>
              <w:pStyle w:val="Compact"/>
            </w:pPr>
            <w:r>
              <w:t>P7</w:t>
            </w:r>
          </w:p>
        </w:tc>
        <w:tc>
          <w:tcPr>
            <w:tcW w:w="4508" w:type="dxa"/>
            <w:gridSpan w:val="6"/>
          </w:tcPr>
          <w:p w14:paraId="1F4A05DD" w14:textId="77777777" w:rsidR="00201C99" w:rsidRDefault="00201C99">
            <w:pPr>
              <w:pStyle w:val="Compact"/>
            </w:pPr>
            <w:r w:rsidRPr="6E5D7753">
              <w:rPr>
                <w:rStyle w:val="VerbatimChar"/>
                <w:lang w:val="fr-FR"/>
              </w:rPr>
              <w:t>P7_a_eu_lieu_dans (a_été_témoin_de)</w:t>
            </w:r>
          </w:p>
        </w:tc>
        <w:tc>
          <w:tcPr>
            <w:tcW w:w="2620" w:type="dxa"/>
          </w:tcPr>
          <w:p w14:paraId="75CFC1EE" w14:textId="77777777" w:rsidR="00201C99" w:rsidRDefault="00201C99">
            <w:pPr>
              <w:pStyle w:val="Compact"/>
            </w:pPr>
            <w:r>
              <w:rPr>
                <w:rStyle w:val="VerbatimChar"/>
              </w:rPr>
              <w:t>E4_Période</w:t>
            </w:r>
          </w:p>
        </w:tc>
        <w:tc>
          <w:tcPr>
            <w:tcW w:w="2268" w:type="dxa"/>
          </w:tcPr>
          <w:p w14:paraId="3E4FAEB6" w14:textId="77777777" w:rsidR="00201C99" w:rsidRDefault="00201C99">
            <w:pPr>
              <w:pStyle w:val="Compact"/>
            </w:pPr>
            <w:r>
              <w:rPr>
                <w:rStyle w:val="VerbatimChar"/>
              </w:rPr>
              <w:t>E53_Lieu</w:t>
            </w:r>
          </w:p>
        </w:tc>
      </w:tr>
      <w:tr w:rsidR="00201C99" w14:paraId="3FB2E64F" w14:textId="77777777">
        <w:tc>
          <w:tcPr>
            <w:tcW w:w="800" w:type="dxa"/>
          </w:tcPr>
          <w:p w14:paraId="0124D581" w14:textId="77777777" w:rsidR="00201C99" w:rsidRDefault="00201C99">
            <w:pPr>
              <w:pStyle w:val="Compact"/>
            </w:pPr>
            <w:r>
              <w:t>P8</w:t>
            </w:r>
          </w:p>
        </w:tc>
        <w:tc>
          <w:tcPr>
            <w:tcW w:w="4508" w:type="dxa"/>
            <w:gridSpan w:val="6"/>
          </w:tcPr>
          <w:p w14:paraId="7D1F722D" w14:textId="77777777" w:rsidR="00201C99" w:rsidRDefault="00201C99">
            <w:pPr>
              <w:pStyle w:val="Compact"/>
            </w:pPr>
            <w:r w:rsidRPr="6E5D7753">
              <w:rPr>
                <w:rStyle w:val="VerbatimChar"/>
                <w:lang w:val="fr-FR"/>
              </w:rPr>
              <w:t>P8_a_eu_lieu (a_été_témoin_de)</w:t>
            </w:r>
          </w:p>
        </w:tc>
        <w:tc>
          <w:tcPr>
            <w:tcW w:w="2620" w:type="dxa"/>
          </w:tcPr>
          <w:p w14:paraId="3A6C3105" w14:textId="77777777" w:rsidR="00201C99" w:rsidRDefault="00201C99">
            <w:pPr>
              <w:pStyle w:val="Compact"/>
            </w:pPr>
            <w:r>
              <w:rPr>
                <w:rStyle w:val="VerbatimChar"/>
              </w:rPr>
              <w:t>E4_Période</w:t>
            </w:r>
          </w:p>
        </w:tc>
        <w:tc>
          <w:tcPr>
            <w:tcW w:w="2268" w:type="dxa"/>
          </w:tcPr>
          <w:p w14:paraId="63A157D1" w14:textId="77777777" w:rsidR="00201C99" w:rsidRDefault="00201C99">
            <w:pPr>
              <w:pStyle w:val="Compact"/>
            </w:pPr>
            <w:r>
              <w:rPr>
                <w:rStyle w:val="VerbatimChar"/>
              </w:rPr>
              <w:t>E18_Chose_matérielle</w:t>
            </w:r>
          </w:p>
        </w:tc>
      </w:tr>
      <w:tr w:rsidR="00201C99" w14:paraId="0D39F013" w14:textId="77777777">
        <w:tc>
          <w:tcPr>
            <w:tcW w:w="800" w:type="dxa"/>
          </w:tcPr>
          <w:p w14:paraId="4D3A486E" w14:textId="77777777" w:rsidR="00201C99" w:rsidRDefault="00201C99">
            <w:pPr>
              <w:pStyle w:val="Compact"/>
            </w:pPr>
            <w:r>
              <w:lastRenderedPageBreak/>
              <w:t>P12</w:t>
            </w:r>
          </w:p>
        </w:tc>
        <w:tc>
          <w:tcPr>
            <w:tcW w:w="4508" w:type="dxa"/>
            <w:gridSpan w:val="6"/>
          </w:tcPr>
          <w:p w14:paraId="4FF974BC" w14:textId="77777777" w:rsidR="00201C99" w:rsidRDefault="00201C99">
            <w:pPr>
              <w:pStyle w:val="Compact"/>
            </w:pPr>
            <w:r w:rsidRPr="6E5D7753">
              <w:rPr>
                <w:rStyle w:val="VerbatimChar"/>
                <w:lang w:val="fr-FR"/>
              </w:rPr>
              <w:t>P12_a_eu_lieu_en_présence_de (a_été_présent_à)</w:t>
            </w:r>
          </w:p>
        </w:tc>
        <w:tc>
          <w:tcPr>
            <w:tcW w:w="2620" w:type="dxa"/>
          </w:tcPr>
          <w:p w14:paraId="300022CB" w14:textId="77777777" w:rsidR="00201C99" w:rsidRDefault="00201C99">
            <w:pPr>
              <w:pStyle w:val="Compact"/>
            </w:pPr>
            <w:r>
              <w:rPr>
                <w:rStyle w:val="VerbatimChar"/>
              </w:rPr>
              <w:t>E5_Évènement</w:t>
            </w:r>
          </w:p>
        </w:tc>
        <w:tc>
          <w:tcPr>
            <w:tcW w:w="2268" w:type="dxa"/>
          </w:tcPr>
          <w:p w14:paraId="10439F10" w14:textId="77777777" w:rsidR="00201C99" w:rsidRDefault="00201C99">
            <w:pPr>
              <w:pStyle w:val="Compact"/>
            </w:pPr>
            <w:r>
              <w:rPr>
                <w:rStyle w:val="VerbatimChar"/>
              </w:rPr>
              <w:t>E77_Entité_persistante</w:t>
            </w:r>
          </w:p>
        </w:tc>
      </w:tr>
      <w:tr w:rsidR="00201C99" w14:paraId="7E053A92" w14:textId="77777777">
        <w:tc>
          <w:tcPr>
            <w:tcW w:w="800" w:type="dxa"/>
          </w:tcPr>
          <w:p w14:paraId="02BBB26B" w14:textId="77777777" w:rsidR="00201C99" w:rsidRDefault="00201C99">
            <w:pPr>
              <w:pStyle w:val="Compact"/>
            </w:pPr>
            <w:r>
              <w:t>P111</w:t>
            </w:r>
          </w:p>
        </w:tc>
        <w:tc>
          <w:tcPr>
            <w:tcW w:w="256" w:type="dxa"/>
          </w:tcPr>
          <w:p w14:paraId="75B8581C" w14:textId="77777777" w:rsidR="00201C99" w:rsidRDefault="00201C99">
            <w:pPr>
              <w:pStyle w:val="Compact"/>
            </w:pPr>
            <w:r>
              <w:t>-</w:t>
            </w:r>
          </w:p>
        </w:tc>
        <w:tc>
          <w:tcPr>
            <w:tcW w:w="4252" w:type="dxa"/>
            <w:gridSpan w:val="5"/>
          </w:tcPr>
          <w:p w14:paraId="3C190E94" w14:textId="77777777" w:rsidR="00201C99" w:rsidRDefault="00201C99">
            <w:pPr>
              <w:pStyle w:val="Compact"/>
            </w:pPr>
            <w:r w:rsidRPr="6E5D7753">
              <w:rPr>
                <w:rStyle w:val="VerbatimChar"/>
                <w:lang w:val="fr-FR"/>
              </w:rPr>
              <w:t>P111_a_ajouté (a_été_ajouté_par)</w:t>
            </w:r>
          </w:p>
        </w:tc>
        <w:tc>
          <w:tcPr>
            <w:tcW w:w="2620" w:type="dxa"/>
          </w:tcPr>
          <w:p w14:paraId="28511D9B" w14:textId="77777777" w:rsidR="00201C99" w:rsidRDefault="00201C99">
            <w:pPr>
              <w:pStyle w:val="Compact"/>
            </w:pPr>
            <w:r>
              <w:rPr>
                <w:rStyle w:val="VerbatimChar"/>
              </w:rPr>
              <w:t>E79_Ajout_d’élément</w:t>
            </w:r>
          </w:p>
        </w:tc>
        <w:tc>
          <w:tcPr>
            <w:tcW w:w="2268" w:type="dxa"/>
          </w:tcPr>
          <w:p w14:paraId="4AE994FB" w14:textId="77777777" w:rsidR="00201C99" w:rsidRDefault="00201C99">
            <w:pPr>
              <w:pStyle w:val="Compact"/>
            </w:pPr>
            <w:r>
              <w:rPr>
                <w:rStyle w:val="VerbatimChar"/>
              </w:rPr>
              <w:t>E18_Chose_matérielle</w:t>
            </w:r>
          </w:p>
        </w:tc>
      </w:tr>
      <w:tr w:rsidR="00201C99" w14:paraId="49EC2AE8" w14:textId="77777777">
        <w:tc>
          <w:tcPr>
            <w:tcW w:w="800" w:type="dxa"/>
          </w:tcPr>
          <w:p w14:paraId="29A4E7A1" w14:textId="77777777" w:rsidR="00201C99" w:rsidRDefault="00201C99">
            <w:pPr>
              <w:pStyle w:val="Compact"/>
            </w:pPr>
            <w:r>
              <w:t>P113</w:t>
            </w:r>
          </w:p>
        </w:tc>
        <w:tc>
          <w:tcPr>
            <w:tcW w:w="256" w:type="dxa"/>
          </w:tcPr>
          <w:p w14:paraId="3656D73E" w14:textId="77777777" w:rsidR="00201C99" w:rsidRDefault="00201C99">
            <w:pPr>
              <w:pStyle w:val="Compact"/>
            </w:pPr>
            <w:r>
              <w:t>-</w:t>
            </w:r>
          </w:p>
        </w:tc>
        <w:tc>
          <w:tcPr>
            <w:tcW w:w="4252" w:type="dxa"/>
            <w:gridSpan w:val="5"/>
          </w:tcPr>
          <w:p w14:paraId="3C8C3180" w14:textId="77777777" w:rsidR="00201C99" w:rsidRDefault="00201C99">
            <w:pPr>
              <w:pStyle w:val="Compact"/>
            </w:pPr>
            <w:r w:rsidRPr="6E5D7753">
              <w:rPr>
                <w:rStyle w:val="VerbatimChar"/>
                <w:lang w:val="fr-FR"/>
              </w:rPr>
              <w:t>P113_a_retiré (a_été_retiré_par)</w:t>
            </w:r>
          </w:p>
        </w:tc>
        <w:tc>
          <w:tcPr>
            <w:tcW w:w="2620" w:type="dxa"/>
          </w:tcPr>
          <w:p w14:paraId="6953DC61" w14:textId="77777777" w:rsidR="00201C99" w:rsidRDefault="00201C99">
            <w:pPr>
              <w:pStyle w:val="Compact"/>
            </w:pPr>
            <w:r>
              <w:rPr>
                <w:rStyle w:val="VerbatimChar"/>
              </w:rPr>
              <w:t>E80_Retrait_d’élément</w:t>
            </w:r>
          </w:p>
        </w:tc>
        <w:tc>
          <w:tcPr>
            <w:tcW w:w="2268" w:type="dxa"/>
          </w:tcPr>
          <w:p w14:paraId="513A701F" w14:textId="77777777" w:rsidR="00201C99" w:rsidRDefault="00201C99">
            <w:pPr>
              <w:pStyle w:val="Compact"/>
            </w:pPr>
            <w:r>
              <w:rPr>
                <w:rStyle w:val="VerbatimChar"/>
              </w:rPr>
              <w:t>E18_Chose_matérielle</w:t>
            </w:r>
          </w:p>
        </w:tc>
      </w:tr>
      <w:tr w:rsidR="00201C99" w14:paraId="0E20B94A" w14:textId="77777777">
        <w:tc>
          <w:tcPr>
            <w:tcW w:w="800" w:type="dxa"/>
          </w:tcPr>
          <w:p w14:paraId="0436D15D" w14:textId="77777777" w:rsidR="00201C99" w:rsidRDefault="00201C99">
            <w:pPr>
              <w:pStyle w:val="Compact"/>
            </w:pPr>
            <w:r>
              <w:t>P11</w:t>
            </w:r>
          </w:p>
        </w:tc>
        <w:tc>
          <w:tcPr>
            <w:tcW w:w="256" w:type="dxa"/>
          </w:tcPr>
          <w:p w14:paraId="460A9069" w14:textId="77777777" w:rsidR="00201C99" w:rsidRDefault="00201C99">
            <w:pPr>
              <w:pStyle w:val="Compact"/>
            </w:pPr>
            <w:r>
              <w:t>-</w:t>
            </w:r>
          </w:p>
        </w:tc>
        <w:tc>
          <w:tcPr>
            <w:tcW w:w="4252" w:type="dxa"/>
            <w:gridSpan w:val="5"/>
          </w:tcPr>
          <w:p w14:paraId="1E52EBC1" w14:textId="77777777" w:rsidR="00201C99" w:rsidRDefault="00201C99">
            <w:pPr>
              <w:pStyle w:val="Compact"/>
            </w:pPr>
            <w:r w:rsidRPr="6E5D7753">
              <w:rPr>
                <w:rStyle w:val="VerbatimChar"/>
                <w:lang w:val="fr-FR"/>
              </w:rPr>
              <w:t>P11_a_eu_pour_actant_participant (a_participé_à)</w:t>
            </w:r>
          </w:p>
        </w:tc>
        <w:tc>
          <w:tcPr>
            <w:tcW w:w="2620" w:type="dxa"/>
          </w:tcPr>
          <w:p w14:paraId="6E2B1C42" w14:textId="77777777" w:rsidR="00201C99" w:rsidRDefault="00201C99">
            <w:pPr>
              <w:pStyle w:val="Compact"/>
            </w:pPr>
            <w:r>
              <w:rPr>
                <w:rStyle w:val="VerbatimChar"/>
              </w:rPr>
              <w:t>E5_Évènement</w:t>
            </w:r>
          </w:p>
        </w:tc>
        <w:tc>
          <w:tcPr>
            <w:tcW w:w="2268" w:type="dxa"/>
          </w:tcPr>
          <w:p w14:paraId="06E80551" w14:textId="77777777" w:rsidR="00201C99" w:rsidRDefault="00201C99">
            <w:pPr>
              <w:pStyle w:val="Compact"/>
            </w:pPr>
            <w:r>
              <w:rPr>
                <w:rStyle w:val="VerbatimChar"/>
              </w:rPr>
              <w:t>E39_Actant</w:t>
            </w:r>
          </w:p>
        </w:tc>
      </w:tr>
      <w:tr w:rsidR="00201C99" w14:paraId="0F22F285" w14:textId="77777777">
        <w:tc>
          <w:tcPr>
            <w:tcW w:w="800" w:type="dxa"/>
          </w:tcPr>
          <w:p w14:paraId="1870FC97" w14:textId="77777777" w:rsidR="00201C99" w:rsidRDefault="00201C99">
            <w:pPr>
              <w:pStyle w:val="Compact"/>
            </w:pPr>
            <w:r>
              <w:t>P14</w:t>
            </w:r>
          </w:p>
        </w:tc>
        <w:tc>
          <w:tcPr>
            <w:tcW w:w="256" w:type="dxa"/>
          </w:tcPr>
          <w:p w14:paraId="4196E2E1" w14:textId="77777777" w:rsidR="00201C99" w:rsidRDefault="00201C99">
            <w:pPr>
              <w:pStyle w:val="Compact"/>
            </w:pPr>
            <w:r>
              <w:t>-</w:t>
            </w:r>
          </w:p>
        </w:tc>
        <w:tc>
          <w:tcPr>
            <w:tcW w:w="267" w:type="dxa"/>
          </w:tcPr>
          <w:p w14:paraId="548AAA27" w14:textId="77777777" w:rsidR="00201C99" w:rsidRDefault="00201C99">
            <w:pPr>
              <w:pStyle w:val="Compact"/>
            </w:pPr>
            <w:r>
              <w:t>-</w:t>
            </w:r>
          </w:p>
        </w:tc>
        <w:tc>
          <w:tcPr>
            <w:tcW w:w="3985" w:type="dxa"/>
            <w:gridSpan w:val="4"/>
          </w:tcPr>
          <w:p w14:paraId="66AE80E5" w14:textId="77777777" w:rsidR="00201C99" w:rsidRDefault="00201C99">
            <w:pPr>
              <w:pStyle w:val="Compact"/>
            </w:pPr>
            <w:r w:rsidRPr="6E5D7753">
              <w:rPr>
                <w:rStyle w:val="VerbatimChar"/>
                <w:lang w:val="fr-FR"/>
              </w:rPr>
              <w:t>P14_a_été_effectué_par (a_effectué)</w:t>
            </w:r>
          </w:p>
        </w:tc>
        <w:tc>
          <w:tcPr>
            <w:tcW w:w="2620" w:type="dxa"/>
          </w:tcPr>
          <w:p w14:paraId="4F93AC27" w14:textId="77777777" w:rsidR="00201C99" w:rsidRDefault="00201C99">
            <w:pPr>
              <w:pStyle w:val="Compact"/>
            </w:pPr>
            <w:r>
              <w:rPr>
                <w:rStyle w:val="VerbatimChar"/>
              </w:rPr>
              <w:t>E7_Activité</w:t>
            </w:r>
          </w:p>
        </w:tc>
        <w:tc>
          <w:tcPr>
            <w:tcW w:w="2268" w:type="dxa"/>
          </w:tcPr>
          <w:p w14:paraId="6F4041A3" w14:textId="77777777" w:rsidR="00201C99" w:rsidRDefault="00201C99">
            <w:pPr>
              <w:pStyle w:val="Compact"/>
            </w:pPr>
            <w:r>
              <w:rPr>
                <w:rStyle w:val="VerbatimChar"/>
              </w:rPr>
              <w:t>E39_Actant</w:t>
            </w:r>
          </w:p>
        </w:tc>
      </w:tr>
      <w:tr w:rsidR="00201C99" w14:paraId="225E8863" w14:textId="77777777">
        <w:tc>
          <w:tcPr>
            <w:tcW w:w="800" w:type="dxa"/>
          </w:tcPr>
          <w:p w14:paraId="4ABE85CC" w14:textId="77777777" w:rsidR="00201C99" w:rsidRDefault="00201C99">
            <w:pPr>
              <w:pStyle w:val="Compact"/>
            </w:pPr>
            <w:r>
              <w:t>P22</w:t>
            </w:r>
          </w:p>
        </w:tc>
        <w:tc>
          <w:tcPr>
            <w:tcW w:w="256" w:type="dxa"/>
          </w:tcPr>
          <w:p w14:paraId="0A1FC6C5" w14:textId="77777777" w:rsidR="00201C99" w:rsidRDefault="00201C99">
            <w:pPr>
              <w:pStyle w:val="Compact"/>
            </w:pPr>
            <w:r>
              <w:t>-</w:t>
            </w:r>
          </w:p>
        </w:tc>
        <w:tc>
          <w:tcPr>
            <w:tcW w:w="267" w:type="dxa"/>
          </w:tcPr>
          <w:p w14:paraId="00191703" w14:textId="77777777" w:rsidR="00201C99" w:rsidRDefault="00201C99">
            <w:pPr>
              <w:pStyle w:val="Compact"/>
            </w:pPr>
            <w:r>
              <w:t>-</w:t>
            </w:r>
          </w:p>
        </w:tc>
        <w:tc>
          <w:tcPr>
            <w:tcW w:w="293" w:type="dxa"/>
          </w:tcPr>
          <w:p w14:paraId="5D947E58" w14:textId="77777777" w:rsidR="00201C99" w:rsidRDefault="00201C99">
            <w:pPr>
              <w:pStyle w:val="Compact"/>
            </w:pPr>
            <w:r>
              <w:t>-</w:t>
            </w:r>
          </w:p>
        </w:tc>
        <w:tc>
          <w:tcPr>
            <w:tcW w:w="3692" w:type="dxa"/>
            <w:gridSpan w:val="3"/>
          </w:tcPr>
          <w:p w14:paraId="24BFCEE9" w14:textId="77777777" w:rsidR="00201C99" w:rsidRDefault="00201C99">
            <w:pPr>
              <w:pStyle w:val="Compact"/>
            </w:pPr>
            <w:r w:rsidRPr="6E5D7753">
              <w:rPr>
                <w:rStyle w:val="VerbatimChar"/>
                <w:lang w:val="fr-FR"/>
              </w:rPr>
              <w:t>P22_a_transféré_le_titre_de_propriété_à (a_acquis_le_titre_de_propriété_par)</w:t>
            </w:r>
          </w:p>
        </w:tc>
        <w:tc>
          <w:tcPr>
            <w:tcW w:w="2620" w:type="dxa"/>
          </w:tcPr>
          <w:p w14:paraId="6D71990F" w14:textId="77777777" w:rsidR="00201C99" w:rsidRDefault="00201C99">
            <w:pPr>
              <w:pStyle w:val="Compact"/>
            </w:pPr>
            <w:r>
              <w:rPr>
                <w:rStyle w:val="VerbatimChar"/>
              </w:rPr>
              <w:t>E8_Acquisition</w:t>
            </w:r>
          </w:p>
        </w:tc>
        <w:tc>
          <w:tcPr>
            <w:tcW w:w="2268" w:type="dxa"/>
          </w:tcPr>
          <w:p w14:paraId="3A09BB2D" w14:textId="77777777" w:rsidR="00201C99" w:rsidRDefault="00201C99">
            <w:pPr>
              <w:pStyle w:val="Compact"/>
            </w:pPr>
            <w:r>
              <w:rPr>
                <w:rStyle w:val="VerbatimChar"/>
              </w:rPr>
              <w:t>E39_Actant</w:t>
            </w:r>
          </w:p>
        </w:tc>
      </w:tr>
      <w:tr w:rsidR="00201C99" w14:paraId="230CA662" w14:textId="77777777">
        <w:tc>
          <w:tcPr>
            <w:tcW w:w="800" w:type="dxa"/>
          </w:tcPr>
          <w:p w14:paraId="1FA30C0B" w14:textId="77777777" w:rsidR="00201C99" w:rsidRDefault="00201C99">
            <w:pPr>
              <w:pStyle w:val="Compact"/>
            </w:pPr>
            <w:r>
              <w:t>P23</w:t>
            </w:r>
          </w:p>
        </w:tc>
        <w:tc>
          <w:tcPr>
            <w:tcW w:w="256" w:type="dxa"/>
          </w:tcPr>
          <w:p w14:paraId="4D11BFD0" w14:textId="77777777" w:rsidR="00201C99" w:rsidRDefault="00201C99">
            <w:pPr>
              <w:pStyle w:val="Compact"/>
            </w:pPr>
            <w:r>
              <w:t>-</w:t>
            </w:r>
          </w:p>
        </w:tc>
        <w:tc>
          <w:tcPr>
            <w:tcW w:w="267" w:type="dxa"/>
          </w:tcPr>
          <w:p w14:paraId="3CF862C8" w14:textId="77777777" w:rsidR="00201C99" w:rsidRDefault="00201C99">
            <w:pPr>
              <w:pStyle w:val="Compact"/>
            </w:pPr>
            <w:r>
              <w:t>-</w:t>
            </w:r>
          </w:p>
        </w:tc>
        <w:tc>
          <w:tcPr>
            <w:tcW w:w="293" w:type="dxa"/>
          </w:tcPr>
          <w:p w14:paraId="1FF272CB" w14:textId="77777777" w:rsidR="00201C99" w:rsidRDefault="00201C99">
            <w:pPr>
              <w:pStyle w:val="Compact"/>
            </w:pPr>
            <w:r>
              <w:t>-</w:t>
            </w:r>
          </w:p>
        </w:tc>
        <w:tc>
          <w:tcPr>
            <w:tcW w:w="3692" w:type="dxa"/>
            <w:gridSpan w:val="3"/>
          </w:tcPr>
          <w:p w14:paraId="332A8AF2" w14:textId="77777777" w:rsidR="00201C99" w:rsidRDefault="00201C99">
            <w:pPr>
              <w:pStyle w:val="Compact"/>
            </w:pPr>
            <w:r w:rsidRPr="6E5D7753">
              <w:rPr>
                <w:rStyle w:val="VerbatimChar"/>
                <w:lang w:val="fr-FR"/>
              </w:rPr>
              <w:t>P23_a_transféré_le_titre_de_propriété_de (a_cédé_le_titre_de_propriété_à)</w:t>
            </w:r>
          </w:p>
        </w:tc>
        <w:tc>
          <w:tcPr>
            <w:tcW w:w="2620" w:type="dxa"/>
          </w:tcPr>
          <w:p w14:paraId="02213E69" w14:textId="77777777" w:rsidR="00201C99" w:rsidRDefault="00201C99">
            <w:pPr>
              <w:pStyle w:val="Compact"/>
            </w:pPr>
            <w:r>
              <w:rPr>
                <w:rStyle w:val="VerbatimChar"/>
              </w:rPr>
              <w:t>E8_Acquisition</w:t>
            </w:r>
          </w:p>
        </w:tc>
        <w:tc>
          <w:tcPr>
            <w:tcW w:w="2268" w:type="dxa"/>
          </w:tcPr>
          <w:p w14:paraId="5063E31D" w14:textId="77777777" w:rsidR="00201C99" w:rsidRDefault="00201C99">
            <w:pPr>
              <w:pStyle w:val="Compact"/>
            </w:pPr>
            <w:r>
              <w:rPr>
                <w:rStyle w:val="VerbatimChar"/>
              </w:rPr>
              <w:t>E39_Actant</w:t>
            </w:r>
          </w:p>
        </w:tc>
      </w:tr>
      <w:tr w:rsidR="00201C99" w14:paraId="5F92C15A" w14:textId="77777777">
        <w:tc>
          <w:tcPr>
            <w:tcW w:w="800" w:type="dxa"/>
          </w:tcPr>
          <w:p w14:paraId="3757B5B9" w14:textId="77777777" w:rsidR="00201C99" w:rsidRDefault="00201C99">
            <w:pPr>
              <w:pStyle w:val="Compact"/>
            </w:pPr>
            <w:r>
              <w:t>P28</w:t>
            </w:r>
          </w:p>
        </w:tc>
        <w:tc>
          <w:tcPr>
            <w:tcW w:w="256" w:type="dxa"/>
          </w:tcPr>
          <w:p w14:paraId="3AE355EB" w14:textId="77777777" w:rsidR="00201C99" w:rsidRDefault="00201C99">
            <w:pPr>
              <w:pStyle w:val="Compact"/>
            </w:pPr>
            <w:r>
              <w:t>-</w:t>
            </w:r>
          </w:p>
        </w:tc>
        <w:tc>
          <w:tcPr>
            <w:tcW w:w="267" w:type="dxa"/>
          </w:tcPr>
          <w:p w14:paraId="3E63FECC" w14:textId="77777777" w:rsidR="00201C99" w:rsidRDefault="00201C99">
            <w:pPr>
              <w:pStyle w:val="Compact"/>
            </w:pPr>
            <w:r>
              <w:t>-</w:t>
            </w:r>
          </w:p>
        </w:tc>
        <w:tc>
          <w:tcPr>
            <w:tcW w:w="293" w:type="dxa"/>
          </w:tcPr>
          <w:p w14:paraId="1D32BD91" w14:textId="77777777" w:rsidR="00201C99" w:rsidRDefault="00201C99">
            <w:pPr>
              <w:pStyle w:val="Compact"/>
            </w:pPr>
            <w:r>
              <w:t>-</w:t>
            </w:r>
          </w:p>
        </w:tc>
        <w:tc>
          <w:tcPr>
            <w:tcW w:w="3692" w:type="dxa"/>
            <w:gridSpan w:val="3"/>
          </w:tcPr>
          <w:p w14:paraId="3E9F14E7" w14:textId="77777777" w:rsidR="00201C99" w:rsidRDefault="00201C99">
            <w:pPr>
              <w:pStyle w:val="Compact"/>
            </w:pPr>
            <w:r w:rsidRPr="6E5D7753">
              <w:rPr>
                <w:rStyle w:val="VerbatimChar"/>
                <w:lang w:val="fr-FR"/>
              </w:rPr>
              <w:t>P28_a_mis_fin_à_la_garde_par (a_cédé_la_garde_par)</w:t>
            </w:r>
          </w:p>
        </w:tc>
        <w:tc>
          <w:tcPr>
            <w:tcW w:w="2620" w:type="dxa"/>
          </w:tcPr>
          <w:p w14:paraId="77F1C8B7" w14:textId="77777777" w:rsidR="00201C99" w:rsidRDefault="00201C99">
            <w:pPr>
              <w:pStyle w:val="Compact"/>
            </w:pPr>
            <w:r>
              <w:rPr>
                <w:rStyle w:val="VerbatimChar"/>
              </w:rPr>
              <w:t>E10_Transfert_de_la_garde</w:t>
            </w:r>
          </w:p>
        </w:tc>
        <w:tc>
          <w:tcPr>
            <w:tcW w:w="2268" w:type="dxa"/>
          </w:tcPr>
          <w:p w14:paraId="11AE1CC7" w14:textId="77777777" w:rsidR="00201C99" w:rsidRDefault="00201C99">
            <w:pPr>
              <w:pStyle w:val="Compact"/>
            </w:pPr>
            <w:r>
              <w:rPr>
                <w:rStyle w:val="VerbatimChar"/>
              </w:rPr>
              <w:t>E39_Actant</w:t>
            </w:r>
          </w:p>
        </w:tc>
      </w:tr>
      <w:tr w:rsidR="00201C99" w14:paraId="43427F44" w14:textId="77777777">
        <w:tc>
          <w:tcPr>
            <w:tcW w:w="800" w:type="dxa"/>
          </w:tcPr>
          <w:p w14:paraId="1C108957" w14:textId="77777777" w:rsidR="00201C99" w:rsidRDefault="00201C99">
            <w:pPr>
              <w:pStyle w:val="Compact"/>
            </w:pPr>
            <w:r>
              <w:t>P29</w:t>
            </w:r>
          </w:p>
        </w:tc>
        <w:tc>
          <w:tcPr>
            <w:tcW w:w="256" w:type="dxa"/>
          </w:tcPr>
          <w:p w14:paraId="41719ACF" w14:textId="77777777" w:rsidR="00201C99" w:rsidRDefault="00201C99">
            <w:pPr>
              <w:pStyle w:val="Compact"/>
            </w:pPr>
            <w:r>
              <w:t>-</w:t>
            </w:r>
          </w:p>
        </w:tc>
        <w:tc>
          <w:tcPr>
            <w:tcW w:w="267" w:type="dxa"/>
          </w:tcPr>
          <w:p w14:paraId="3E4CC6A0" w14:textId="77777777" w:rsidR="00201C99" w:rsidRDefault="00201C99">
            <w:pPr>
              <w:pStyle w:val="Compact"/>
            </w:pPr>
            <w:r>
              <w:t>-</w:t>
            </w:r>
          </w:p>
        </w:tc>
        <w:tc>
          <w:tcPr>
            <w:tcW w:w="293" w:type="dxa"/>
          </w:tcPr>
          <w:p w14:paraId="226CB048" w14:textId="77777777" w:rsidR="00201C99" w:rsidRDefault="00201C99">
            <w:pPr>
              <w:pStyle w:val="Compact"/>
            </w:pPr>
            <w:r>
              <w:t>-</w:t>
            </w:r>
          </w:p>
        </w:tc>
        <w:tc>
          <w:tcPr>
            <w:tcW w:w="3692" w:type="dxa"/>
            <w:gridSpan w:val="3"/>
          </w:tcPr>
          <w:p w14:paraId="3EB390EC" w14:textId="77777777" w:rsidR="00201C99" w:rsidRDefault="00201C99">
            <w:pPr>
              <w:pStyle w:val="Compact"/>
            </w:pPr>
            <w:r w:rsidRPr="6E5D7753">
              <w:rPr>
                <w:rStyle w:val="VerbatimChar"/>
                <w:lang w:val="fr-FR"/>
              </w:rPr>
              <w:t>P29_a_confié_la_garde_par (a_reçu_la_garde_par)</w:t>
            </w:r>
          </w:p>
        </w:tc>
        <w:tc>
          <w:tcPr>
            <w:tcW w:w="2620" w:type="dxa"/>
          </w:tcPr>
          <w:p w14:paraId="09CB949D" w14:textId="77777777" w:rsidR="00201C99" w:rsidRDefault="00201C99">
            <w:pPr>
              <w:pStyle w:val="Compact"/>
            </w:pPr>
            <w:r>
              <w:rPr>
                <w:rStyle w:val="VerbatimChar"/>
              </w:rPr>
              <w:t>E10_Transfert_de_la_garde</w:t>
            </w:r>
          </w:p>
        </w:tc>
        <w:tc>
          <w:tcPr>
            <w:tcW w:w="2268" w:type="dxa"/>
          </w:tcPr>
          <w:p w14:paraId="62110D92" w14:textId="77777777" w:rsidR="00201C99" w:rsidRDefault="00201C99">
            <w:pPr>
              <w:pStyle w:val="Compact"/>
            </w:pPr>
            <w:r>
              <w:rPr>
                <w:rStyle w:val="VerbatimChar"/>
              </w:rPr>
              <w:t>E39_Actant</w:t>
            </w:r>
          </w:p>
        </w:tc>
      </w:tr>
      <w:tr w:rsidR="00201C99" w14:paraId="6AF4CA2C" w14:textId="77777777">
        <w:tc>
          <w:tcPr>
            <w:tcW w:w="800" w:type="dxa"/>
          </w:tcPr>
          <w:p w14:paraId="69193CC0" w14:textId="77777777" w:rsidR="00201C99" w:rsidRDefault="00201C99">
            <w:pPr>
              <w:pStyle w:val="Compact"/>
            </w:pPr>
            <w:r>
              <w:t>P96</w:t>
            </w:r>
          </w:p>
        </w:tc>
        <w:tc>
          <w:tcPr>
            <w:tcW w:w="256" w:type="dxa"/>
          </w:tcPr>
          <w:p w14:paraId="083C84EB" w14:textId="77777777" w:rsidR="00201C99" w:rsidRDefault="00201C99">
            <w:pPr>
              <w:pStyle w:val="Compact"/>
            </w:pPr>
            <w:r>
              <w:t>-</w:t>
            </w:r>
          </w:p>
        </w:tc>
        <w:tc>
          <w:tcPr>
            <w:tcW w:w="267" w:type="dxa"/>
          </w:tcPr>
          <w:p w14:paraId="14C3E5D1" w14:textId="77777777" w:rsidR="00201C99" w:rsidRDefault="00201C99">
            <w:pPr>
              <w:pStyle w:val="Compact"/>
            </w:pPr>
            <w:r>
              <w:t>-</w:t>
            </w:r>
          </w:p>
        </w:tc>
        <w:tc>
          <w:tcPr>
            <w:tcW w:w="3985" w:type="dxa"/>
            <w:gridSpan w:val="4"/>
          </w:tcPr>
          <w:p w14:paraId="3A54507A" w14:textId="77777777" w:rsidR="00201C99" w:rsidRDefault="00201C99">
            <w:pPr>
              <w:pStyle w:val="Compact"/>
            </w:pPr>
            <w:r w:rsidRPr="6E5D7753">
              <w:rPr>
                <w:rStyle w:val="VerbatimChar"/>
                <w:lang w:val="fr-FR"/>
              </w:rPr>
              <w:t>P96_de_mère (a_donné_naissance_à)</w:t>
            </w:r>
          </w:p>
        </w:tc>
        <w:tc>
          <w:tcPr>
            <w:tcW w:w="2620" w:type="dxa"/>
          </w:tcPr>
          <w:p w14:paraId="4FA03215" w14:textId="77777777" w:rsidR="00201C99" w:rsidRDefault="00201C99">
            <w:pPr>
              <w:pStyle w:val="Compact"/>
            </w:pPr>
            <w:r>
              <w:rPr>
                <w:rStyle w:val="VerbatimChar"/>
              </w:rPr>
              <w:t>E67_Naissance</w:t>
            </w:r>
          </w:p>
        </w:tc>
        <w:tc>
          <w:tcPr>
            <w:tcW w:w="2268" w:type="dxa"/>
          </w:tcPr>
          <w:p w14:paraId="4FAE40B2" w14:textId="77777777" w:rsidR="00201C99" w:rsidRDefault="00201C99">
            <w:pPr>
              <w:pStyle w:val="Compact"/>
            </w:pPr>
            <w:r>
              <w:rPr>
                <w:rStyle w:val="VerbatimChar"/>
              </w:rPr>
              <w:t>E21_Personne</w:t>
            </w:r>
          </w:p>
        </w:tc>
      </w:tr>
      <w:tr w:rsidR="00201C99" w14:paraId="27730B05" w14:textId="77777777">
        <w:tc>
          <w:tcPr>
            <w:tcW w:w="800" w:type="dxa"/>
          </w:tcPr>
          <w:p w14:paraId="4BFCEE33" w14:textId="77777777" w:rsidR="00201C99" w:rsidRDefault="00201C99">
            <w:pPr>
              <w:pStyle w:val="Compact"/>
            </w:pPr>
            <w:r>
              <w:t>P99</w:t>
            </w:r>
          </w:p>
        </w:tc>
        <w:tc>
          <w:tcPr>
            <w:tcW w:w="256" w:type="dxa"/>
          </w:tcPr>
          <w:p w14:paraId="414AE9E0" w14:textId="77777777" w:rsidR="00201C99" w:rsidRDefault="00201C99">
            <w:pPr>
              <w:pStyle w:val="Compact"/>
            </w:pPr>
            <w:r>
              <w:t>-</w:t>
            </w:r>
          </w:p>
        </w:tc>
        <w:tc>
          <w:tcPr>
            <w:tcW w:w="267" w:type="dxa"/>
          </w:tcPr>
          <w:p w14:paraId="71FB1DEC" w14:textId="77777777" w:rsidR="00201C99" w:rsidRDefault="00201C99">
            <w:pPr>
              <w:pStyle w:val="Compact"/>
            </w:pPr>
            <w:r>
              <w:t>-</w:t>
            </w:r>
          </w:p>
        </w:tc>
        <w:tc>
          <w:tcPr>
            <w:tcW w:w="3985" w:type="dxa"/>
            <w:gridSpan w:val="4"/>
          </w:tcPr>
          <w:p w14:paraId="49B7E7FC" w14:textId="77777777" w:rsidR="00201C99" w:rsidRDefault="00201C99">
            <w:pPr>
              <w:pStyle w:val="Compact"/>
            </w:pPr>
            <w:r w:rsidRPr="6E5D7753">
              <w:rPr>
                <w:rStyle w:val="VerbatimChar"/>
                <w:lang w:val="fr-FR"/>
              </w:rPr>
              <w:t>P99_a_dissous (a_été_dissous_par)</w:t>
            </w:r>
          </w:p>
        </w:tc>
        <w:tc>
          <w:tcPr>
            <w:tcW w:w="2620" w:type="dxa"/>
          </w:tcPr>
          <w:p w14:paraId="2F4B9520" w14:textId="77777777" w:rsidR="00201C99" w:rsidRDefault="00201C99">
            <w:pPr>
              <w:pStyle w:val="Compact"/>
            </w:pPr>
            <w:r>
              <w:rPr>
                <w:rStyle w:val="VerbatimChar"/>
              </w:rPr>
              <w:t>E68_Dissolution</w:t>
            </w:r>
          </w:p>
        </w:tc>
        <w:tc>
          <w:tcPr>
            <w:tcW w:w="2268" w:type="dxa"/>
          </w:tcPr>
          <w:p w14:paraId="01A4B9A8" w14:textId="77777777" w:rsidR="00201C99" w:rsidRDefault="00201C99">
            <w:pPr>
              <w:pStyle w:val="Compact"/>
            </w:pPr>
            <w:r>
              <w:rPr>
                <w:rStyle w:val="VerbatimChar"/>
              </w:rPr>
              <w:t>E74_Groupe</w:t>
            </w:r>
          </w:p>
        </w:tc>
      </w:tr>
      <w:tr w:rsidR="00201C99" w14:paraId="09C12C0B" w14:textId="77777777">
        <w:tc>
          <w:tcPr>
            <w:tcW w:w="800" w:type="dxa"/>
          </w:tcPr>
          <w:p w14:paraId="037A8002" w14:textId="77777777" w:rsidR="00201C99" w:rsidRDefault="00201C99">
            <w:pPr>
              <w:pStyle w:val="Compact"/>
            </w:pPr>
            <w:r>
              <w:t>P143</w:t>
            </w:r>
          </w:p>
        </w:tc>
        <w:tc>
          <w:tcPr>
            <w:tcW w:w="256" w:type="dxa"/>
          </w:tcPr>
          <w:p w14:paraId="0D8D8CC2" w14:textId="77777777" w:rsidR="00201C99" w:rsidRDefault="00201C99">
            <w:pPr>
              <w:pStyle w:val="Compact"/>
            </w:pPr>
            <w:r>
              <w:t>-</w:t>
            </w:r>
          </w:p>
        </w:tc>
        <w:tc>
          <w:tcPr>
            <w:tcW w:w="267" w:type="dxa"/>
          </w:tcPr>
          <w:p w14:paraId="0A5D96E7" w14:textId="77777777" w:rsidR="00201C99" w:rsidRDefault="00201C99">
            <w:pPr>
              <w:pStyle w:val="Compact"/>
            </w:pPr>
            <w:r>
              <w:t>-</w:t>
            </w:r>
          </w:p>
        </w:tc>
        <w:tc>
          <w:tcPr>
            <w:tcW w:w="3985" w:type="dxa"/>
            <w:gridSpan w:val="4"/>
          </w:tcPr>
          <w:p w14:paraId="4372E263" w14:textId="77777777" w:rsidR="00201C99" w:rsidRDefault="00201C99">
            <w:pPr>
              <w:pStyle w:val="Compact"/>
            </w:pPr>
            <w:r w:rsidRPr="6E5D7753">
              <w:rPr>
                <w:rStyle w:val="VerbatimChar"/>
                <w:lang w:val="fr-FR"/>
              </w:rPr>
              <w:t>P143_a_fait_adhérer (a_adhéré_par)</w:t>
            </w:r>
          </w:p>
        </w:tc>
        <w:tc>
          <w:tcPr>
            <w:tcW w:w="2620" w:type="dxa"/>
          </w:tcPr>
          <w:p w14:paraId="2963D695" w14:textId="77777777" w:rsidR="00201C99" w:rsidRDefault="00201C99">
            <w:pPr>
              <w:pStyle w:val="Compact"/>
            </w:pPr>
            <w:r>
              <w:rPr>
                <w:rStyle w:val="VerbatimChar"/>
              </w:rPr>
              <w:t>E85_Adhésion</w:t>
            </w:r>
          </w:p>
        </w:tc>
        <w:tc>
          <w:tcPr>
            <w:tcW w:w="2268" w:type="dxa"/>
          </w:tcPr>
          <w:p w14:paraId="762BCF6B" w14:textId="77777777" w:rsidR="00201C99" w:rsidRDefault="00201C99">
            <w:pPr>
              <w:pStyle w:val="Compact"/>
            </w:pPr>
            <w:r>
              <w:rPr>
                <w:rStyle w:val="VerbatimChar"/>
              </w:rPr>
              <w:t>E39_Actant</w:t>
            </w:r>
          </w:p>
        </w:tc>
      </w:tr>
      <w:tr w:rsidR="00201C99" w14:paraId="18CE2A94" w14:textId="77777777">
        <w:tc>
          <w:tcPr>
            <w:tcW w:w="800" w:type="dxa"/>
          </w:tcPr>
          <w:p w14:paraId="52C35253" w14:textId="77777777" w:rsidR="00201C99" w:rsidRDefault="00201C99">
            <w:pPr>
              <w:pStyle w:val="Compact"/>
            </w:pPr>
            <w:r>
              <w:t>P144</w:t>
            </w:r>
          </w:p>
        </w:tc>
        <w:tc>
          <w:tcPr>
            <w:tcW w:w="256" w:type="dxa"/>
          </w:tcPr>
          <w:p w14:paraId="2A3A1A10" w14:textId="77777777" w:rsidR="00201C99" w:rsidRDefault="00201C99">
            <w:pPr>
              <w:pStyle w:val="Compact"/>
            </w:pPr>
            <w:r>
              <w:t>-</w:t>
            </w:r>
          </w:p>
        </w:tc>
        <w:tc>
          <w:tcPr>
            <w:tcW w:w="267" w:type="dxa"/>
          </w:tcPr>
          <w:p w14:paraId="12069E79" w14:textId="77777777" w:rsidR="00201C99" w:rsidRDefault="00201C99">
            <w:pPr>
              <w:pStyle w:val="Compact"/>
            </w:pPr>
            <w:r>
              <w:t>-</w:t>
            </w:r>
          </w:p>
        </w:tc>
        <w:tc>
          <w:tcPr>
            <w:tcW w:w="3985" w:type="dxa"/>
            <w:gridSpan w:val="4"/>
          </w:tcPr>
          <w:p w14:paraId="22FA4673" w14:textId="77777777" w:rsidR="00201C99" w:rsidRDefault="00201C99">
            <w:pPr>
              <w:pStyle w:val="Compact"/>
            </w:pPr>
            <w:r w:rsidRPr="6E5D7753">
              <w:rPr>
                <w:rStyle w:val="VerbatimChar"/>
                <w:lang w:val="fr-FR"/>
              </w:rPr>
              <w:t>P144_a_fait_adhérer_à (a_accueilli_le_membre_par)</w:t>
            </w:r>
          </w:p>
        </w:tc>
        <w:tc>
          <w:tcPr>
            <w:tcW w:w="2620" w:type="dxa"/>
          </w:tcPr>
          <w:p w14:paraId="766D6FFB" w14:textId="77777777" w:rsidR="00201C99" w:rsidRDefault="00201C99">
            <w:pPr>
              <w:pStyle w:val="Compact"/>
            </w:pPr>
            <w:r>
              <w:rPr>
                <w:rStyle w:val="VerbatimChar"/>
              </w:rPr>
              <w:t>E85_Adhésion</w:t>
            </w:r>
          </w:p>
        </w:tc>
        <w:tc>
          <w:tcPr>
            <w:tcW w:w="2268" w:type="dxa"/>
          </w:tcPr>
          <w:p w14:paraId="5F6DF7F4" w14:textId="77777777" w:rsidR="00201C99" w:rsidRDefault="00201C99">
            <w:pPr>
              <w:pStyle w:val="Compact"/>
            </w:pPr>
            <w:r>
              <w:rPr>
                <w:rStyle w:val="VerbatimChar"/>
              </w:rPr>
              <w:t>E74_Groupe</w:t>
            </w:r>
          </w:p>
        </w:tc>
      </w:tr>
      <w:tr w:rsidR="00201C99" w14:paraId="61142444" w14:textId="77777777">
        <w:tc>
          <w:tcPr>
            <w:tcW w:w="800" w:type="dxa"/>
          </w:tcPr>
          <w:p w14:paraId="38442890" w14:textId="77777777" w:rsidR="00201C99" w:rsidRDefault="00201C99">
            <w:pPr>
              <w:pStyle w:val="Compact"/>
            </w:pPr>
            <w:r>
              <w:t>P145</w:t>
            </w:r>
          </w:p>
        </w:tc>
        <w:tc>
          <w:tcPr>
            <w:tcW w:w="256" w:type="dxa"/>
          </w:tcPr>
          <w:p w14:paraId="29D4EA04" w14:textId="77777777" w:rsidR="00201C99" w:rsidRDefault="00201C99">
            <w:pPr>
              <w:pStyle w:val="Compact"/>
            </w:pPr>
            <w:r>
              <w:t>-</w:t>
            </w:r>
          </w:p>
        </w:tc>
        <w:tc>
          <w:tcPr>
            <w:tcW w:w="267" w:type="dxa"/>
          </w:tcPr>
          <w:p w14:paraId="68225CCA" w14:textId="77777777" w:rsidR="00201C99" w:rsidRDefault="00201C99">
            <w:pPr>
              <w:pStyle w:val="Compact"/>
            </w:pPr>
            <w:r>
              <w:t>-</w:t>
            </w:r>
          </w:p>
        </w:tc>
        <w:tc>
          <w:tcPr>
            <w:tcW w:w="3985" w:type="dxa"/>
            <w:gridSpan w:val="4"/>
          </w:tcPr>
          <w:p w14:paraId="094E9A36" w14:textId="77777777" w:rsidR="00201C99" w:rsidRDefault="00201C99">
            <w:pPr>
              <w:pStyle w:val="Compact"/>
            </w:pPr>
            <w:r w:rsidRPr="6E5D7753">
              <w:rPr>
                <w:rStyle w:val="VerbatimChar"/>
                <w:lang w:val="fr-FR"/>
              </w:rPr>
              <w:t>P145_a_dissocié (est_dissocié_par)</w:t>
            </w:r>
          </w:p>
        </w:tc>
        <w:tc>
          <w:tcPr>
            <w:tcW w:w="2620" w:type="dxa"/>
          </w:tcPr>
          <w:p w14:paraId="277EC184" w14:textId="77777777" w:rsidR="00201C99" w:rsidRDefault="00201C99">
            <w:pPr>
              <w:pStyle w:val="Compact"/>
            </w:pPr>
            <w:r>
              <w:rPr>
                <w:rStyle w:val="VerbatimChar"/>
              </w:rPr>
              <w:t>E86_Départ</w:t>
            </w:r>
          </w:p>
        </w:tc>
        <w:tc>
          <w:tcPr>
            <w:tcW w:w="2268" w:type="dxa"/>
          </w:tcPr>
          <w:p w14:paraId="44D2ABC3" w14:textId="77777777" w:rsidR="00201C99" w:rsidRDefault="00201C99">
            <w:pPr>
              <w:pStyle w:val="Compact"/>
            </w:pPr>
            <w:r>
              <w:rPr>
                <w:rStyle w:val="VerbatimChar"/>
              </w:rPr>
              <w:t>E39_Actant</w:t>
            </w:r>
          </w:p>
        </w:tc>
      </w:tr>
      <w:tr w:rsidR="00201C99" w14:paraId="44F70972" w14:textId="77777777">
        <w:tc>
          <w:tcPr>
            <w:tcW w:w="800" w:type="dxa"/>
          </w:tcPr>
          <w:p w14:paraId="5CC02908" w14:textId="77777777" w:rsidR="00201C99" w:rsidRDefault="00201C99">
            <w:pPr>
              <w:pStyle w:val="Compact"/>
            </w:pPr>
            <w:r>
              <w:t>P146</w:t>
            </w:r>
          </w:p>
        </w:tc>
        <w:tc>
          <w:tcPr>
            <w:tcW w:w="256" w:type="dxa"/>
          </w:tcPr>
          <w:p w14:paraId="52F2FA10" w14:textId="77777777" w:rsidR="00201C99" w:rsidRDefault="00201C99">
            <w:pPr>
              <w:pStyle w:val="Compact"/>
            </w:pPr>
            <w:r>
              <w:t>-</w:t>
            </w:r>
          </w:p>
        </w:tc>
        <w:tc>
          <w:tcPr>
            <w:tcW w:w="267" w:type="dxa"/>
          </w:tcPr>
          <w:p w14:paraId="4E700FB4" w14:textId="77777777" w:rsidR="00201C99" w:rsidRDefault="00201C99">
            <w:pPr>
              <w:pStyle w:val="Compact"/>
            </w:pPr>
            <w:r>
              <w:t>-</w:t>
            </w:r>
          </w:p>
        </w:tc>
        <w:tc>
          <w:tcPr>
            <w:tcW w:w="3985" w:type="dxa"/>
            <w:gridSpan w:val="4"/>
          </w:tcPr>
          <w:p w14:paraId="3C1748B4" w14:textId="77777777" w:rsidR="00201C99" w:rsidRDefault="00201C99">
            <w:pPr>
              <w:pStyle w:val="Compact"/>
            </w:pPr>
            <w:r w:rsidRPr="6E5D7753">
              <w:rPr>
                <w:rStyle w:val="VerbatimChar"/>
                <w:lang w:val="fr-FR"/>
              </w:rPr>
              <w:t>P146_a_dissocié_de (a_perdu_le_membre_par)</w:t>
            </w:r>
          </w:p>
        </w:tc>
        <w:tc>
          <w:tcPr>
            <w:tcW w:w="2620" w:type="dxa"/>
          </w:tcPr>
          <w:p w14:paraId="644CF2D6" w14:textId="77777777" w:rsidR="00201C99" w:rsidRDefault="00201C99">
            <w:pPr>
              <w:pStyle w:val="Compact"/>
            </w:pPr>
            <w:r>
              <w:rPr>
                <w:rStyle w:val="VerbatimChar"/>
              </w:rPr>
              <w:t>E86_Départ</w:t>
            </w:r>
          </w:p>
        </w:tc>
        <w:tc>
          <w:tcPr>
            <w:tcW w:w="2268" w:type="dxa"/>
          </w:tcPr>
          <w:p w14:paraId="770CE696" w14:textId="77777777" w:rsidR="00201C99" w:rsidRDefault="00201C99">
            <w:pPr>
              <w:pStyle w:val="Compact"/>
            </w:pPr>
            <w:r>
              <w:rPr>
                <w:rStyle w:val="VerbatimChar"/>
              </w:rPr>
              <w:t>E74_Groupe</w:t>
            </w:r>
          </w:p>
        </w:tc>
      </w:tr>
      <w:tr w:rsidR="00201C99" w14:paraId="02945366" w14:textId="77777777">
        <w:tc>
          <w:tcPr>
            <w:tcW w:w="800" w:type="dxa"/>
          </w:tcPr>
          <w:p w14:paraId="5432251E" w14:textId="77777777" w:rsidR="00201C99" w:rsidRDefault="00201C99">
            <w:pPr>
              <w:pStyle w:val="Compact"/>
            </w:pPr>
            <w:r>
              <w:t>P151</w:t>
            </w:r>
          </w:p>
        </w:tc>
        <w:tc>
          <w:tcPr>
            <w:tcW w:w="256" w:type="dxa"/>
          </w:tcPr>
          <w:p w14:paraId="22C6CD69" w14:textId="77777777" w:rsidR="00201C99" w:rsidRDefault="00201C99">
            <w:pPr>
              <w:pStyle w:val="Compact"/>
            </w:pPr>
            <w:r>
              <w:t>-</w:t>
            </w:r>
          </w:p>
        </w:tc>
        <w:tc>
          <w:tcPr>
            <w:tcW w:w="267" w:type="dxa"/>
          </w:tcPr>
          <w:p w14:paraId="3FC302FF" w14:textId="77777777" w:rsidR="00201C99" w:rsidRDefault="00201C99">
            <w:pPr>
              <w:pStyle w:val="Compact"/>
            </w:pPr>
            <w:r>
              <w:t>-</w:t>
            </w:r>
          </w:p>
        </w:tc>
        <w:tc>
          <w:tcPr>
            <w:tcW w:w="3985" w:type="dxa"/>
            <w:gridSpan w:val="4"/>
          </w:tcPr>
          <w:p w14:paraId="3756BFE9" w14:textId="77777777" w:rsidR="00201C99" w:rsidRDefault="00201C99">
            <w:pPr>
              <w:pStyle w:val="Compact"/>
            </w:pPr>
            <w:r w:rsidRPr="6E5D7753">
              <w:rPr>
                <w:rStyle w:val="VerbatimChar"/>
                <w:lang w:val="fr-FR"/>
              </w:rPr>
              <w:t>P151_a_été_formé_à_partir_de (a_participé_à)</w:t>
            </w:r>
          </w:p>
        </w:tc>
        <w:tc>
          <w:tcPr>
            <w:tcW w:w="2620" w:type="dxa"/>
          </w:tcPr>
          <w:p w14:paraId="160D2E3B" w14:textId="77777777" w:rsidR="00201C99" w:rsidRDefault="00201C99">
            <w:pPr>
              <w:pStyle w:val="Compact"/>
            </w:pPr>
            <w:r>
              <w:rPr>
                <w:rStyle w:val="VerbatimChar"/>
              </w:rPr>
              <w:t>E66_Formation</w:t>
            </w:r>
          </w:p>
        </w:tc>
        <w:tc>
          <w:tcPr>
            <w:tcW w:w="2268" w:type="dxa"/>
          </w:tcPr>
          <w:p w14:paraId="12B34615" w14:textId="77777777" w:rsidR="00201C99" w:rsidRDefault="00201C99">
            <w:pPr>
              <w:pStyle w:val="Compact"/>
            </w:pPr>
            <w:r>
              <w:rPr>
                <w:rStyle w:val="VerbatimChar"/>
              </w:rPr>
              <w:t>E74_Groupe</w:t>
            </w:r>
          </w:p>
        </w:tc>
      </w:tr>
      <w:tr w:rsidR="00201C99" w14:paraId="28EA3177" w14:textId="77777777">
        <w:tc>
          <w:tcPr>
            <w:tcW w:w="800" w:type="dxa"/>
          </w:tcPr>
          <w:p w14:paraId="0F501346" w14:textId="77777777" w:rsidR="00201C99" w:rsidRDefault="00201C99">
            <w:pPr>
              <w:pStyle w:val="Compact"/>
            </w:pPr>
            <w:r>
              <w:lastRenderedPageBreak/>
              <w:t>P16</w:t>
            </w:r>
          </w:p>
        </w:tc>
        <w:tc>
          <w:tcPr>
            <w:tcW w:w="256" w:type="dxa"/>
          </w:tcPr>
          <w:p w14:paraId="0E002626" w14:textId="77777777" w:rsidR="00201C99" w:rsidRDefault="00201C99">
            <w:pPr>
              <w:pStyle w:val="Compact"/>
            </w:pPr>
            <w:r>
              <w:t>-</w:t>
            </w:r>
          </w:p>
        </w:tc>
        <w:tc>
          <w:tcPr>
            <w:tcW w:w="4252" w:type="dxa"/>
            <w:gridSpan w:val="5"/>
          </w:tcPr>
          <w:p w14:paraId="36C42F63" w14:textId="77777777" w:rsidR="00201C99" w:rsidRDefault="00201C99">
            <w:pPr>
              <w:pStyle w:val="Compact"/>
            </w:pPr>
            <w:r w:rsidRPr="6E5D7753">
              <w:rPr>
                <w:rStyle w:val="VerbatimChar"/>
                <w:lang w:val="fr-FR"/>
              </w:rPr>
              <w:t>P16_a_mobilisé_l’objet_spécifique (a_été_mobilisé_pour)</w:t>
            </w:r>
          </w:p>
        </w:tc>
        <w:tc>
          <w:tcPr>
            <w:tcW w:w="2620" w:type="dxa"/>
          </w:tcPr>
          <w:p w14:paraId="1F5AA98E" w14:textId="77777777" w:rsidR="00201C99" w:rsidRDefault="00201C99">
            <w:pPr>
              <w:pStyle w:val="Compact"/>
            </w:pPr>
            <w:r>
              <w:rPr>
                <w:rStyle w:val="VerbatimChar"/>
              </w:rPr>
              <w:t>E7_Activité</w:t>
            </w:r>
          </w:p>
        </w:tc>
        <w:tc>
          <w:tcPr>
            <w:tcW w:w="2268" w:type="dxa"/>
          </w:tcPr>
          <w:p w14:paraId="74277616" w14:textId="77777777" w:rsidR="00201C99" w:rsidRDefault="00201C99">
            <w:pPr>
              <w:pStyle w:val="Compact"/>
            </w:pPr>
            <w:r>
              <w:rPr>
                <w:rStyle w:val="VerbatimChar"/>
              </w:rPr>
              <w:t>E70_Chose</w:t>
            </w:r>
          </w:p>
        </w:tc>
      </w:tr>
      <w:tr w:rsidR="00201C99" w14:paraId="041B970D" w14:textId="77777777">
        <w:tc>
          <w:tcPr>
            <w:tcW w:w="800" w:type="dxa"/>
          </w:tcPr>
          <w:p w14:paraId="3B78654B" w14:textId="77777777" w:rsidR="00201C99" w:rsidRDefault="00201C99">
            <w:pPr>
              <w:pStyle w:val="Compact"/>
            </w:pPr>
            <w:r>
              <w:t>P33</w:t>
            </w:r>
          </w:p>
        </w:tc>
        <w:tc>
          <w:tcPr>
            <w:tcW w:w="256" w:type="dxa"/>
          </w:tcPr>
          <w:p w14:paraId="14D2B787" w14:textId="77777777" w:rsidR="00201C99" w:rsidRDefault="00201C99">
            <w:pPr>
              <w:pStyle w:val="Compact"/>
            </w:pPr>
            <w:r>
              <w:t>-</w:t>
            </w:r>
          </w:p>
        </w:tc>
        <w:tc>
          <w:tcPr>
            <w:tcW w:w="267" w:type="dxa"/>
          </w:tcPr>
          <w:p w14:paraId="72D7823E" w14:textId="77777777" w:rsidR="00201C99" w:rsidRDefault="00201C99">
            <w:pPr>
              <w:pStyle w:val="Compact"/>
            </w:pPr>
            <w:r>
              <w:t>-</w:t>
            </w:r>
          </w:p>
        </w:tc>
        <w:tc>
          <w:tcPr>
            <w:tcW w:w="3985" w:type="dxa"/>
            <w:gridSpan w:val="4"/>
          </w:tcPr>
          <w:p w14:paraId="50AC7A4F" w14:textId="77777777" w:rsidR="00201C99" w:rsidRDefault="00201C99">
            <w:pPr>
              <w:pStyle w:val="Compact"/>
            </w:pPr>
            <w:r w:rsidRPr="6E5D7753">
              <w:rPr>
                <w:rStyle w:val="VerbatimChar"/>
                <w:lang w:val="fr-FR"/>
              </w:rPr>
              <w:t>P33_a_mobilisé_comme_technique_spécifique (a_été_la_technique_spécifique_mise_en_œuvre_dans)</w:t>
            </w:r>
          </w:p>
        </w:tc>
        <w:tc>
          <w:tcPr>
            <w:tcW w:w="2620" w:type="dxa"/>
          </w:tcPr>
          <w:p w14:paraId="03DD1739" w14:textId="77777777" w:rsidR="00201C99" w:rsidRDefault="00201C99">
            <w:pPr>
              <w:pStyle w:val="Compact"/>
            </w:pPr>
            <w:r>
              <w:rPr>
                <w:rStyle w:val="VerbatimChar"/>
              </w:rPr>
              <w:t>E7_Activité</w:t>
            </w:r>
          </w:p>
        </w:tc>
        <w:tc>
          <w:tcPr>
            <w:tcW w:w="2268" w:type="dxa"/>
          </w:tcPr>
          <w:p w14:paraId="53D0961C" w14:textId="77777777" w:rsidR="00201C99" w:rsidRDefault="00201C99">
            <w:pPr>
              <w:pStyle w:val="Compact"/>
            </w:pPr>
            <w:r>
              <w:rPr>
                <w:rStyle w:val="VerbatimChar"/>
              </w:rPr>
              <w:t>E29_Conceptualisation_ou_procédure</w:t>
            </w:r>
          </w:p>
        </w:tc>
      </w:tr>
      <w:tr w:rsidR="00201C99" w14:paraId="30F0F546" w14:textId="77777777">
        <w:tc>
          <w:tcPr>
            <w:tcW w:w="800" w:type="dxa"/>
          </w:tcPr>
          <w:p w14:paraId="317E9043" w14:textId="77777777" w:rsidR="00201C99" w:rsidRDefault="00201C99">
            <w:pPr>
              <w:pStyle w:val="Compact"/>
            </w:pPr>
            <w:r>
              <w:t>P111</w:t>
            </w:r>
          </w:p>
        </w:tc>
        <w:tc>
          <w:tcPr>
            <w:tcW w:w="256" w:type="dxa"/>
          </w:tcPr>
          <w:p w14:paraId="5F711934" w14:textId="77777777" w:rsidR="00201C99" w:rsidRDefault="00201C99">
            <w:pPr>
              <w:pStyle w:val="Compact"/>
            </w:pPr>
            <w:r>
              <w:t>-</w:t>
            </w:r>
          </w:p>
        </w:tc>
        <w:tc>
          <w:tcPr>
            <w:tcW w:w="267" w:type="dxa"/>
          </w:tcPr>
          <w:p w14:paraId="10E0C8F1" w14:textId="77777777" w:rsidR="00201C99" w:rsidRDefault="00201C99">
            <w:pPr>
              <w:pStyle w:val="Compact"/>
            </w:pPr>
            <w:r>
              <w:t>-</w:t>
            </w:r>
          </w:p>
        </w:tc>
        <w:tc>
          <w:tcPr>
            <w:tcW w:w="3985" w:type="dxa"/>
            <w:gridSpan w:val="4"/>
          </w:tcPr>
          <w:p w14:paraId="1A89925B" w14:textId="77777777" w:rsidR="00201C99" w:rsidRDefault="00201C99">
            <w:pPr>
              <w:pStyle w:val="Compact"/>
            </w:pPr>
            <w:r w:rsidRPr="6E5D7753">
              <w:rPr>
                <w:rStyle w:val="VerbatimChar"/>
                <w:lang w:val="fr-FR"/>
              </w:rPr>
              <w:t>P111_a_ajouté (a_été_ajouté_par)</w:t>
            </w:r>
          </w:p>
        </w:tc>
        <w:tc>
          <w:tcPr>
            <w:tcW w:w="2620" w:type="dxa"/>
          </w:tcPr>
          <w:p w14:paraId="2AC06781" w14:textId="77777777" w:rsidR="00201C99" w:rsidRDefault="00201C99">
            <w:pPr>
              <w:pStyle w:val="Compact"/>
            </w:pPr>
            <w:r>
              <w:rPr>
                <w:rStyle w:val="VerbatimChar"/>
              </w:rPr>
              <w:t>E79_Ajout_d’élément</w:t>
            </w:r>
          </w:p>
        </w:tc>
        <w:tc>
          <w:tcPr>
            <w:tcW w:w="2268" w:type="dxa"/>
          </w:tcPr>
          <w:p w14:paraId="324F8D6A" w14:textId="77777777" w:rsidR="00201C99" w:rsidRDefault="00201C99">
            <w:pPr>
              <w:pStyle w:val="Compact"/>
            </w:pPr>
            <w:r>
              <w:rPr>
                <w:rStyle w:val="VerbatimChar"/>
              </w:rPr>
              <w:t>E18_Chose_matérielle</w:t>
            </w:r>
          </w:p>
        </w:tc>
      </w:tr>
      <w:tr w:rsidR="00201C99" w14:paraId="3867EB91" w14:textId="77777777">
        <w:tc>
          <w:tcPr>
            <w:tcW w:w="800" w:type="dxa"/>
          </w:tcPr>
          <w:p w14:paraId="26FE4923" w14:textId="77777777" w:rsidR="00201C99" w:rsidRDefault="00201C99">
            <w:pPr>
              <w:pStyle w:val="Compact"/>
            </w:pPr>
            <w:r>
              <w:t>P142</w:t>
            </w:r>
          </w:p>
        </w:tc>
        <w:tc>
          <w:tcPr>
            <w:tcW w:w="256" w:type="dxa"/>
          </w:tcPr>
          <w:p w14:paraId="04487ADE" w14:textId="77777777" w:rsidR="00201C99" w:rsidRDefault="00201C99">
            <w:pPr>
              <w:pStyle w:val="Compact"/>
            </w:pPr>
            <w:r>
              <w:t>-</w:t>
            </w:r>
          </w:p>
        </w:tc>
        <w:tc>
          <w:tcPr>
            <w:tcW w:w="267" w:type="dxa"/>
          </w:tcPr>
          <w:p w14:paraId="6B9E3E22" w14:textId="77777777" w:rsidR="00201C99" w:rsidRDefault="00201C99">
            <w:pPr>
              <w:pStyle w:val="Compact"/>
            </w:pPr>
            <w:r>
              <w:t>-</w:t>
            </w:r>
          </w:p>
        </w:tc>
        <w:tc>
          <w:tcPr>
            <w:tcW w:w="3985" w:type="dxa"/>
            <w:gridSpan w:val="4"/>
          </w:tcPr>
          <w:p w14:paraId="30C293FE" w14:textId="77777777" w:rsidR="00201C99" w:rsidRDefault="00201C99">
            <w:pPr>
              <w:pStyle w:val="Compact"/>
            </w:pPr>
            <w:r w:rsidRPr="6E5D7753">
              <w:rPr>
                <w:rStyle w:val="VerbatimChar"/>
                <w:lang w:val="fr-FR"/>
              </w:rPr>
              <w:t>P142_a_mobilisé_comme_élément (a_été_mobilisé_dans)</w:t>
            </w:r>
          </w:p>
        </w:tc>
        <w:tc>
          <w:tcPr>
            <w:tcW w:w="2620" w:type="dxa"/>
          </w:tcPr>
          <w:p w14:paraId="33B431A5" w14:textId="77777777" w:rsidR="00201C99" w:rsidRDefault="00201C99">
            <w:pPr>
              <w:pStyle w:val="Compact"/>
            </w:pPr>
            <w:r>
              <w:rPr>
                <w:rStyle w:val="VerbatimChar"/>
              </w:rPr>
              <w:t>E15_Assignation_d’identifiant</w:t>
            </w:r>
          </w:p>
        </w:tc>
        <w:tc>
          <w:tcPr>
            <w:tcW w:w="2268" w:type="dxa"/>
          </w:tcPr>
          <w:p w14:paraId="22E14D87" w14:textId="77777777" w:rsidR="00201C99" w:rsidRDefault="00201C99">
            <w:pPr>
              <w:pStyle w:val="Compact"/>
            </w:pPr>
            <w:r>
              <w:rPr>
                <w:rStyle w:val="VerbatimChar"/>
              </w:rPr>
              <w:t>E90_Objet_symbolique</w:t>
            </w:r>
          </w:p>
        </w:tc>
      </w:tr>
      <w:tr w:rsidR="00201C99" w14:paraId="311B105B" w14:textId="77777777">
        <w:tc>
          <w:tcPr>
            <w:tcW w:w="800" w:type="dxa"/>
          </w:tcPr>
          <w:p w14:paraId="05C4E402" w14:textId="77777777" w:rsidR="00201C99" w:rsidRDefault="00201C99">
            <w:pPr>
              <w:pStyle w:val="Compact"/>
            </w:pPr>
            <w:r>
              <w:t>P25</w:t>
            </w:r>
          </w:p>
        </w:tc>
        <w:tc>
          <w:tcPr>
            <w:tcW w:w="256" w:type="dxa"/>
          </w:tcPr>
          <w:p w14:paraId="6D6BDB65" w14:textId="77777777" w:rsidR="00201C99" w:rsidRDefault="00201C99">
            <w:pPr>
              <w:pStyle w:val="Compact"/>
            </w:pPr>
            <w:r>
              <w:t>-</w:t>
            </w:r>
          </w:p>
        </w:tc>
        <w:tc>
          <w:tcPr>
            <w:tcW w:w="4252" w:type="dxa"/>
            <w:gridSpan w:val="5"/>
          </w:tcPr>
          <w:p w14:paraId="5DCC9425" w14:textId="77777777" w:rsidR="00201C99" w:rsidRDefault="00201C99">
            <w:pPr>
              <w:pStyle w:val="Compact"/>
            </w:pPr>
            <w:r w:rsidRPr="6E5D7753">
              <w:rPr>
                <w:rStyle w:val="VerbatimChar"/>
                <w:lang w:val="fr-FR"/>
              </w:rPr>
              <w:t>P25_a_déplacé (a_été_déplacé_par)</w:t>
            </w:r>
          </w:p>
        </w:tc>
        <w:tc>
          <w:tcPr>
            <w:tcW w:w="2620" w:type="dxa"/>
          </w:tcPr>
          <w:p w14:paraId="0C5C435C" w14:textId="77777777" w:rsidR="00201C99" w:rsidRDefault="00201C99">
            <w:pPr>
              <w:pStyle w:val="Compact"/>
            </w:pPr>
            <w:r>
              <w:rPr>
                <w:rStyle w:val="VerbatimChar"/>
              </w:rPr>
              <w:t>E9_Déplacement</w:t>
            </w:r>
          </w:p>
        </w:tc>
        <w:tc>
          <w:tcPr>
            <w:tcW w:w="2268" w:type="dxa"/>
          </w:tcPr>
          <w:p w14:paraId="4A90D3D3" w14:textId="77777777" w:rsidR="00201C99" w:rsidRDefault="00201C99">
            <w:pPr>
              <w:pStyle w:val="Compact"/>
            </w:pPr>
            <w:r>
              <w:rPr>
                <w:rStyle w:val="VerbatimChar"/>
              </w:rPr>
              <w:t>E19_Objet_matériel</w:t>
            </w:r>
          </w:p>
        </w:tc>
      </w:tr>
      <w:tr w:rsidR="00201C99" w14:paraId="2A722C8E" w14:textId="77777777">
        <w:tc>
          <w:tcPr>
            <w:tcW w:w="800" w:type="dxa"/>
          </w:tcPr>
          <w:p w14:paraId="764F5091" w14:textId="77777777" w:rsidR="00201C99" w:rsidRDefault="00201C99">
            <w:pPr>
              <w:pStyle w:val="Compact"/>
            </w:pPr>
            <w:r>
              <w:t>P31</w:t>
            </w:r>
          </w:p>
        </w:tc>
        <w:tc>
          <w:tcPr>
            <w:tcW w:w="256" w:type="dxa"/>
          </w:tcPr>
          <w:p w14:paraId="5BD2BEE3" w14:textId="77777777" w:rsidR="00201C99" w:rsidRDefault="00201C99">
            <w:pPr>
              <w:pStyle w:val="Compact"/>
            </w:pPr>
            <w:r>
              <w:t>-</w:t>
            </w:r>
          </w:p>
        </w:tc>
        <w:tc>
          <w:tcPr>
            <w:tcW w:w="4252" w:type="dxa"/>
            <w:gridSpan w:val="5"/>
          </w:tcPr>
          <w:p w14:paraId="3EF2002D" w14:textId="77777777" w:rsidR="00201C99" w:rsidRDefault="00201C99">
            <w:pPr>
              <w:pStyle w:val="Compact"/>
            </w:pPr>
            <w:r w:rsidRPr="6E5D7753">
              <w:rPr>
                <w:rStyle w:val="VerbatimChar"/>
                <w:lang w:val="fr-FR"/>
              </w:rPr>
              <w:t>P31_a_modifié (a_été_modifié_par)</w:t>
            </w:r>
          </w:p>
        </w:tc>
        <w:tc>
          <w:tcPr>
            <w:tcW w:w="2620" w:type="dxa"/>
          </w:tcPr>
          <w:p w14:paraId="64FDA5E6" w14:textId="77777777" w:rsidR="00201C99" w:rsidRDefault="00201C99">
            <w:pPr>
              <w:pStyle w:val="Compact"/>
            </w:pPr>
            <w:r>
              <w:rPr>
                <w:rStyle w:val="VerbatimChar"/>
              </w:rPr>
              <w:t>E11_Modification</w:t>
            </w:r>
          </w:p>
        </w:tc>
        <w:tc>
          <w:tcPr>
            <w:tcW w:w="2268" w:type="dxa"/>
          </w:tcPr>
          <w:p w14:paraId="71D24371" w14:textId="77777777" w:rsidR="00201C99" w:rsidRDefault="00201C99">
            <w:pPr>
              <w:pStyle w:val="Compact"/>
            </w:pPr>
            <w:r>
              <w:rPr>
                <w:rStyle w:val="VerbatimChar"/>
              </w:rPr>
              <w:t>E18_Chose_matérielle</w:t>
            </w:r>
          </w:p>
        </w:tc>
      </w:tr>
      <w:tr w:rsidR="00201C99" w14:paraId="0F51B7F3" w14:textId="77777777">
        <w:tc>
          <w:tcPr>
            <w:tcW w:w="800" w:type="dxa"/>
          </w:tcPr>
          <w:p w14:paraId="792409A4" w14:textId="77777777" w:rsidR="00201C99" w:rsidRDefault="00201C99">
            <w:pPr>
              <w:pStyle w:val="Compact"/>
            </w:pPr>
            <w:r>
              <w:t>P108</w:t>
            </w:r>
          </w:p>
        </w:tc>
        <w:tc>
          <w:tcPr>
            <w:tcW w:w="256" w:type="dxa"/>
          </w:tcPr>
          <w:p w14:paraId="7692D269" w14:textId="77777777" w:rsidR="00201C99" w:rsidRDefault="00201C99">
            <w:pPr>
              <w:pStyle w:val="Compact"/>
            </w:pPr>
            <w:r>
              <w:t>-</w:t>
            </w:r>
          </w:p>
        </w:tc>
        <w:tc>
          <w:tcPr>
            <w:tcW w:w="267" w:type="dxa"/>
          </w:tcPr>
          <w:p w14:paraId="799EED78" w14:textId="77777777" w:rsidR="00201C99" w:rsidRDefault="00201C99">
            <w:pPr>
              <w:pStyle w:val="Compact"/>
            </w:pPr>
            <w:r>
              <w:t>-</w:t>
            </w:r>
          </w:p>
        </w:tc>
        <w:tc>
          <w:tcPr>
            <w:tcW w:w="3985" w:type="dxa"/>
            <w:gridSpan w:val="4"/>
          </w:tcPr>
          <w:p w14:paraId="61090103" w14:textId="77777777" w:rsidR="00201C99" w:rsidRDefault="00201C99">
            <w:pPr>
              <w:pStyle w:val="Compact"/>
            </w:pPr>
            <w:r w:rsidRPr="6E5D7753">
              <w:rPr>
                <w:rStyle w:val="VerbatimChar"/>
                <w:lang w:val="fr-FR"/>
              </w:rPr>
              <w:t>P108_a_produit (a_été_produit_par)</w:t>
            </w:r>
          </w:p>
        </w:tc>
        <w:tc>
          <w:tcPr>
            <w:tcW w:w="2620" w:type="dxa"/>
          </w:tcPr>
          <w:p w14:paraId="3178CA00" w14:textId="77777777" w:rsidR="00201C99" w:rsidRDefault="00201C99">
            <w:pPr>
              <w:pStyle w:val="Compact"/>
            </w:pPr>
            <w:r>
              <w:rPr>
                <w:rStyle w:val="VerbatimChar"/>
              </w:rPr>
              <w:t>E12_Production</w:t>
            </w:r>
          </w:p>
        </w:tc>
        <w:tc>
          <w:tcPr>
            <w:tcW w:w="2268" w:type="dxa"/>
          </w:tcPr>
          <w:p w14:paraId="01EA29C9" w14:textId="77777777" w:rsidR="00201C99" w:rsidRDefault="00201C99">
            <w:pPr>
              <w:pStyle w:val="Compact"/>
            </w:pPr>
            <w:r>
              <w:rPr>
                <w:rStyle w:val="VerbatimChar"/>
              </w:rPr>
              <w:t>E24_Chose_matérielle_élaborée_par_l’humain</w:t>
            </w:r>
          </w:p>
        </w:tc>
      </w:tr>
      <w:tr w:rsidR="00201C99" w14:paraId="7EC4C123" w14:textId="77777777">
        <w:tc>
          <w:tcPr>
            <w:tcW w:w="800" w:type="dxa"/>
          </w:tcPr>
          <w:p w14:paraId="4D0A9409" w14:textId="77777777" w:rsidR="00201C99" w:rsidRDefault="00201C99">
            <w:pPr>
              <w:pStyle w:val="Compact"/>
            </w:pPr>
            <w:r>
              <w:t>P110</w:t>
            </w:r>
          </w:p>
        </w:tc>
        <w:tc>
          <w:tcPr>
            <w:tcW w:w="256" w:type="dxa"/>
          </w:tcPr>
          <w:p w14:paraId="29DDF4F0" w14:textId="77777777" w:rsidR="00201C99" w:rsidRDefault="00201C99">
            <w:pPr>
              <w:pStyle w:val="Compact"/>
            </w:pPr>
            <w:r>
              <w:t>-</w:t>
            </w:r>
          </w:p>
        </w:tc>
        <w:tc>
          <w:tcPr>
            <w:tcW w:w="267" w:type="dxa"/>
          </w:tcPr>
          <w:p w14:paraId="430A6298" w14:textId="77777777" w:rsidR="00201C99" w:rsidRDefault="00201C99">
            <w:pPr>
              <w:pStyle w:val="Compact"/>
            </w:pPr>
            <w:r>
              <w:t>-</w:t>
            </w:r>
          </w:p>
        </w:tc>
        <w:tc>
          <w:tcPr>
            <w:tcW w:w="3985" w:type="dxa"/>
            <w:gridSpan w:val="4"/>
          </w:tcPr>
          <w:p w14:paraId="00753F08" w14:textId="77777777" w:rsidR="00201C99" w:rsidRDefault="00201C99">
            <w:pPr>
              <w:pStyle w:val="Compact"/>
            </w:pPr>
            <w:r w:rsidRPr="6E5D7753">
              <w:rPr>
                <w:rStyle w:val="VerbatimChar"/>
                <w:lang w:val="fr-FR"/>
              </w:rPr>
              <w:t>P110_a_augmenté (a_été_augmenté_par)</w:t>
            </w:r>
          </w:p>
        </w:tc>
        <w:tc>
          <w:tcPr>
            <w:tcW w:w="2620" w:type="dxa"/>
          </w:tcPr>
          <w:p w14:paraId="2CFFD945" w14:textId="77777777" w:rsidR="00201C99" w:rsidRDefault="00201C99">
            <w:pPr>
              <w:pStyle w:val="Compact"/>
            </w:pPr>
            <w:r>
              <w:rPr>
                <w:rStyle w:val="VerbatimChar"/>
              </w:rPr>
              <w:t>E79_Ajout_d’élément</w:t>
            </w:r>
          </w:p>
        </w:tc>
        <w:tc>
          <w:tcPr>
            <w:tcW w:w="2268" w:type="dxa"/>
          </w:tcPr>
          <w:p w14:paraId="6E3EEADB" w14:textId="77777777" w:rsidR="00201C99" w:rsidRDefault="00201C99">
            <w:pPr>
              <w:pStyle w:val="Compact"/>
            </w:pPr>
            <w:r>
              <w:rPr>
                <w:rStyle w:val="VerbatimChar"/>
              </w:rPr>
              <w:t>E24_Chose_matérielle_élaborée_par_l’humain</w:t>
            </w:r>
          </w:p>
        </w:tc>
      </w:tr>
      <w:tr w:rsidR="00201C99" w14:paraId="6C832B30" w14:textId="77777777">
        <w:tc>
          <w:tcPr>
            <w:tcW w:w="800" w:type="dxa"/>
          </w:tcPr>
          <w:p w14:paraId="5D3261C3" w14:textId="77777777" w:rsidR="00201C99" w:rsidRDefault="00201C99">
            <w:pPr>
              <w:pStyle w:val="Compact"/>
            </w:pPr>
            <w:r>
              <w:t>P112</w:t>
            </w:r>
          </w:p>
        </w:tc>
        <w:tc>
          <w:tcPr>
            <w:tcW w:w="256" w:type="dxa"/>
          </w:tcPr>
          <w:p w14:paraId="70DD4E07" w14:textId="77777777" w:rsidR="00201C99" w:rsidRDefault="00201C99">
            <w:pPr>
              <w:pStyle w:val="Compact"/>
            </w:pPr>
            <w:r>
              <w:t>-</w:t>
            </w:r>
          </w:p>
        </w:tc>
        <w:tc>
          <w:tcPr>
            <w:tcW w:w="267" w:type="dxa"/>
          </w:tcPr>
          <w:p w14:paraId="75075ABA" w14:textId="77777777" w:rsidR="00201C99" w:rsidRDefault="00201C99">
            <w:pPr>
              <w:pStyle w:val="Compact"/>
            </w:pPr>
            <w:r>
              <w:t>-</w:t>
            </w:r>
          </w:p>
        </w:tc>
        <w:tc>
          <w:tcPr>
            <w:tcW w:w="3985" w:type="dxa"/>
            <w:gridSpan w:val="4"/>
          </w:tcPr>
          <w:p w14:paraId="363078E6" w14:textId="77777777" w:rsidR="00201C99" w:rsidRDefault="00201C99">
            <w:pPr>
              <w:pStyle w:val="Compact"/>
            </w:pPr>
            <w:r w:rsidRPr="6E5D7753">
              <w:rPr>
                <w:rStyle w:val="VerbatimChar"/>
                <w:lang w:val="fr-FR"/>
              </w:rPr>
              <w:t>P112_a_diminué (a_été_diminué_par)</w:t>
            </w:r>
          </w:p>
        </w:tc>
        <w:tc>
          <w:tcPr>
            <w:tcW w:w="2620" w:type="dxa"/>
          </w:tcPr>
          <w:p w14:paraId="7C9AD59C" w14:textId="77777777" w:rsidR="00201C99" w:rsidRDefault="00201C99">
            <w:pPr>
              <w:pStyle w:val="Compact"/>
            </w:pPr>
            <w:r>
              <w:rPr>
                <w:rStyle w:val="VerbatimChar"/>
              </w:rPr>
              <w:t>E80_Retrait_d’élément</w:t>
            </w:r>
          </w:p>
        </w:tc>
        <w:tc>
          <w:tcPr>
            <w:tcW w:w="2268" w:type="dxa"/>
          </w:tcPr>
          <w:p w14:paraId="5B01BB81" w14:textId="77777777" w:rsidR="00201C99" w:rsidRDefault="00201C99">
            <w:pPr>
              <w:pStyle w:val="Compact"/>
            </w:pPr>
            <w:r>
              <w:rPr>
                <w:rStyle w:val="VerbatimChar"/>
              </w:rPr>
              <w:t>E24_Chose_matérielle_élaborée_par_l’humain</w:t>
            </w:r>
          </w:p>
        </w:tc>
      </w:tr>
      <w:tr w:rsidR="00201C99" w14:paraId="466C49A4" w14:textId="77777777">
        <w:tc>
          <w:tcPr>
            <w:tcW w:w="800" w:type="dxa"/>
          </w:tcPr>
          <w:p w14:paraId="7F1CBCC8" w14:textId="77777777" w:rsidR="00201C99" w:rsidRDefault="00201C99">
            <w:pPr>
              <w:pStyle w:val="Compact"/>
            </w:pPr>
            <w:r>
              <w:t>P92</w:t>
            </w:r>
          </w:p>
        </w:tc>
        <w:tc>
          <w:tcPr>
            <w:tcW w:w="256" w:type="dxa"/>
          </w:tcPr>
          <w:p w14:paraId="0C8337AD" w14:textId="77777777" w:rsidR="00201C99" w:rsidRDefault="00201C99">
            <w:pPr>
              <w:pStyle w:val="Compact"/>
            </w:pPr>
            <w:r>
              <w:t>-</w:t>
            </w:r>
          </w:p>
        </w:tc>
        <w:tc>
          <w:tcPr>
            <w:tcW w:w="4252" w:type="dxa"/>
            <w:gridSpan w:val="5"/>
          </w:tcPr>
          <w:p w14:paraId="20FB946F" w14:textId="77777777" w:rsidR="00201C99" w:rsidRDefault="00201C99">
            <w:pPr>
              <w:pStyle w:val="Compact"/>
            </w:pPr>
            <w:r w:rsidRPr="6E5D7753">
              <w:rPr>
                <w:rStyle w:val="VerbatimChar"/>
                <w:lang w:val="fr-FR"/>
              </w:rPr>
              <w:t>P92_a_fait_exister (a_commencé_à_exister_par)</w:t>
            </w:r>
          </w:p>
        </w:tc>
        <w:tc>
          <w:tcPr>
            <w:tcW w:w="2620" w:type="dxa"/>
          </w:tcPr>
          <w:p w14:paraId="6E7A1CB8" w14:textId="77777777" w:rsidR="00201C99" w:rsidRDefault="00201C99">
            <w:pPr>
              <w:pStyle w:val="Compact"/>
            </w:pPr>
            <w:r>
              <w:rPr>
                <w:rStyle w:val="VerbatimChar"/>
              </w:rPr>
              <w:t>E63_Début_d’existence</w:t>
            </w:r>
          </w:p>
        </w:tc>
        <w:tc>
          <w:tcPr>
            <w:tcW w:w="2268" w:type="dxa"/>
          </w:tcPr>
          <w:p w14:paraId="5DACBA19" w14:textId="77777777" w:rsidR="00201C99" w:rsidRDefault="00201C99">
            <w:pPr>
              <w:pStyle w:val="Compact"/>
            </w:pPr>
            <w:r>
              <w:rPr>
                <w:rStyle w:val="VerbatimChar"/>
              </w:rPr>
              <w:t>E77_Entité_persistante</w:t>
            </w:r>
          </w:p>
        </w:tc>
      </w:tr>
      <w:tr w:rsidR="00201C99" w14:paraId="696FE320" w14:textId="77777777">
        <w:tc>
          <w:tcPr>
            <w:tcW w:w="800" w:type="dxa"/>
          </w:tcPr>
          <w:p w14:paraId="4351FC62" w14:textId="77777777" w:rsidR="00201C99" w:rsidRDefault="00201C99">
            <w:pPr>
              <w:pStyle w:val="Compact"/>
            </w:pPr>
            <w:r>
              <w:t>P94</w:t>
            </w:r>
          </w:p>
        </w:tc>
        <w:tc>
          <w:tcPr>
            <w:tcW w:w="256" w:type="dxa"/>
          </w:tcPr>
          <w:p w14:paraId="3B4C1358" w14:textId="77777777" w:rsidR="00201C99" w:rsidRDefault="00201C99">
            <w:pPr>
              <w:pStyle w:val="Compact"/>
            </w:pPr>
            <w:r>
              <w:t>-</w:t>
            </w:r>
          </w:p>
        </w:tc>
        <w:tc>
          <w:tcPr>
            <w:tcW w:w="267" w:type="dxa"/>
          </w:tcPr>
          <w:p w14:paraId="708EE557" w14:textId="77777777" w:rsidR="00201C99" w:rsidRDefault="00201C99">
            <w:pPr>
              <w:pStyle w:val="Compact"/>
            </w:pPr>
            <w:r>
              <w:t>-</w:t>
            </w:r>
          </w:p>
        </w:tc>
        <w:tc>
          <w:tcPr>
            <w:tcW w:w="3985" w:type="dxa"/>
            <w:gridSpan w:val="4"/>
          </w:tcPr>
          <w:p w14:paraId="35013AA9" w14:textId="77777777" w:rsidR="00201C99" w:rsidRDefault="00201C99">
            <w:pPr>
              <w:pStyle w:val="Compact"/>
            </w:pPr>
            <w:r w:rsidRPr="6E5D7753">
              <w:rPr>
                <w:rStyle w:val="VerbatimChar"/>
                <w:lang w:val="fr-FR"/>
              </w:rPr>
              <w:t>P94_a_créé (a_été_créé_par)</w:t>
            </w:r>
          </w:p>
        </w:tc>
        <w:tc>
          <w:tcPr>
            <w:tcW w:w="2620" w:type="dxa"/>
          </w:tcPr>
          <w:p w14:paraId="0B342935" w14:textId="77777777" w:rsidR="00201C99" w:rsidRDefault="00201C99">
            <w:pPr>
              <w:pStyle w:val="Compact"/>
            </w:pPr>
            <w:r>
              <w:rPr>
                <w:rStyle w:val="VerbatimChar"/>
              </w:rPr>
              <w:t>E65_Création</w:t>
            </w:r>
          </w:p>
        </w:tc>
        <w:tc>
          <w:tcPr>
            <w:tcW w:w="2268" w:type="dxa"/>
          </w:tcPr>
          <w:p w14:paraId="6B1D987D" w14:textId="77777777" w:rsidR="00201C99" w:rsidRDefault="00201C99">
            <w:pPr>
              <w:pStyle w:val="Compact"/>
            </w:pPr>
            <w:r>
              <w:rPr>
                <w:rStyle w:val="VerbatimChar"/>
              </w:rPr>
              <w:t>E28_Objet_conceptuel</w:t>
            </w:r>
          </w:p>
        </w:tc>
      </w:tr>
      <w:tr w:rsidR="00201C99" w14:paraId="42D4634E" w14:textId="77777777">
        <w:tc>
          <w:tcPr>
            <w:tcW w:w="800" w:type="dxa"/>
          </w:tcPr>
          <w:p w14:paraId="04693C3D" w14:textId="77777777" w:rsidR="00201C99" w:rsidRDefault="00201C99">
            <w:pPr>
              <w:pStyle w:val="Compact"/>
            </w:pPr>
            <w:r>
              <w:t>P135</w:t>
            </w:r>
          </w:p>
        </w:tc>
        <w:tc>
          <w:tcPr>
            <w:tcW w:w="256" w:type="dxa"/>
          </w:tcPr>
          <w:p w14:paraId="54389C11" w14:textId="77777777" w:rsidR="00201C99" w:rsidRDefault="00201C99">
            <w:pPr>
              <w:pStyle w:val="Compact"/>
            </w:pPr>
            <w:r>
              <w:t>-</w:t>
            </w:r>
          </w:p>
        </w:tc>
        <w:tc>
          <w:tcPr>
            <w:tcW w:w="267" w:type="dxa"/>
          </w:tcPr>
          <w:p w14:paraId="1AC822F4" w14:textId="77777777" w:rsidR="00201C99" w:rsidRDefault="00201C99">
            <w:pPr>
              <w:pStyle w:val="Compact"/>
            </w:pPr>
            <w:r>
              <w:t>-</w:t>
            </w:r>
          </w:p>
        </w:tc>
        <w:tc>
          <w:tcPr>
            <w:tcW w:w="293" w:type="dxa"/>
          </w:tcPr>
          <w:p w14:paraId="0AF197E7" w14:textId="77777777" w:rsidR="00201C99" w:rsidRDefault="00201C99">
            <w:pPr>
              <w:pStyle w:val="Compact"/>
            </w:pPr>
            <w:r>
              <w:t>-</w:t>
            </w:r>
          </w:p>
        </w:tc>
        <w:tc>
          <w:tcPr>
            <w:tcW w:w="3692" w:type="dxa"/>
            <w:gridSpan w:val="3"/>
          </w:tcPr>
          <w:p w14:paraId="715D214D" w14:textId="77777777" w:rsidR="00201C99" w:rsidRDefault="00201C99">
            <w:pPr>
              <w:pStyle w:val="Compact"/>
            </w:pPr>
            <w:r w:rsidRPr="6E5D7753">
              <w:rPr>
                <w:rStyle w:val="VerbatimChar"/>
                <w:lang w:val="fr-FR"/>
              </w:rPr>
              <w:t>P135_a_créé_le_type (a_été_créé_par)</w:t>
            </w:r>
          </w:p>
        </w:tc>
        <w:tc>
          <w:tcPr>
            <w:tcW w:w="2620" w:type="dxa"/>
          </w:tcPr>
          <w:p w14:paraId="1CD38382" w14:textId="77777777" w:rsidR="00201C99" w:rsidRDefault="00201C99">
            <w:pPr>
              <w:pStyle w:val="Compact"/>
            </w:pPr>
            <w:r>
              <w:rPr>
                <w:rStyle w:val="VerbatimChar"/>
              </w:rPr>
              <w:t>E83_Création_de_type</w:t>
            </w:r>
          </w:p>
        </w:tc>
        <w:tc>
          <w:tcPr>
            <w:tcW w:w="2268" w:type="dxa"/>
          </w:tcPr>
          <w:p w14:paraId="7968C181" w14:textId="77777777" w:rsidR="00201C99" w:rsidRDefault="00201C99">
            <w:pPr>
              <w:pStyle w:val="Compact"/>
            </w:pPr>
            <w:r>
              <w:rPr>
                <w:rStyle w:val="VerbatimChar"/>
              </w:rPr>
              <w:t>E55_Type</w:t>
            </w:r>
          </w:p>
        </w:tc>
      </w:tr>
      <w:tr w:rsidR="00201C99" w14:paraId="592D1634" w14:textId="77777777">
        <w:tc>
          <w:tcPr>
            <w:tcW w:w="800" w:type="dxa"/>
          </w:tcPr>
          <w:p w14:paraId="68F28179" w14:textId="77777777" w:rsidR="00201C99" w:rsidRDefault="00201C99">
            <w:pPr>
              <w:pStyle w:val="Compact"/>
            </w:pPr>
            <w:r>
              <w:t>P95</w:t>
            </w:r>
          </w:p>
        </w:tc>
        <w:tc>
          <w:tcPr>
            <w:tcW w:w="256" w:type="dxa"/>
          </w:tcPr>
          <w:p w14:paraId="3A5DEC81" w14:textId="77777777" w:rsidR="00201C99" w:rsidRDefault="00201C99">
            <w:pPr>
              <w:pStyle w:val="Compact"/>
            </w:pPr>
            <w:r>
              <w:t>-</w:t>
            </w:r>
          </w:p>
        </w:tc>
        <w:tc>
          <w:tcPr>
            <w:tcW w:w="267" w:type="dxa"/>
          </w:tcPr>
          <w:p w14:paraId="4046D9C5" w14:textId="77777777" w:rsidR="00201C99" w:rsidRDefault="00201C99">
            <w:pPr>
              <w:pStyle w:val="Compact"/>
            </w:pPr>
            <w:r>
              <w:t>-</w:t>
            </w:r>
          </w:p>
        </w:tc>
        <w:tc>
          <w:tcPr>
            <w:tcW w:w="3985" w:type="dxa"/>
            <w:gridSpan w:val="4"/>
          </w:tcPr>
          <w:p w14:paraId="791D2A49" w14:textId="77777777" w:rsidR="00201C99" w:rsidRDefault="00201C99">
            <w:pPr>
              <w:pStyle w:val="Compact"/>
            </w:pPr>
            <w:r w:rsidRPr="6E5D7753">
              <w:rPr>
                <w:rStyle w:val="VerbatimChar"/>
                <w:lang w:val="fr-FR"/>
              </w:rPr>
              <w:t>P95_a_fondé (a_été_fondé_par)</w:t>
            </w:r>
          </w:p>
        </w:tc>
        <w:tc>
          <w:tcPr>
            <w:tcW w:w="2620" w:type="dxa"/>
          </w:tcPr>
          <w:p w14:paraId="6EEC3CE9" w14:textId="77777777" w:rsidR="00201C99" w:rsidRDefault="00201C99">
            <w:pPr>
              <w:pStyle w:val="Compact"/>
            </w:pPr>
            <w:r>
              <w:rPr>
                <w:rStyle w:val="VerbatimChar"/>
              </w:rPr>
              <w:t>E66_Formation</w:t>
            </w:r>
          </w:p>
        </w:tc>
        <w:tc>
          <w:tcPr>
            <w:tcW w:w="2268" w:type="dxa"/>
          </w:tcPr>
          <w:p w14:paraId="77E9A35D" w14:textId="77777777" w:rsidR="00201C99" w:rsidRDefault="00201C99">
            <w:pPr>
              <w:pStyle w:val="Compact"/>
            </w:pPr>
            <w:r>
              <w:rPr>
                <w:rStyle w:val="VerbatimChar"/>
              </w:rPr>
              <w:t>E74_Groupe</w:t>
            </w:r>
          </w:p>
        </w:tc>
      </w:tr>
      <w:tr w:rsidR="00201C99" w14:paraId="6A89E4B0" w14:textId="77777777">
        <w:tc>
          <w:tcPr>
            <w:tcW w:w="800" w:type="dxa"/>
          </w:tcPr>
          <w:p w14:paraId="31B9A6A1" w14:textId="77777777" w:rsidR="00201C99" w:rsidRDefault="00201C99">
            <w:pPr>
              <w:pStyle w:val="Compact"/>
            </w:pPr>
            <w:r>
              <w:t>P98</w:t>
            </w:r>
          </w:p>
        </w:tc>
        <w:tc>
          <w:tcPr>
            <w:tcW w:w="256" w:type="dxa"/>
          </w:tcPr>
          <w:p w14:paraId="3A3A2AE2" w14:textId="77777777" w:rsidR="00201C99" w:rsidRDefault="00201C99">
            <w:pPr>
              <w:pStyle w:val="Compact"/>
            </w:pPr>
            <w:r>
              <w:t>-</w:t>
            </w:r>
          </w:p>
        </w:tc>
        <w:tc>
          <w:tcPr>
            <w:tcW w:w="267" w:type="dxa"/>
          </w:tcPr>
          <w:p w14:paraId="648BE303" w14:textId="77777777" w:rsidR="00201C99" w:rsidRDefault="00201C99">
            <w:pPr>
              <w:pStyle w:val="Compact"/>
            </w:pPr>
            <w:r>
              <w:t>-</w:t>
            </w:r>
          </w:p>
        </w:tc>
        <w:tc>
          <w:tcPr>
            <w:tcW w:w="3985" w:type="dxa"/>
            <w:gridSpan w:val="4"/>
          </w:tcPr>
          <w:p w14:paraId="6590CBCB" w14:textId="77777777" w:rsidR="00201C99" w:rsidRDefault="00201C99">
            <w:pPr>
              <w:pStyle w:val="Compact"/>
            </w:pPr>
            <w:r w:rsidRPr="6E5D7753">
              <w:rPr>
                <w:rStyle w:val="VerbatimChar"/>
                <w:lang w:val="fr-FR"/>
              </w:rPr>
              <w:t>P98_a_donné_vie_à (a_été_dissous_par)</w:t>
            </w:r>
          </w:p>
        </w:tc>
        <w:tc>
          <w:tcPr>
            <w:tcW w:w="2620" w:type="dxa"/>
          </w:tcPr>
          <w:p w14:paraId="7EE7258D" w14:textId="77777777" w:rsidR="00201C99" w:rsidRDefault="00201C99">
            <w:pPr>
              <w:pStyle w:val="Compact"/>
            </w:pPr>
            <w:r>
              <w:rPr>
                <w:rStyle w:val="VerbatimChar"/>
              </w:rPr>
              <w:t>E67_Naissance</w:t>
            </w:r>
          </w:p>
        </w:tc>
        <w:tc>
          <w:tcPr>
            <w:tcW w:w="2268" w:type="dxa"/>
          </w:tcPr>
          <w:p w14:paraId="04988744" w14:textId="77777777" w:rsidR="00201C99" w:rsidRDefault="00201C99">
            <w:pPr>
              <w:pStyle w:val="Compact"/>
            </w:pPr>
            <w:r>
              <w:rPr>
                <w:rStyle w:val="VerbatimChar"/>
              </w:rPr>
              <w:t>E21_Personne</w:t>
            </w:r>
          </w:p>
        </w:tc>
      </w:tr>
      <w:tr w:rsidR="00201C99" w14:paraId="107D6D06" w14:textId="77777777">
        <w:tc>
          <w:tcPr>
            <w:tcW w:w="800" w:type="dxa"/>
          </w:tcPr>
          <w:p w14:paraId="47171B7D" w14:textId="77777777" w:rsidR="00201C99" w:rsidRDefault="00201C99">
            <w:pPr>
              <w:pStyle w:val="Compact"/>
            </w:pPr>
            <w:r>
              <w:t>P108</w:t>
            </w:r>
          </w:p>
        </w:tc>
        <w:tc>
          <w:tcPr>
            <w:tcW w:w="256" w:type="dxa"/>
          </w:tcPr>
          <w:p w14:paraId="5C86654C" w14:textId="77777777" w:rsidR="00201C99" w:rsidRDefault="00201C99">
            <w:pPr>
              <w:pStyle w:val="Compact"/>
            </w:pPr>
            <w:r>
              <w:t>-</w:t>
            </w:r>
          </w:p>
        </w:tc>
        <w:tc>
          <w:tcPr>
            <w:tcW w:w="267" w:type="dxa"/>
          </w:tcPr>
          <w:p w14:paraId="2AE8FB1D" w14:textId="77777777" w:rsidR="00201C99" w:rsidRDefault="00201C99">
            <w:pPr>
              <w:pStyle w:val="Compact"/>
            </w:pPr>
            <w:r>
              <w:t>-</w:t>
            </w:r>
          </w:p>
        </w:tc>
        <w:tc>
          <w:tcPr>
            <w:tcW w:w="3985" w:type="dxa"/>
            <w:gridSpan w:val="4"/>
          </w:tcPr>
          <w:p w14:paraId="46F64D98" w14:textId="77777777" w:rsidR="00201C99" w:rsidRDefault="00201C99">
            <w:pPr>
              <w:pStyle w:val="Compact"/>
            </w:pPr>
            <w:r w:rsidRPr="6E5D7753">
              <w:rPr>
                <w:rStyle w:val="VerbatimChar"/>
                <w:lang w:val="fr-FR"/>
              </w:rPr>
              <w:t>P108_a_produit (a_été_produit_par)</w:t>
            </w:r>
          </w:p>
        </w:tc>
        <w:tc>
          <w:tcPr>
            <w:tcW w:w="2620" w:type="dxa"/>
          </w:tcPr>
          <w:p w14:paraId="720B93B0" w14:textId="77777777" w:rsidR="00201C99" w:rsidRDefault="00201C99">
            <w:pPr>
              <w:pStyle w:val="Compact"/>
            </w:pPr>
            <w:r>
              <w:rPr>
                <w:rStyle w:val="VerbatimChar"/>
              </w:rPr>
              <w:t>E12_Production</w:t>
            </w:r>
          </w:p>
        </w:tc>
        <w:tc>
          <w:tcPr>
            <w:tcW w:w="2268" w:type="dxa"/>
          </w:tcPr>
          <w:p w14:paraId="412DAE1D" w14:textId="77777777" w:rsidR="00201C99" w:rsidRDefault="00201C99">
            <w:pPr>
              <w:pStyle w:val="Compact"/>
            </w:pPr>
            <w:r>
              <w:rPr>
                <w:rStyle w:val="VerbatimChar"/>
              </w:rPr>
              <w:t>E24_Chose_matérielle_élaborée_par_l’humain</w:t>
            </w:r>
          </w:p>
        </w:tc>
      </w:tr>
      <w:tr w:rsidR="00201C99" w14:paraId="1381A868" w14:textId="77777777">
        <w:tc>
          <w:tcPr>
            <w:tcW w:w="800" w:type="dxa"/>
          </w:tcPr>
          <w:p w14:paraId="36CC3488" w14:textId="77777777" w:rsidR="00201C99" w:rsidRDefault="00201C99">
            <w:pPr>
              <w:pStyle w:val="Compact"/>
            </w:pPr>
            <w:r>
              <w:lastRenderedPageBreak/>
              <w:t>P123</w:t>
            </w:r>
          </w:p>
        </w:tc>
        <w:tc>
          <w:tcPr>
            <w:tcW w:w="256" w:type="dxa"/>
          </w:tcPr>
          <w:p w14:paraId="53080578" w14:textId="77777777" w:rsidR="00201C99" w:rsidRDefault="00201C99">
            <w:pPr>
              <w:pStyle w:val="Compact"/>
            </w:pPr>
            <w:r>
              <w:t>-</w:t>
            </w:r>
          </w:p>
        </w:tc>
        <w:tc>
          <w:tcPr>
            <w:tcW w:w="267" w:type="dxa"/>
          </w:tcPr>
          <w:p w14:paraId="75C6B20B" w14:textId="77777777" w:rsidR="00201C99" w:rsidRDefault="00201C99">
            <w:pPr>
              <w:pStyle w:val="Compact"/>
            </w:pPr>
            <w:r>
              <w:t>-</w:t>
            </w:r>
          </w:p>
        </w:tc>
        <w:tc>
          <w:tcPr>
            <w:tcW w:w="3985" w:type="dxa"/>
            <w:gridSpan w:val="4"/>
          </w:tcPr>
          <w:p w14:paraId="62A94DF3" w14:textId="77777777" w:rsidR="00201C99" w:rsidRDefault="00201C99">
            <w:pPr>
              <w:pStyle w:val="Compact"/>
            </w:pPr>
            <w:r w:rsidRPr="6E5D7753">
              <w:rPr>
                <w:rStyle w:val="VerbatimChar"/>
                <w:lang w:val="fr-FR"/>
              </w:rPr>
              <w:t>P123_a_eu_pour_résultat (a_résulté_de)</w:t>
            </w:r>
          </w:p>
        </w:tc>
        <w:tc>
          <w:tcPr>
            <w:tcW w:w="2620" w:type="dxa"/>
          </w:tcPr>
          <w:p w14:paraId="14204A28" w14:textId="77777777" w:rsidR="00201C99" w:rsidRDefault="00201C99">
            <w:pPr>
              <w:pStyle w:val="Compact"/>
            </w:pPr>
            <w:r>
              <w:rPr>
                <w:rStyle w:val="VerbatimChar"/>
              </w:rPr>
              <w:t>E81_Transformation</w:t>
            </w:r>
          </w:p>
        </w:tc>
        <w:tc>
          <w:tcPr>
            <w:tcW w:w="2268" w:type="dxa"/>
          </w:tcPr>
          <w:p w14:paraId="35C9A312" w14:textId="77777777" w:rsidR="00201C99" w:rsidRDefault="00201C99">
            <w:pPr>
              <w:pStyle w:val="Compact"/>
            </w:pPr>
            <w:r>
              <w:rPr>
                <w:rStyle w:val="VerbatimChar"/>
              </w:rPr>
              <w:t>E77_Entité_persistante</w:t>
            </w:r>
          </w:p>
        </w:tc>
      </w:tr>
      <w:tr w:rsidR="00201C99" w14:paraId="3DC10551" w14:textId="77777777">
        <w:tc>
          <w:tcPr>
            <w:tcW w:w="800" w:type="dxa"/>
          </w:tcPr>
          <w:p w14:paraId="70266077" w14:textId="77777777" w:rsidR="00201C99" w:rsidRDefault="00201C99">
            <w:pPr>
              <w:pStyle w:val="Compact"/>
            </w:pPr>
            <w:r>
              <w:t>P93</w:t>
            </w:r>
          </w:p>
        </w:tc>
        <w:tc>
          <w:tcPr>
            <w:tcW w:w="256" w:type="dxa"/>
          </w:tcPr>
          <w:p w14:paraId="0B4FA866" w14:textId="77777777" w:rsidR="00201C99" w:rsidRDefault="00201C99">
            <w:pPr>
              <w:pStyle w:val="Compact"/>
            </w:pPr>
            <w:r>
              <w:t>-</w:t>
            </w:r>
          </w:p>
        </w:tc>
        <w:tc>
          <w:tcPr>
            <w:tcW w:w="4252" w:type="dxa"/>
            <w:gridSpan w:val="5"/>
          </w:tcPr>
          <w:p w14:paraId="09FC0B94" w14:textId="77777777" w:rsidR="00201C99" w:rsidRDefault="00201C99">
            <w:pPr>
              <w:pStyle w:val="Compact"/>
            </w:pPr>
            <w:r w:rsidRPr="6E5D7753">
              <w:rPr>
                <w:rStyle w:val="VerbatimChar"/>
                <w:lang w:val="fr-FR"/>
              </w:rPr>
              <w:t>P93_a_mis_fin_à_l’existence_de (a_cessé_d’exister_par)</w:t>
            </w:r>
          </w:p>
        </w:tc>
        <w:tc>
          <w:tcPr>
            <w:tcW w:w="2620" w:type="dxa"/>
          </w:tcPr>
          <w:p w14:paraId="2554DAEC" w14:textId="77777777" w:rsidR="00201C99" w:rsidRDefault="00201C99">
            <w:pPr>
              <w:pStyle w:val="Compact"/>
            </w:pPr>
            <w:r>
              <w:rPr>
                <w:rStyle w:val="VerbatimChar"/>
              </w:rPr>
              <w:t>E64_Fin_d’existence</w:t>
            </w:r>
          </w:p>
        </w:tc>
        <w:tc>
          <w:tcPr>
            <w:tcW w:w="2268" w:type="dxa"/>
          </w:tcPr>
          <w:p w14:paraId="435F6561" w14:textId="77777777" w:rsidR="00201C99" w:rsidRDefault="00201C99">
            <w:pPr>
              <w:pStyle w:val="Compact"/>
            </w:pPr>
            <w:r>
              <w:rPr>
                <w:rStyle w:val="VerbatimChar"/>
              </w:rPr>
              <w:t>E77_Entité_persistante</w:t>
            </w:r>
          </w:p>
        </w:tc>
      </w:tr>
      <w:tr w:rsidR="00201C99" w14:paraId="7AE8ED31" w14:textId="77777777">
        <w:tc>
          <w:tcPr>
            <w:tcW w:w="800" w:type="dxa"/>
          </w:tcPr>
          <w:p w14:paraId="30F5CE6A" w14:textId="77777777" w:rsidR="00201C99" w:rsidRDefault="00201C99">
            <w:pPr>
              <w:pStyle w:val="Compact"/>
            </w:pPr>
            <w:r>
              <w:t>P13</w:t>
            </w:r>
          </w:p>
        </w:tc>
        <w:tc>
          <w:tcPr>
            <w:tcW w:w="256" w:type="dxa"/>
          </w:tcPr>
          <w:p w14:paraId="60FC981D" w14:textId="77777777" w:rsidR="00201C99" w:rsidRDefault="00201C99">
            <w:pPr>
              <w:pStyle w:val="Compact"/>
            </w:pPr>
            <w:r>
              <w:t>-</w:t>
            </w:r>
          </w:p>
        </w:tc>
        <w:tc>
          <w:tcPr>
            <w:tcW w:w="267" w:type="dxa"/>
          </w:tcPr>
          <w:p w14:paraId="5564880B" w14:textId="77777777" w:rsidR="00201C99" w:rsidRDefault="00201C99">
            <w:pPr>
              <w:pStyle w:val="Compact"/>
            </w:pPr>
            <w:r>
              <w:t>-</w:t>
            </w:r>
          </w:p>
        </w:tc>
        <w:tc>
          <w:tcPr>
            <w:tcW w:w="3985" w:type="dxa"/>
            <w:gridSpan w:val="4"/>
          </w:tcPr>
          <w:p w14:paraId="0CC40356" w14:textId="77777777" w:rsidR="00201C99" w:rsidRDefault="00201C99">
            <w:pPr>
              <w:pStyle w:val="Compact"/>
            </w:pPr>
            <w:r w:rsidRPr="6E5D7753">
              <w:rPr>
                <w:rStyle w:val="VerbatimChar"/>
                <w:lang w:val="fr-FR"/>
              </w:rPr>
              <w:t>P13_a_détruit (a_été_détruit_par)</w:t>
            </w:r>
          </w:p>
        </w:tc>
        <w:tc>
          <w:tcPr>
            <w:tcW w:w="2620" w:type="dxa"/>
          </w:tcPr>
          <w:p w14:paraId="56C0BEF3" w14:textId="77777777" w:rsidR="00201C99" w:rsidRDefault="00201C99">
            <w:pPr>
              <w:pStyle w:val="Compact"/>
            </w:pPr>
            <w:r>
              <w:rPr>
                <w:rStyle w:val="VerbatimChar"/>
              </w:rPr>
              <w:t>E6_Destruction</w:t>
            </w:r>
          </w:p>
        </w:tc>
        <w:tc>
          <w:tcPr>
            <w:tcW w:w="2268" w:type="dxa"/>
          </w:tcPr>
          <w:p w14:paraId="3B6A5FC5" w14:textId="77777777" w:rsidR="00201C99" w:rsidRDefault="00201C99">
            <w:pPr>
              <w:pStyle w:val="Compact"/>
            </w:pPr>
            <w:r>
              <w:rPr>
                <w:rStyle w:val="VerbatimChar"/>
              </w:rPr>
              <w:t>E18_Chose_matérielle</w:t>
            </w:r>
          </w:p>
        </w:tc>
      </w:tr>
      <w:tr w:rsidR="00201C99" w14:paraId="7286A2AD" w14:textId="77777777">
        <w:tc>
          <w:tcPr>
            <w:tcW w:w="800" w:type="dxa"/>
          </w:tcPr>
          <w:p w14:paraId="54E06ED4" w14:textId="77777777" w:rsidR="00201C99" w:rsidRDefault="00201C99">
            <w:pPr>
              <w:pStyle w:val="Compact"/>
            </w:pPr>
            <w:r>
              <w:t>P99</w:t>
            </w:r>
          </w:p>
        </w:tc>
        <w:tc>
          <w:tcPr>
            <w:tcW w:w="256" w:type="dxa"/>
          </w:tcPr>
          <w:p w14:paraId="4108A8F0" w14:textId="77777777" w:rsidR="00201C99" w:rsidRDefault="00201C99">
            <w:pPr>
              <w:pStyle w:val="Compact"/>
            </w:pPr>
            <w:r>
              <w:t>-</w:t>
            </w:r>
          </w:p>
        </w:tc>
        <w:tc>
          <w:tcPr>
            <w:tcW w:w="267" w:type="dxa"/>
          </w:tcPr>
          <w:p w14:paraId="0445C493" w14:textId="77777777" w:rsidR="00201C99" w:rsidRDefault="00201C99">
            <w:pPr>
              <w:pStyle w:val="Compact"/>
            </w:pPr>
            <w:r>
              <w:t>-</w:t>
            </w:r>
          </w:p>
        </w:tc>
        <w:tc>
          <w:tcPr>
            <w:tcW w:w="3985" w:type="dxa"/>
            <w:gridSpan w:val="4"/>
          </w:tcPr>
          <w:p w14:paraId="0392F686" w14:textId="77777777" w:rsidR="00201C99" w:rsidRDefault="00201C99">
            <w:pPr>
              <w:pStyle w:val="Compact"/>
            </w:pPr>
            <w:r w:rsidRPr="6E5D7753">
              <w:rPr>
                <w:rStyle w:val="VerbatimChar"/>
                <w:lang w:val="fr-FR"/>
              </w:rPr>
              <w:t>P99_a_dissous (a_été_dissous_par)</w:t>
            </w:r>
          </w:p>
        </w:tc>
        <w:tc>
          <w:tcPr>
            <w:tcW w:w="2620" w:type="dxa"/>
          </w:tcPr>
          <w:p w14:paraId="38083238" w14:textId="77777777" w:rsidR="00201C99" w:rsidRDefault="00201C99">
            <w:pPr>
              <w:pStyle w:val="Compact"/>
            </w:pPr>
            <w:r>
              <w:rPr>
                <w:rStyle w:val="VerbatimChar"/>
              </w:rPr>
              <w:t>E68_Dissolution</w:t>
            </w:r>
          </w:p>
        </w:tc>
        <w:tc>
          <w:tcPr>
            <w:tcW w:w="2268" w:type="dxa"/>
          </w:tcPr>
          <w:p w14:paraId="2D7B6962" w14:textId="77777777" w:rsidR="00201C99" w:rsidRDefault="00201C99">
            <w:pPr>
              <w:pStyle w:val="Compact"/>
            </w:pPr>
            <w:r>
              <w:rPr>
                <w:rStyle w:val="VerbatimChar"/>
              </w:rPr>
              <w:t>E74_Groupe</w:t>
            </w:r>
          </w:p>
        </w:tc>
      </w:tr>
      <w:tr w:rsidR="00201C99" w14:paraId="601A91A7" w14:textId="77777777">
        <w:tc>
          <w:tcPr>
            <w:tcW w:w="800" w:type="dxa"/>
          </w:tcPr>
          <w:p w14:paraId="321BAB07" w14:textId="77777777" w:rsidR="00201C99" w:rsidRDefault="00201C99">
            <w:pPr>
              <w:pStyle w:val="Compact"/>
            </w:pPr>
            <w:r>
              <w:t>P100</w:t>
            </w:r>
          </w:p>
        </w:tc>
        <w:tc>
          <w:tcPr>
            <w:tcW w:w="256" w:type="dxa"/>
          </w:tcPr>
          <w:p w14:paraId="6A7CFFD6" w14:textId="77777777" w:rsidR="00201C99" w:rsidRDefault="00201C99">
            <w:pPr>
              <w:pStyle w:val="Compact"/>
            </w:pPr>
            <w:r>
              <w:t>-</w:t>
            </w:r>
          </w:p>
        </w:tc>
        <w:tc>
          <w:tcPr>
            <w:tcW w:w="267" w:type="dxa"/>
          </w:tcPr>
          <w:p w14:paraId="586F9BD8" w14:textId="77777777" w:rsidR="00201C99" w:rsidRDefault="00201C99">
            <w:pPr>
              <w:pStyle w:val="Compact"/>
            </w:pPr>
            <w:r>
              <w:t>-</w:t>
            </w:r>
          </w:p>
        </w:tc>
        <w:tc>
          <w:tcPr>
            <w:tcW w:w="3985" w:type="dxa"/>
            <w:gridSpan w:val="4"/>
          </w:tcPr>
          <w:p w14:paraId="4CBA84E9" w14:textId="77777777" w:rsidR="00201C99" w:rsidRDefault="00201C99">
            <w:pPr>
              <w:pStyle w:val="Compact"/>
            </w:pPr>
            <w:r w:rsidRPr="6E5D7753">
              <w:rPr>
                <w:rStyle w:val="VerbatimChar"/>
                <w:lang w:val="fr-FR"/>
              </w:rPr>
              <w:t>P100_a_été_la_mort_de (est_mort_par)</w:t>
            </w:r>
          </w:p>
        </w:tc>
        <w:tc>
          <w:tcPr>
            <w:tcW w:w="2620" w:type="dxa"/>
          </w:tcPr>
          <w:p w14:paraId="2A89B783" w14:textId="77777777" w:rsidR="00201C99" w:rsidRDefault="00201C99">
            <w:pPr>
              <w:pStyle w:val="Compact"/>
            </w:pPr>
            <w:r>
              <w:rPr>
                <w:rStyle w:val="VerbatimChar"/>
              </w:rPr>
              <w:t>E69_Mort</w:t>
            </w:r>
          </w:p>
        </w:tc>
        <w:tc>
          <w:tcPr>
            <w:tcW w:w="2268" w:type="dxa"/>
          </w:tcPr>
          <w:p w14:paraId="0051E067" w14:textId="77777777" w:rsidR="00201C99" w:rsidRDefault="00201C99">
            <w:pPr>
              <w:pStyle w:val="Compact"/>
            </w:pPr>
            <w:r>
              <w:rPr>
                <w:rStyle w:val="VerbatimChar"/>
              </w:rPr>
              <w:t>E21_Personne</w:t>
            </w:r>
          </w:p>
        </w:tc>
      </w:tr>
      <w:tr w:rsidR="00201C99" w14:paraId="270583D2" w14:textId="77777777">
        <w:tc>
          <w:tcPr>
            <w:tcW w:w="800" w:type="dxa"/>
          </w:tcPr>
          <w:p w14:paraId="7652A362" w14:textId="77777777" w:rsidR="00201C99" w:rsidRDefault="00201C99">
            <w:pPr>
              <w:pStyle w:val="Compact"/>
            </w:pPr>
            <w:r>
              <w:t>P124</w:t>
            </w:r>
          </w:p>
        </w:tc>
        <w:tc>
          <w:tcPr>
            <w:tcW w:w="256" w:type="dxa"/>
          </w:tcPr>
          <w:p w14:paraId="5B52EE85" w14:textId="77777777" w:rsidR="00201C99" w:rsidRDefault="00201C99">
            <w:pPr>
              <w:pStyle w:val="Compact"/>
            </w:pPr>
            <w:r>
              <w:t>-</w:t>
            </w:r>
          </w:p>
        </w:tc>
        <w:tc>
          <w:tcPr>
            <w:tcW w:w="267" w:type="dxa"/>
          </w:tcPr>
          <w:p w14:paraId="17955157" w14:textId="77777777" w:rsidR="00201C99" w:rsidRDefault="00201C99">
            <w:pPr>
              <w:pStyle w:val="Compact"/>
            </w:pPr>
            <w:r>
              <w:t>-</w:t>
            </w:r>
          </w:p>
        </w:tc>
        <w:tc>
          <w:tcPr>
            <w:tcW w:w="3985" w:type="dxa"/>
            <w:gridSpan w:val="4"/>
          </w:tcPr>
          <w:p w14:paraId="565E3518" w14:textId="77777777" w:rsidR="00201C99" w:rsidRDefault="00201C99">
            <w:pPr>
              <w:pStyle w:val="Compact"/>
            </w:pPr>
            <w:r w:rsidRPr="6E5D7753">
              <w:rPr>
                <w:rStyle w:val="VerbatimChar"/>
                <w:lang w:val="fr-FR"/>
              </w:rPr>
              <w:t>P124_a_transformé (a_été_transformé_par)</w:t>
            </w:r>
          </w:p>
        </w:tc>
        <w:tc>
          <w:tcPr>
            <w:tcW w:w="2620" w:type="dxa"/>
          </w:tcPr>
          <w:p w14:paraId="7727C649" w14:textId="77777777" w:rsidR="00201C99" w:rsidRDefault="00201C99">
            <w:pPr>
              <w:pStyle w:val="Compact"/>
            </w:pPr>
            <w:r>
              <w:rPr>
                <w:rStyle w:val="VerbatimChar"/>
              </w:rPr>
              <w:t>E81_Transformation</w:t>
            </w:r>
          </w:p>
        </w:tc>
        <w:tc>
          <w:tcPr>
            <w:tcW w:w="2268" w:type="dxa"/>
          </w:tcPr>
          <w:p w14:paraId="4BEEE64A" w14:textId="77777777" w:rsidR="00201C99" w:rsidRDefault="00201C99">
            <w:pPr>
              <w:pStyle w:val="Compact"/>
            </w:pPr>
            <w:r>
              <w:rPr>
                <w:rStyle w:val="VerbatimChar"/>
              </w:rPr>
              <w:t>E77_Entité_persistante</w:t>
            </w:r>
          </w:p>
        </w:tc>
      </w:tr>
      <w:tr w:rsidR="00201C99" w14:paraId="5C69E7E9" w14:textId="77777777">
        <w:tc>
          <w:tcPr>
            <w:tcW w:w="800" w:type="dxa"/>
          </w:tcPr>
          <w:p w14:paraId="199EC816" w14:textId="77777777" w:rsidR="00201C99" w:rsidRDefault="00201C99">
            <w:pPr>
              <w:pStyle w:val="Compact"/>
            </w:pPr>
            <w:r>
              <w:t>P15</w:t>
            </w:r>
          </w:p>
        </w:tc>
        <w:tc>
          <w:tcPr>
            <w:tcW w:w="4508" w:type="dxa"/>
            <w:gridSpan w:val="6"/>
          </w:tcPr>
          <w:p w14:paraId="7B6EC1B1" w14:textId="77777777" w:rsidR="00201C99" w:rsidRDefault="00201C99">
            <w:pPr>
              <w:pStyle w:val="Compact"/>
            </w:pPr>
            <w:r w:rsidRPr="6E5D7753">
              <w:rPr>
                <w:rStyle w:val="VerbatimChar"/>
                <w:lang w:val="fr-FR"/>
              </w:rPr>
              <w:t>P15_a_été_influencé_par (a_influencé)</w:t>
            </w:r>
          </w:p>
        </w:tc>
        <w:tc>
          <w:tcPr>
            <w:tcW w:w="2620" w:type="dxa"/>
          </w:tcPr>
          <w:p w14:paraId="63098B00" w14:textId="77777777" w:rsidR="00201C99" w:rsidRDefault="00201C99">
            <w:pPr>
              <w:pStyle w:val="Compact"/>
            </w:pPr>
            <w:r>
              <w:rPr>
                <w:rStyle w:val="VerbatimChar"/>
              </w:rPr>
              <w:t>E7_Activité</w:t>
            </w:r>
          </w:p>
        </w:tc>
        <w:tc>
          <w:tcPr>
            <w:tcW w:w="2268" w:type="dxa"/>
          </w:tcPr>
          <w:p w14:paraId="002667D4" w14:textId="77777777" w:rsidR="00201C99" w:rsidRDefault="00201C99">
            <w:pPr>
              <w:pStyle w:val="Compact"/>
            </w:pPr>
            <w:r>
              <w:rPr>
                <w:rStyle w:val="VerbatimChar"/>
              </w:rPr>
              <w:t>E1_Entité_CRM</w:t>
            </w:r>
          </w:p>
        </w:tc>
      </w:tr>
      <w:tr w:rsidR="00201C99" w14:paraId="29E06F83" w14:textId="77777777">
        <w:tc>
          <w:tcPr>
            <w:tcW w:w="800" w:type="dxa"/>
          </w:tcPr>
          <w:p w14:paraId="65F2C2D1" w14:textId="77777777" w:rsidR="00201C99" w:rsidRDefault="00201C99">
            <w:pPr>
              <w:pStyle w:val="Compact"/>
            </w:pPr>
            <w:r>
              <w:t>P16</w:t>
            </w:r>
          </w:p>
        </w:tc>
        <w:tc>
          <w:tcPr>
            <w:tcW w:w="256" w:type="dxa"/>
          </w:tcPr>
          <w:p w14:paraId="2D28A6BE" w14:textId="77777777" w:rsidR="00201C99" w:rsidRDefault="00201C99">
            <w:pPr>
              <w:pStyle w:val="Compact"/>
            </w:pPr>
            <w:r>
              <w:t>-</w:t>
            </w:r>
          </w:p>
        </w:tc>
        <w:tc>
          <w:tcPr>
            <w:tcW w:w="4252" w:type="dxa"/>
            <w:gridSpan w:val="5"/>
          </w:tcPr>
          <w:p w14:paraId="0B918032" w14:textId="77777777" w:rsidR="00201C99" w:rsidRDefault="00201C99">
            <w:pPr>
              <w:pStyle w:val="Compact"/>
            </w:pPr>
            <w:r w:rsidRPr="6E5D7753">
              <w:rPr>
                <w:rStyle w:val="VerbatimChar"/>
                <w:lang w:val="fr-FR"/>
              </w:rPr>
              <w:t>P16_a_mobilisé_l’objet_spécifique (a_été_mobilisé_pour)</w:t>
            </w:r>
          </w:p>
        </w:tc>
        <w:tc>
          <w:tcPr>
            <w:tcW w:w="2620" w:type="dxa"/>
          </w:tcPr>
          <w:p w14:paraId="67EFC857" w14:textId="77777777" w:rsidR="00201C99" w:rsidRDefault="00201C99">
            <w:pPr>
              <w:pStyle w:val="Compact"/>
            </w:pPr>
            <w:r>
              <w:rPr>
                <w:rStyle w:val="VerbatimChar"/>
              </w:rPr>
              <w:t>E7_Activité</w:t>
            </w:r>
          </w:p>
        </w:tc>
        <w:tc>
          <w:tcPr>
            <w:tcW w:w="2268" w:type="dxa"/>
          </w:tcPr>
          <w:p w14:paraId="74E5AB10" w14:textId="77777777" w:rsidR="00201C99" w:rsidRDefault="00201C99">
            <w:pPr>
              <w:pStyle w:val="Compact"/>
            </w:pPr>
            <w:r>
              <w:rPr>
                <w:rStyle w:val="VerbatimChar"/>
              </w:rPr>
              <w:t>E70_Chose</w:t>
            </w:r>
          </w:p>
        </w:tc>
      </w:tr>
      <w:tr w:rsidR="00201C99" w14:paraId="11D475CE" w14:textId="77777777">
        <w:tc>
          <w:tcPr>
            <w:tcW w:w="800" w:type="dxa"/>
          </w:tcPr>
          <w:p w14:paraId="2222C13E" w14:textId="77777777" w:rsidR="00201C99" w:rsidRDefault="00201C99">
            <w:pPr>
              <w:pStyle w:val="Compact"/>
            </w:pPr>
            <w:r>
              <w:t>P33</w:t>
            </w:r>
          </w:p>
        </w:tc>
        <w:tc>
          <w:tcPr>
            <w:tcW w:w="256" w:type="dxa"/>
          </w:tcPr>
          <w:p w14:paraId="2A5C3A65" w14:textId="77777777" w:rsidR="00201C99" w:rsidRDefault="00201C99">
            <w:pPr>
              <w:pStyle w:val="Compact"/>
            </w:pPr>
            <w:r>
              <w:t>-</w:t>
            </w:r>
          </w:p>
        </w:tc>
        <w:tc>
          <w:tcPr>
            <w:tcW w:w="267" w:type="dxa"/>
          </w:tcPr>
          <w:p w14:paraId="2F390A7C" w14:textId="77777777" w:rsidR="00201C99" w:rsidRDefault="00201C99">
            <w:pPr>
              <w:pStyle w:val="Compact"/>
            </w:pPr>
            <w:r>
              <w:t>-</w:t>
            </w:r>
          </w:p>
        </w:tc>
        <w:tc>
          <w:tcPr>
            <w:tcW w:w="3985" w:type="dxa"/>
            <w:gridSpan w:val="4"/>
          </w:tcPr>
          <w:p w14:paraId="3A541010" w14:textId="77777777" w:rsidR="00201C99" w:rsidRDefault="00201C99">
            <w:pPr>
              <w:pStyle w:val="Compact"/>
            </w:pPr>
            <w:r w:rsidRPr="6E5D7753">
              <w:rPr>
                <w:rStyle w:val="VerbatimChar"/>
                <w:lang w:val="fr-FR"/>
              </w:rPr>
              <w:t>P33_a_mobilisé_comme_technique_spécifique (a_été_la_technique_spécifique_mise_en_œuvre_dans)</w:t>
            </w:r>
          </w:p>
        </w:tc>
        <w:tc>
          <w:tcPr>
            <w:tcW w:w="2620" w:type="dxa"/>
          </w:tcPr>
          <w:p w14:paraId="45F9078F" w14:textId="77777777" w:rsidR="00201C99" w:rsidRDefault="00201C99">
            <w:pPr>
              <w:pStyle w:val="Compact"/>
            </w:pPr>
            <w:r>
              <w:rPr>
                <w:rStyle w:val="VerbatimChar"/>
              </w:rPr>
              <w:t>E11_Modification</w:t>
            </w:r>
          </w:p>
        </w:tc>
        <w:tc>
          <w:tcPr>
            <w:tcW w:w="2268" w:type="dxa"/>
          </w:tcPr>
          <w:p w14:paraId="7DA3D94E" w14:textId="77777777" w:rsidR="00201C99" w:rsidRDefault="00201C99">
            <w:pPr>
              <w:pStyle w:val="Compact"/>
            </w:pPr>
            <w:r>
              <w:rPr>
                <w:rStyle w:val="VerbatimChar"/>
              </w:rPr>
              <w:t>E29_Conceptualisation_ou_procédure</w:t>
            </w:r>
          </w:p>
        </w:tc>
      </w:tr>
      <w:tr w:rsidR="00201C99" w14:paraId="095A71D0" w14:textId="77777777">
        <w:tc>
          <w:tcPr>
            <w:tcW w:w="800" w:type="dxa"/>
          </w:tcPr>
          <w:p w14:paraId="1EB82C0A" w14:textId="77777777" w:rsidR="00201C99" w:rsidRDefault="00201C99">
            <w:pPr>
              <w:pStyle w:val="Compact"/>
            </w:pPr>
            <w:r>
              <w:t>P111</w:t>
            </w:r>
          </w:p>
        </w:tc>
        <w:tc>
          <w:tcPr>
            <w:tcW w:w="256" w:type="dxa"/>
          </w:tcPr>
          <w:p w14:paraId="1A7E4B0F" w14:textId="77777777" w:rsidR="00201C99" w:rsidRDefault="00201C99">
            <w:pPr>
              <w:pStyle w:val="Compact"/>
            </w:pPr>
            <w:r>
              <w:t>-</w:t>
            </w:r>
          </w:p>
        </w:tc>
        <w:tc>
          <w:tcPr>
            <w:tcW w:w="267" w:type="dxa"/>
          </w:tcPr>
          <w:p w14:paraId="7A12469A" w14:textId="77777777" w:rsidR="00201C99" w:rsidRDefault="00201C99">
            <w:pPr>
              <w:pStyle w:val="Compact"/>
            </w:pPr>
            <w:r>
              <w:t>-</w:t>
            </w:r>
          </w:p>
        </w:tc>
        <w:tc>
          <w:tcPr>
            <w:tcW w:w="3985" w:type="dxa"/>
            <w:gridSpan w:val="4"/>
          </w:tcPr>
          <w:p w14:paraId="2A2B7F14" w14:textId="77777777" w:rsidR="00201C99" w:rsidRDefault="00201C99">
            <w:pPr>
              <w:pStyle w:val="Compact"/>
            </w:pPr>
            <w:r w:rsidRPr="6E5D7753">
              <w:rPr>
                <w:rStyle w:val="VerbatimChar"/>
                <w:lang w:val="fr-FR"/>
              </w:rPr>
              <w:t>P111_a_ajouté (a_été_ajouté_par)</w:t>
            </w:r>
          </w:p>
        </w:tc>
        <w:tc>
          <w:tcPr>
            <w:tcW w:w="2620" w:type="dxa"/>
          </w:tcPr>
          <w:p w14:paraId="61B6E2ED" w14:textId="77777777" w:rsidR="00201C99" w:rsidRDefault="00201C99">
            <w:pPr>
              <w:pStyle w:val="Compact"/>
            </w:pPr>
            <w:r>
              <w:rPr>
                <w:rStyle w:val="VerbatimChar"/>
              </w:rPr>
              <w:t>E79_Ajout_d’élément</w:t>
            </w:r>
          </w:p>
        </w:tc>
        <w:tc>
          <w:tcPr>
            <w:tcW w:w="2268" w:type="dxa"/>
          </w:tcPr>
          <w:p w14:paraId="402C94EF" w14:textId="77777777" w:rsidR="00201C99" w:rsidRDefault="00201C99">
            <w:pPr>
              <w:pStyle w:val="Compact"/>
            </w:pPr>
            <w:r>
              <w:rPr>
                <w:rStyle w:val="VerbatimChar"/>
              </w:rPr>
              <w:t>E18_Chose_matérielle</w:t>
            </w:r>
          </w:p>
        </w:tc>
      </w:tr>
      <w:tr w:rsidR="00201C99" w14:paraId="70013DB1" w14:textId="77777777">
        <w:tc>
          <w:tcPr>
            <w:tcW w:w="800" w:type="dxa"/>
          </w:tcPr>
          <w:p w14:paraId="6DCCFBFF" w14:textId="77777777" w:rsidR="00201C99" w:rsidRDefault="00201C99">
            <w:pPr>
              <w:pStyle w:val="Compact"/>
            </w:pPr>
            <w:r>
              <w:t>P142</w:t>
            </w:r>
          </w:p>
        </w:tc>
        <w:tc>
          <w:tcPr>
            <w:tcW w:w="256" w:type="dxa"/>
          </w:tcPr>
          <w:p w14:paraId="6BEC51C2" w14:textId="77777777" w:rsidR="00201C99" w:rsidRDefault="00201C99">
            <w:pPr>
              <w:pStyle w:val="Compact"/>
            </w:pPr>
            <w:r>
              <w:t>-</w:t>
            </w:r>
          </w:p>
        </w:tc>
        <w:tc>
          <w:tcPr>
            <w:tcW w:w="267" w:type="dxa"/>
          </w:tcPr>
          <w:p w14:paraId="64095D82" w14:textId="77777777" w:rsidR="00201C99" w:rsidRDefault="00201C99">
            <w:pPr>
              <w:pStyle w:val="Compact"/>
            </w:pPr>
            <w:r>
              <w:t>-</w:t>
            </w:r>
          </w:p>
        </w:tc>
        <w:tc>
          <w:tcPr>
            <w:tcW w:w="3985" w:type="dxa"/>
            <w:gridSpan w:val="4"/>
          </w:tcPr>
          <w:p w14:paraId="565542EE" w14:textId="77777777" w:rsidR="00201C99" w:rsidRDefault="00201C99">
            <w:pPr>
              <w:pStyle w:val="Compact"/>
            </w:pPr>
            <w:r w:rsidRPr="6E5D7753">
              <w:rPr>
                <w:rStyle w:val="VerbatimChar"/>
                <w:lang w:val="fr-FR"/>
              </w:rPr>
              <w:t>P142_a_mobilisé_comme_élément (a_été_mobilisé_dans)</w:t>
            </w:r>
          </w:p>
        </w:tc>
        <w:tc>
          <w:tcPr>
            <w:tcW w:w="2620" w:type="dxa"/>
          </w:tcPr>
          <w:p w14:paraId="1FF58439" w14:textId="77777777" w:rsidR="00201C99" w:rsidRDefault="00201C99">
            <w:pPr>
              <w:pStyle w:val="Compact"/>
            </w:pPr>
            <w:r>
              <w:rPr>
                <w:rStyle w:val="VerbatimChar"/>
              </w:rPr>
              <w:t>E15_Assignation_d’identifiant</w:t>
            </w:r>
          </w:p>
        </w:tc>
        <w:tc>
          <w:tcPr>
            <w:tcW w:w="2268" w:type="dxa"/>
          </w:tcPr>
          <w:p w14:paraId="28DE376E" w14:textId="77777777" w:rsidR="00201C99" w:rsidRDefault="00201C99">
            <w:pPr>
              <w:pStyle w:val="Compact"/>
            </w:pPr>
            <w:r>
              <w:rPr>
                <w:rStyle w:val="VerbatimChar"/>
              </w:rPr>
              <w:t>E90_Objet_symbolique</w:t>
            </w:r>
          </w:p>
        </w:tc>
      </w:tr>
      <w:tr w:rsidR="00201C99" w14:paraId="7462FC30" w14:textId="77777777">
        <w:tc>
          <w:tcPr>
            <w:tcW w:w="800" w:type="dxa"/>
          </w:tcPr>
          <w:p w14:paraId="7AA89B1F" w14:textId="77777777" w:rsidR="00201C99" w:rsidRDefault="00201C99">
            <w:pPr>
              <w:pStyle w:val="Compact"/>
            </w:pPr>
            <w:r>
              <w:t>P17</w:t>
            </w:r>
          </w:p>
        </w:tc>
        <w:tc>
          <w:tcPr>
            <w:tcW w:w="256" w:type="dxa"/>
          </w:tcPr>
          <w:p w14:paraId="3153DCCA" w14:textId="77777777" w:rsidR="00201C99" w:rsidRDefault="00201C99">
            <w:pPr>
              <w:pStyle w:val="Compact"/>
            </w:pPr>
            <w:r>
              <w:t>-</w:t>
            </w:r>
          </w:p>
        </w:tc>
        <w:tc>
          <w:tcPr>
            <w:tcW w:w="4252" w:type="dxa"/>
            <w:gridSpan w:val="5"/>
          </w:tcPr>
          <w:p w14:paraId="7949F3D7" w14:textId="77777777" w:rsidR="00201C99" w:rsidRDefault="00201C99">
            <w:pPr>
              <w:pStyle w:val="Compact"/>
            </w:pPr>
            <w:r w:rsidRPr="6E5D7753">
              <w:rPr>
                <w:rStyle w:val="VerbatimChar"/>
                <w:lang w:val="fr-FR"/>
              </w:rPr>
              <w:t>P17_a_été_motivé_par (a_motivé)</w:t>
            </w:r>
          </w:p>
        </w:tc>
        <w:tc>
          <w:tcPr>
            <w:tcW w:w="2620" w:type="dxa"/>
          </w:tcPr>
          <w:p w14:paraId="251C83BB" w14:textId="77777777" w:rsidR="00201C99" w:rsidRDefault="00201C99">
            <w:pPr>
              <w:pStyle w:val="Compact"/>
            </w:pPr>
            <w:r>
              <w:rPr>
                <w:rStyle w:val="VerbatimChar"/>
              </w:rPr>
              <w:t>E7_Activité</w:t>
            </w:r>
          </w:p>
        </w:tc>
        <w:tc>
          <w:tcPr>
            <w:tcW w:w="2268" w:type="dxa"/>
          </w:tcPr>
          <w:p w14:paraId="51F663E4" w14:textId="77777777" w:rsidR="00201C99" w:rsidRDefault="00201C99">
            <w:pPr>
              <w:pStyle w:val="Compact"/>
            </w:pPr>
            <w:r>
              <w:rPr>
                <w:rStyle w:val="VerbatimChar"/>
              </w:rPr>
              <w:t>E1_Entité_CRM</w:t>
            </w:r>
          </w:p>
        </w:tc>
      </w:tr>
      <w:tr w:rsidR="00201C99" w14:paraId="5E048444" w14:textId="77777777">
        <w:tc>
          <w:tcPr>
            <w:tcW w:w="800" w:type="dxa"/>
          </w:tcPr>
          <w:p w14:paraId="1471BFE4" w14:textId="77777777" w:rsidR="00201C99" w:rsidRDefault="00201C99">
            <w:pPr>
              <w:pStyle w:val="Compact"/>
            </w:pPr>
            <w:r>
              <w:t>P134</w:t>
            </w:r>
          </w:p>
        </w:tc>
        <w:tc>
          <w:tcPr>
            <w:tcW w:w="256" w:type="dxa"/>
          </w:tcPr>
          <w:p w14:paraId="6ADB4A71" w14:textId="77777777" w:rsidR="00201C99" w:rsidRDefault="00201C99">
            <w:pPr>
              <w:pStyle w:val="Compact"/>
            </w:pPr>
            <w:r>
              <w:t>-</w:t>
            </w:r>
          </w:p>
        </w:tc>
        <w:tc>
          <w:tcPr>
            <w:tcW w:w="4252" w:type="dxa"/>
            <w:gridSpan w:val="5"/>
          </w:tcPr>
          <w:p w14:paraId="79C3CF3A" w14:textId="77777777" w:rsidR="00201C99" w:rsidRDefault="00201C99">
            <w:pPr>
              <w:pStyle w:val="Compact"/>
            </w:pPr>
            <w:r w:rsidRPr="6E5D7753">
              <w:rPr>
                <w:rStyle w:val="VerbatimChar"/>
                <w:lang w:val="fr-FR"/>
              </w:rPr>
              <w:t>P134_a_continué (a_été_continué_par)</w:t>
            </w:r>
          </w:p>
        </w:tc>
        <w:tc>
          <w:tcPr>
            <w:tcW w:w="2620" w:type="dxa"/>
          </w:tcPr>
          <w:p w14:paraId="67F1DFC6" w14:textId="77777777" w:rsidR="00201C99" w:rsidRDefault="00201C99">
            <w:pPr>
              <w:pStyle w:val="Compact"/>
            </w:pPr>
            <w:r>
              <w:rPr>
                <w:rStyle w:val="VerbatimChar"/>
              </w:rPr>
              <w:t>E7_Activité</w:t>
            </w:r>
          </w:p>
        </w:tc>
        <w:tc>
          <w:tcPr>
            <w:tcW w:w="2268" w:type="dxa"/>
          </w:tcPr>
          <w:p w14:paraId="4522AAF0" w14:textId="77777777" w:rsidR="00201C99" w:rsidRDefault="00201C99">
            <w:pPr>
              <w:pStyle w:val="Compact"/>
            </w:pPr>
            <w:r>
              <w:rPr>
                <w:rStyle w:val="VerbatimChar"/>
              </w:rPr>
              <w:t>E7_Activité</w:t>
            </w:r>
          </w:p>
        </w:tc>
      </w:tr>
      <w:tr w:rsidR="00201C99" w14:paraId="531E01B7" w14:textId="77777777">
        <w:tc>
          <w:tcPr>
            <w:tcW w:w="800" w:type="dxa"/>
          </w:tcPr>
          <w:p w14:paraId="6E52FEB1" w14:textId="77777777" w:rsidR="00201C99" w:rsidRDefault="00201C99">
            <w:pPr>
              <w:pStyle w:val="Compact"/>
            </w:pPr>
            <w:r>
              <w:t>P136</w:t>
            </w:r>
          </w:p>
        </w:tc>
        <w:tc>
          <w:tcPr>
            <w:tcW w:w="256" w:type="dxa"/>
          </w:tcPr>
          <w:p w14:paraId="0101ABEA" w14:textId="77777777" w:rsidR="00201C99" w:rsidRDefault="00201C99">
            <w:pPr>
              <w:pStyle w:val="Compact"/>
            </w:pPr>
            <w:r>
              <w:t>-</w:t>
            </w:r>
          </w:p>
        </w:tc>
        <w:tc>
          <w:tcPr>
            <w:tcW w:w="4252" w:type="dxa"/>
            <w:gridSpan w:val="5"/>
          </w:tcPr>
          <w:p w14:paraId="382CDACB" w14:textId="77777777" w:rsidR="00201C99" w:rsidRDefault="00201C99">
            <w:pPr>
              <w:pStyle w:val="Compact"/>
            </w:pPr>
            <w:r w:rsidRPr="6E5D7753">
              <w:rPr>
                <w:rStyle w:val="VerbatimChar"/>
                <w:lang w:val="fr-FR"/>
              </w:rPr>
              <w:t>P136_a_été_fondé_sur (a_fondé_la_création_du_type)</w:t>
            </w:r>
          </w:p>
        </w:tc>
        <w:tc>
          <w:tcPr>
            <w:tcW w:w="2620" w:type="dxa"/>
          </w:tcPr>
          <w:p w14:paraId="2BD26CB9" w14:textId="77777777" w:rsidR="00201C99" w:rsidRDefault="00201C99">
            <w:pPr>
              <w:pStyle w:val="Compact"/>
            </w:pPr>
            <w:r>
              <w:rPr>
                <w:rStyle w:val="VerbatimChar"/>
              </w:rPr>
              <w:t>E83_Création_de_type</w:t>
            </w:r>
          </w:p>
        </w:tc>
        <w:tc>
          <w:tcPr>
            <w:tcW w:w="2268" w:type="dxa"/>
          </w:tcPr>
          <w:p w14:paraId="42A1C561" w14:textId="77777777" w:rsidR="00201C99" w:rsidRDefault="00201C99">
            <w:pPr>
              <w:pStyle w:val="Compact"/>
            </w:pPr>
            <w:r>
              <w:rPr>
                <w:rStyle w:val="VerbatimChar"/>
              </w:rPr>
              <w:t>E1_Entité_CRM</w:t>
            </w:r>
          </w:p>
        </w:tc>
      </w:tr>
      <w:tr w:rsidR="00201C99" w14:paraId="41A12C7E" w14:textId="77777777">
        <w:tc>
          <w:tcPr>
            <w:tcW w:w="800" w:type="dxa"/>
          </w:tcPr>
          <w:p w14:paraId="41349D67" w14:textId="77777777" w:rsidR="00201C99" w:rsidRDefault="00201C99">
            <w:pPr>
              <w:pStyle w:val="Compact"/>
            </w:pPr>
            <w:r>
              <w:t>P19</w:t>
            </w:r>
          </w:p>
        </w:tc>
        <w:tc>
          <w:tcPr>
            <w:tcW w:w="4508" w:type="dxa"/>
            <w:gridSpan w:val="6"/>
          </w:tcPr>
          <w:p w14:paraId="1A873CAE" w14:textId="77777777" w:rsidR="00201C99" w:rsidRDefault="00201C99">
            <w:pPr>
              <w:pStyle w:val="Compact"/>
            </w:pPr>
            <w:r w:rsidRPr="6E5D7753">
              <w:rPr>
                <w:rStyle w:val="VerbatimChar"/>
                <w:lang w:val="fr-FR"/>
              </w:rPr>
              <w:t>P19_a_été_l’usage_prévu_de (a_été_élaboré_pour)</w:t>
            </w:r>
          </w:p>
        </w:tc>
        <w:tc>
          <w:tcPr>
            <w:tcW w:w="2620" w:type="dxa"/>
          </w:tcPr>
          <w:p w14:paraId="512FA4E5" w14:textId="77777777" w:rsidR="00201C99" w:rsidRDefault="00201C99">
            <w:pPr>
              <w:pStyle w:val="Compact"/>
            </w:pPr>
            <w:r>
              <w:rPr>
                <w:rStyle w:val="VerbatimChar"/>
              </w:rPr>
              <w:t>E7_Activité</w:t>
            </w:r>
          </w:p>
        </w:tc>
        <w:tc>
          <w:tcPr>
            <w:tcW w:w="2268" w:type="dxa"/>
          </w:tcPr>
          <w:p w14:paraId="2BD5BC2F" w14:textId="77777777" w:rsidR="00201C99" w:rsidRDefault="00201C99">
            <w:pPr>
              <w:pStyle w:val="Compact"/>
            </w:pPr>
            <w:r>
              <w:rPr>
                <w:rStyle w:val="VerbatimChar"/>
              </w:rPr>
              <w:t>E71_Chose_élaborée_par_l’humain</w:t>
            </w:r>
          </w:p>
        </w:tc>
      </w:tr>
      <w:tr w:rsidR="00201C99" w14:paraId="78FCAA27" w14:textId="77777777">
        <w:tc>
          <w:tcPr>
            <w:tcW w:w="800" w:type="dxa"/>
          </w:tcPr>
          <w:p w14:paraId="5F34BA4F" w14:textId="77777777" w:rsidR="00201C99" w:rsidRDefault="00201C99">
            <w:pPr>
              <w:pStyle w:val="Compact"/>
            </w:pPr>
            <w:r>
              <w:t>P20</w:t>
            </w:r>
          </w:p>
        </w:tc>
        <w:tc>
          <w:tcPr>
            <w:tcW w:w="4508" w:type="dxa"/>
            <w:gridSpan w:val="6"/>
          </w:tcPr>
          <w:p w14:paraId="04DC4F0E" w14:textId="77777777" w:rsidR="00201C99" w:rsidRDefault="00201C99">
            <w:pPr>
              <w:pStyle w:val="Compact"/>
            </w:pPr>
            <w:r w:rsidRPr="6E5D7753">
              <w:rPr>
                <w:rStyle w:val="VerbatimChar"/>
                <w:lang w:val="fr-FR"/>
              </w:rPr>
              <w:t>P20_a_eu_pour_finalité_spécifique (a_été_la_finalité_de)</w:t>
            </w:r>
          </w:p>
        </w:tc>
        <w:tc>
          <w:tcPr>
            <w:tcW w:w="2620" w:type="dxa"/>
          </w:tcPr>
          <w:p w14:paraId="12D18436" w14:textId="77777777" w:rsidR="00201C99" w:rsidRDefault="00201C99">
            <w:pPr>
              <w:pStyle w:val="Compact"/>
            </w:pPr>
            <w:r>
              <w:rPr>
                <w:rStyle w:val="VerbatimChar"/>
              </w:rPr>
              <w:t>E7_Activité</w:t>
            </w:r>
          </w:p>
        </w:tc>
        <w:tc>
          <w:tcPr>
            <w:tcW w:w="2268" w:type="dxa"/>
          </w:tcPr>
          <w:p w14:paraId="0AC9C0F8" w14:textId="77777777" w:rsidR="00201C99" w:rsidRDefault="00201C99">
            <w:pPr>
              <w:pStyle w:val="Compact"/>
            </w:pPr>
            <w:r>
              <w:rPr>
                <w:rStyle w:val="VerbatimChar"/>
              </w:rPr>
              <w:t>E5_Évènement</w:t>
            </w:r>
          </w:p>
        </w:tc>
      </w:tr>
      <w:tr w:rsidR="00201C99" w14:paraId="17E195EF" w14:textId="77777777">
        <w:tc>
          <w:tcPr>
            <w:tcW w:w="800" w:type="dxa"/>
          </w:tcPr>
          <w:p w14:paraId="1018A5FD" w14:textId="77777777" w:rsidR="00201C99" w:rsidRDefault="00201C99">
            <w:pPr>
              <w:pStyle w:val="Compact"/>
            </w:pPr>
            <w:r>
              <w:t>P21</w:t>
            </w:r>
          </w:p>
        </w:tc>
        <w:tc>
          <w:tcPr>
            <w:tcW w:w="4508" w:type="dxa"/>
            <w:gridSpan w:val="6"/>
          </w:tcPr>
          <w:p w14:paraId="1CA48C4A" w14:textId="77777777" w:rsidR="00201C99" w:rsidRDefault="00201C99">
            <w:pPr>
              <w:pStyle w:val="Compact"/>
            </w:pPr>
            <w:r w:rsidRPr="6E5D7753">
              <w:rPr>
                <w:rStyle w:val="VerbatimChar"/>
                <w:lang w:val="fr-FR"/>
              </w:rPr>
              <w:t>P21_a_eu_pour_finalité_générale (a_été_la_finalité_de)</w:t>
            </w:r>
          </w:p>
        </w:tc>
        <w:tc>
          <w:tcPr>
            <w:tcW w:w="2620" w:type="dxa"/>
          </w:tcPr>
          <w:p w14:paraId="6FA6C141" w14:textId="77777777" w:rsidR="00201C99" w:rsidRDefault="00201C99">
            <w:pPr>
              <w:pStyle w:val="Compact"/>
            </w:pPr>
            <w:r>
              <w:rPr>
                <w:rStyle w:val="VerbatimChar"/>
              </w:rPr>
              <w:t>E7_Activité</w:t>
            </w:r>
          </w:p>
        </w:tc>
        <w:tc>
          <w:tcPr>
            <w:tcW w:w="2268" w:type="dxa"/>
          </w:tcPr>
          <w:p w14:paraId="6B50DAAA" w14:textId="77777777" w:rsidR="00201C99" w:rsidRDefault="00201C99">
            <w:pPr>
              <w:pStyle w:val="Compact"/>
            </w:pPr>
            <w:r>
              <w:rPr>
                <w:rStyle w:val="VerbatimChar"/>
              </w:rPr>
              <w:t>E55_Type</w:t>
            </w:r>
          </w:p>
        </w:tc>
      </w:tr>
      <w:tr w:rsidR="00201C99" w14:paraId="6BF4D09F" w14:textId="77777777">
        <w:tc>
          <w:tcPr>
            <w:tcW w:w="800" w:type="dxa"/>
          </w:tcPr>
          <w:p w14:paraId="4441B423" w14:textId="77777777" w:rsidR="00201C99" w:rsidRDefault="00201C99">
            <w:pPr>
              <w:pStyle w:val="Compact"/>
            </w:pPr>
            <w:r>
              <w:lastRenderedPageBreak/>
              <w:t>P24</w:t>
            </w:r>
          </w:p>
        </w:tc>
        <w:tc>
          <w:tcPr>
            <w:tcW w:w="4508" w:type="dxa"/>
            <w:gridSpan w:val="6"/>
          </w:tcPr>
          <w:p w14:paraId="27A8730A" w14:textId="77777777" w:rsidR="00201C99" w:rsidRDefault="00201C99">
            <w:pPr>
              <w:pStyle w:val="Compact"/>
            </w:pPr>
            <w:r w:rsidRPr="6E5D7753">
              <w:rPr>
                <w:rStyle w:val="VerbatimChar"/>
                <w:lang w:val="fr-FR"/>
              </w:rPr>
              <w:t>P24_a_transféré_le_titre_de_propriété_de (a_changé_de_propriétaire_par)</w:t>
            </w:r>
          </w:p>
        </w:tc>
        <w:tc>
          <w:tcPr>
            <w:tcW w:w="2620" w:type="dxa"/>
          </w:tcPr>
          <w:p w14:paraId="045215B0" w14:textId="77777777" w:rsidR="00201C99" w:rsidRDefault="00201C99">
            <w:pPr>
              <w:pStyle w:val="Compact"/>
            </w:pPr>
            <w:r>
              <w:rPr>
                <w:rStyle w:val="VerbatimChar"/>
              </w:rPr>
              <w:t>E8_Acquisition</w:t>
            </w:r>
          </w:p>
        </w:tc>
        <w:tc>
          <w:tcPr>
            <w:tcW w:w="2268" w:type="dxa"/>
          </w:tcPr>
          <w:p w14:paraId="5C16A640" w14:textId="77777777" w:rsidR="00201C99" w:rsidRDefault="00201C99">
            <w:pPr>
              <w:pStyle w:val="Compact"/>
            </w:pPr>
            <w:r>
              <w:rPr>
                <w:rStyle w:val="VerbatimChar"/>
              </w:rPr>
              <w:t>E18_Chose_matérielle</w:t>
            </w:r>
          </w:p>
        </w:tc>
      </w:tr>
      <w:tr w:rsidR="00201C99" w14:paraId="7160E967" w14:textId="77777777">
        <w:tc>
          <w:tcPr>
            <w:tcW w:w="800" w:type="dxa"/>
          </w:tcPr>
          <w:p w14:paraId="29F448C4" w14:textId="77777777" w:rsidR="00201C99" w:rsidRDefault="00201C99">
            <w:pPr>
              <w:pStyle w:val="Compact"/>
            </w:pPr>
            <w:r>
              <w:t>P26</w:t>
            </w:r>
          </w:p>
        </w:tc>
        <w:tc>
          <w:tcPr>
            <w:tcW w:w="4508" w:type="dxa"/>
            <w:gridSpan w:val="6"/>
          </w:tcPr>
          <w:p w14:paraId="1B985B5A" w14:textId="77777777" w:rsidR="00201C99" w:rsidRDefault="00201C99">
            <w:pPr>
              <w:pStyle w:val="Compact"/>
            </w:pPr>
            <w:r w:rsidRPr="6E5D7753">
              <w:rPr>
                <w:rStyle w:val="VerbatimChar"/>
                <w:lang w:val="fr-FR"/>
              </w:rPr>
              <w:t>P26_a_déplacé_à (a_été_la_destination_de)</w:t>
            </w:r>
          </w:p>
        </w:tc>
        <w:tc>
          <w:tcPr>
            <w:tcW w:w="2620" w:type="dxa"/>
          </w:tcPr>
          <w:p w14:paraId="3EF53E7F" w14:textId="77777777" w:rsidR="00201C99" w:rsidRDefault="00201C99">
            <w:pPr>
              <w:pStyle w:val="Compact"/>
            </w:pPr>
            <w:r>
              <w:rPr>
                <w:rStyle w:val="VerbatimChar"/>
              </w:rPr>
              <w:t>E9_Déplacement</w:t>
            </w:r>
          </w:p>
        </w:tc>
        <w:tc>
          <w:tcPr>
            <w:tcW w:w="2268" w:type="dxa"/>
          </w:tcPr>
          <w:p w14:paraId="616B6DD2" w14:textId="77777777" w:rsidR="00201C99" w:rsidRDefault="00201C99">
            <w:pPr>
              <w:pStyle w:val="Compact"/>
            </w:pPr>
            <w:r>
              <w:rPr>
                <w:rStyle w:val="VerbatimChar"/>
              </w:rPr>
              <w:t>E53_Lieu</w:t>
            </w:r>
          </w:p>
        </w:tc>
      </w:tr>
      <w:tr w:rsidR="00201C99" w14:paraId="344C2BE9" w14:textId="77777777">
        <w:tc>
          <w:tcPr>
            <w:tcW w:w="800" w:type="dxa"/>
          </w:tcPr>
          <w:p w14:paraId="2DE705A3" w14:textId="77777777" w:rsidR="00201C99" w:rsidRDefault="00201C99">
            <w:pPr>
              <w:pStyle w:val="Compact"/>
            </w:pPr>
            <w:r>
              <w:t>P27</w:t>
            </w:r>
          </w:p>
        </w:tc>
        <w:tc>
          <w:tcPr>
            <w:tcW w:w="4508" w:type="dxa"/>
            <w:gridSpan w:val="6"/>
          </w:tcPr>
          <w:p w14:paraId="12D00360" w14:textId="77777777" w:rsidR="00201C99" w:rsidRDefault="00201C99">
            <w:pPr>
              <w:pStyle w:val="Compact"/>
            </w:pPr>
            <w:r w:rsidRPr="6E5D7753">
              <w:rPr>
                <w:rStyle w:val="VerbatimChar"/>
                <w:lang w:val="fr-FR"/>
              </w:rPr>
              <w:t>P27_a_déplacé_depuis (a_été_le_point_de_départ_de)</w:t>
            </w:r>
          </w:p>
        </w:tc>
        <w:tc>
          <w:tcPr>
            <w:tcW w:w="2620" w:type="dxa"/>
          </w:tcPr>
          <w:p w14:paraId="511E4673" w14:textId="77777777" w:rsidR="00201C99" w:rsidRDefault="00201C99">
            <w:pPr>
              <w:pStyle w:val="Compact"/>
            </w:pPr>
            <w:r>
              <w:rPr>
                <w:rStyle w:val="VerbatimChar"/>
              </w:rPr>
              <w:t>E9_Déplacement</w:t>
            </w:r>
          </w:p>
        </w:tc>
        <w:tc>
          <w:tcPr>
            <w:tcW w:w="2268" w:type="dxa"/>
          </w:tcPr>
          <w:p w14:paraId="11819C0C" w14:textId="77777777" w:rsidR="00201C99" w:rsidRDefault="00201C99">
            <w:pPr>
              <w:pStyle w:val="Compact"/>
            </w:pPr>
            <w:r>
              <w:rPr>
                <w:rStyle w:val="VerbatimChar"/>
              </w:rPr>
              <w:t>E53_Lieu</w:t>
            </w:r>
          </w:p>
        </w:tc>
      </w:tr>
      <w:tr w:rsidR="00201C99" w14:paraId="21EED4E7" w14:textId="77777777">
        <w:tc>
          <w:tcPr>
            <w:tcW w:w="800" w:type="dxa"/>
          </w:tcPr>
          <w:p w14:paraId="693D6248" w14:textId="77777777" w:rsidR="00201C99" w:rsidRDefault="00201C99">
            <w:pPr>
              <w:pStyle w:val="Compact"/>
            </w:pPr>
            <w:r>
              <w:t>P30</w:t>
            </w:r>
          </w:p>
        </w:tc>
        <w:tc>
          <w:tcPr>
            <w:tcW w:w="4508" w:type="dxa"/>
            <w:gridSpan w:val="6"/>
          </w:tcPr>
          <w:p w14:paraId="72F05FC9" w14:textId="77777777" w:rsidR="00201C99" w:rsidRDefault="00201C99">
            <w:pPr>
              <w:pStyle w:val="Compact"/>
            </w:pPr>
            <w:r w:rsidRPr="6E5D7753">
              <w:rPr>
                <w:rStyle w:val="VerbatimChar"/>
                <w:lang w:val="fr-FR"/>
              </w:rPr>
              <w:t>P30_a_transféré_la_garde_de (a_été_l’objet_d’un_transfert_de_garde_par)</w:t>
            </w:r>
          </w:p>
        </w:tc>
        <w:tc>
          <w:tcPr>
            <w:tcW w:w="2620" w:type="dxa"/>
          </w:tcPr>
          <w:p w14:paraId="0A9796FC" w14:textId="77777777" w:rsidR="00201C99" w:rsidRDefault="00201C99">
            <w:pPr>
              <w:pStyle w:val="Compact"/>
            </w:pPr>
            <w:r>
              <w:rPr>
                <w:rStyle w:val="VerbatimChar"/>
              </w:rPr>
              <w:t>E10_Transfert_de_la_garde</w:t>
            </w:r>
          </w:p>
        </w:tc>
        <w:tc>
          <w:tcPr>
            <w:tcW w:w="2268" w:type="dxa"/>
          </w:tcPr>
          <w:p w14:paraId="748809DA" w14:textId="77777777" w:rsidR="00201C99" w:rsidRDefault="00201C99">
            <w:pPr>
              <w:pStyle w:val="Compact"/>
            </w:pPr>
            <w:r>
              <w:rPr>
                <w:rStyle w:val="VerbatimChar"/>
              </w:rPr>
              <w:t>E18_Chose_matérielle</w:t>
            </w:r>
          </w:p>
        </w:tc>
      </w:tr>
      <w:tr w:rsidR="00201C99" w14:paraId="40D580C5" w14:textId="77777777">
        <w:tc>
          <w:tcPr>
            <w:tcW w:w="800" w:type="dxa"/>
          </w:tcPr>
          <w:p w14:paraId="626A5A30" w14:textId="77777777" w:rsidR="00201C99" w:rsidRDefault="00201C99">
            <w:pPr>
              <w:pStyle w:val="Compact"/>
            </w:pPr>
            <w:r>
              <w:t>P43</w:t>
            </w:r>
          </w:p>
        </w:tc>
        <w:tc>
          <w:tcPr>
            <w:tcW w:w="4508" w:type="dxa"/>
            <w:gridSpan w:val="6"/>
          </w:tcPr>
          <w:p w14:paraId="2512CD17" w14:textId="77777777" w:rsidR="00201C99" w:rsidRDefault="00201C99">
            <w:pPr>
              <w:pStyle w:val="Compact"/>
            </w:pPr>
            <w:r w:rsidRPr="6E5D7753">
              <w:rPr>
                <w:rStyle w:val="VerbatimChar"/>
                <w:lang w:val="fr-FR"/>
              </w:rPr>
              <w:t>P43_a_pour_dimension (est_la_dimension_de)</w:t>
            </w:r>
          </w:p>
        </w:tc>
        <w:tc>
          <w:tcPr>
            <w:tcW w:w="2620" w:type="dxa"/>
          </w:tcPr>
          <w:p w14:paraId="5D52A32D" w14:textId="77777777" w:rsidR="00201C99" w:rsidRDefault="00201C99">
            <w:pPr>
              <w:pStyle w:val="Compact"/>
            </w:pPr>
            <w:r>
              <w:rPr>
                <w:rStyle w:val="VerbatimChar"/>
              </w:rPr>
              <w:t>E70_Chose</w:t>
            </w:r>
          </w:p>
        </w:tc>
        <w:tc>
          <w:tcPr>
            <w:tcW w:w="2268" w:type="dxa"/>
          </w:tcPr>
          <w:p w14:paraId="464ADB8D" w14:textId="77777777" w:rsidR="00201C99" w:rsidRDefault="00201C99">
            <w:pPr>
              <w:pStyle w:val="Compact"/>
            </w:pPr>
            <w:r>
              <w:rPr>
                <w:rStyle w:val="VerbatimChar"/>
              </w:rPr>
              <w:t>E54_Dimension</w:t>
            </w:r>
          </w:p>
        </w:tc>
      </w:tr>
      <w:tr w:rsidR="00201C99" w14:paraId="09C81D6C" w14:textId="77777777">
        <w:tc>
          <w:tcPr>
            <w:tcW w:w="800" w:type="dxa"/>
          </w:tcPr>
          <w:p w14:paraId="59B9E985" w14:textId="77777777" w:rsidR="00201C99" w:rsidRDefault="00201C99">
            <w:pPr>
              <w:pStyle w:val="Compact"/>
            </w:pPr>
            <w:r>
              <w:t>P44</w:t>
            </w:r>
          </w:p>
        </w:tc>
        <w:tc>
          <w:tcPr>
            <w:tcW w:w="4508" w:type="dxa"/>
            <w:gridSpan w:val="6"/>
          </w:tcPr>
          <w:p w14:paraId="4C4078FE" w14:textId="77777777" w:rsidR="00201C99" w:rsidRDefault="00201C99">
            <w:pPr>
              <w:pStyle w:val="Compact"/>
            </w:pPr>
            <w:r w:rsidRPr="6E5D7753">
              <w:rPr>
                <w:rStyle w:val="VerbatimChar"/>
                <w:lang w:val="fr-FR"/>
              </w:rPr>
              <w:t>P44_a_pour_état_matériel (est_l’état_matériel_de)</w:t>
            </w:r>
          </w:p>
        </w:tc>
        <w:tc>
          <w:tcPr>
            <w:tcW w:w="2620" w:type="dxa"/>
          </w:tcPr>
          <w:p w14:paraId="606E94C5" w14:textId="77777777" w:rsidR="00201C99" w:rsidRDefault="00201C99">
            <w:pPr>
              <w:pStyle w:val="Compact"/>
            </w:pPr>
            <w:r>
              <w:rPr>
                <w:rStyle w:val="VerbatimChar"/>
              </w:rPr>
              <w:t>E18_Chose_matérielle</w:t>
            </w:r>
          </w:p>
        </w:tc>
        <w:tc>
          <w:tcPr>
            <w:tcW w:w="2268" w:type="dxa"/>
          </w:tcPr>
          <w:p w14:paraId="0D4E2402" w14:textId="77777777" w:rsidR="00201C99" w:rsidRDefault="00201C99">
            <w:pPr>
              <w:pStyle w:val="Compact"/>
            </w:pPr>
            <w:r>
              <w:rPr>
                <w:rStyle w:val="VerbatimChar"/>
              </w:rPr>
              <w:t>E3_État_matériel</w:t>
            </w:r>
          </w:p>
        </w:tc>
      </w:tr>
      <w:tr w:rsidR="00201C99" w14:paraId="12E6FEA4" w14:textId="77777777">
        <w:tc>
          <w:tcPr>
            <w:tcW w:w="800" w:type="dxa"/>
          </w:tcPr>
          <w:p w14:paraId="5D1D70A7" w14:textId="77777777" w:rsidR="00201C99" w:rsidRDefault="00201C99">
            <w:pPr>
              <w:pStyle w:val="Compact"/>
            </w:pPr>
            <w:r>
              <w:t>P45</w:t>
            </w:r>
          </w:p>
        </w:tc>
        <w:tc>
          <w:tcPr>
            <w:tcW w:w="4508" w:type="dxa"/>
            <w:gridSpan w:val="6"/>
          </w:tcPr>
          <w:p w14:paraId="4D77AE41" w14:textId="77777777" w:rsidR="00201C99" w:rsidRDefault="00201C99">
            <w:pPr>
              <w:pStyle w:val="Compact"/>
            </w:pPr>
            <w:r w:rsidRPr="6E5D7753">
              <w:rPr>
                <w:rStyle w:val="VerbatimChar"/>
                <w:lang w:val="fr-FR"/>
              </w:rPr>
              <w:t>P45_comprend (est_inclus_dans)</w:t>
            </w:r>
          </w:p>
        </w:tc>
        <w:tc>
          <w:tcPr>
            <w:tcW w:w="2620" w:type="dxa"/>
          </w:tcPr>
          <w:p w14:paraId="0364C98F" w14:textId="77777777" w:rsidR="00201C99" w:rsidRDefault="00201C99">
            <w:pPr>
              <w:pStyle w:val="Compact"/>
            </w:pPr>
            <w:r>
              <w:rPr>
                <w:rStyle w:val="VerbatimChar"/>
              </w:rPr>
              <w:t>E18_Chose_matérielle</w:t>
            </w:r>
          </w:p>
        </w:tc>
        <w:tc>
          <w:tcPr>
            <w:tcW w:w="2268" w:type="dxa"/>
          </w:tcPr>
          <w:p w14:paraId="4C953389" w14:textId="77777777" w:rsidR="00201C99" w:rsidRDefault="00201C99">
            <w:pPr>
              <w:pStyle w:val="Compact"/>
            </w:pPr>
            <w:r>
              <w:rPr>
                <w:rStyle w:val="VerbatimChar"/>
              </w:rPr>
              <w:t>E57_Matériau</w:t>
            </w:r>
          </w:p>
        </w:tc>
      </w:tr>
      <w:tr w:rsidR="00201C99" w14:paraId="4B6CB3FF" w14:textId="77777777">
        <w:tc>
          <w:tcPr>
            <w:tcW w:w="800" w:type="dxa"/>
          </w:tcPr>
          <w:p w14:paraId="42C39452" w14:textId="77777777" w:rsidR="00201C99" w:rsidRDefault="00201C99">
            <w:pPr>
              <w:pStyle w:val="Compact"/>
            </w:pPr>
            <w:r>
              <w:t>P49</w:t>
            </w:r>
          </w:p>
        </w:tc>
        <w:tc>
          <w:tcPr>
            <w:tcW w:w="4508" w:type="dxa"/>
            <w:gridSpan w:val="6"/>
          </w:tcPr>
          <w:p w14:paraId="641DF736" w14:textId="77777777" w:rsidR="00201C99" w:rsidRDefault="00201C99">
            <w:pPr>
              <w:pStyle w:val="Compact"/>
            </w:pPr>
            <w:r w:rsidRPr="6E5D7753">
              <w:rPr>
                <w:rStyle w:val="VerbatimChar"/>
                <w:lang w:val="fr-FR"/>
              </w:rPr>
              <w:t>P49_a_pour_actant_détenteur_actuel_ou_antérieur (est_l’actant_détenteur_actuel_ou_antérieur_de)</w:t>
            </w:r>
          </w:p>
        </w:tc>
        <w:tc>
          <w:tcPr>
            <w:tcW w:w="2620" w:type="dxa"/>
          </w:tcPr>
          <w:p w14:paraId="6CA1C242" w14:textId="77777777" w:rsidR="00201C99" w:rsidRDefault="00201C99">
            <w:pPr>
              <w:pStyle w:val="Compact"/>
            </w:pPr>
            <w:r>
              <w:rPr>
                <w:rStyle w:val="VerbatimChar"/>
              </w:rPr>
              <w:t>E18_Chose_matérielle</w:t>
            </w:r>
          </w:p>
        </w:tc>
        <w:tc>
          <w:tcPr>
            <w:tcW w:w="2268" w:type="dxa"/>
          </w:tcPr>
          <w:p w14:paraId="14A6508B" w14:textId="77777777" w:rsidR="00201C99" w:rsidRDefault="00201C99">
            <w:pPr>
              <w:pStyle w:val="Compact"/>
            </w:pPr>
            <w:r>
              <w:rPr>
                <w:rStyle w:val="VerbatimChar"/>
              </w:rPr>
              <w:t>E39_Actant</w:t>
            </w:r>
          </w:p>
        </w:tc>
      </w:tr>
      <w:tr w:rsidR="00201C99" w14:paraId="7595E953" w14:textId="77777777">
        <w:tc>
          <w:tcPr>
            <w:tcW w:w="800" w:type="dxa"/>
          </w:tcPr>
          <w:p w14:paraId="24420CC3" w14:textId="77777777" w:rsidR="00201C99" w:rsidRDefault="00201C99">
            <w:pPr>
              <w:pStyle w:val="Compact"/>
            </w:pPr>
            <w:r>
              <w:t>P50</w:t>
            </w:r>
          </w:p>
        </w:tc>
        <w:tc>
          <w:tcPr>
            <w:tcW w:w="256" w:type="dxa"/>
          </w:tcPr>
          <w:p w14:paraId="14F0677D" w14:textId="77777777" w:rsidR="00201C99" w:rsidRDefault="00201C99">
            <w:pPr>
              <w:pStyle w:val="Compact"/>
            </w:pPr>
            <w:r>
              <w:t>-</w:t>
            </w:r>
          </w:p>
        </w:tc>
        <w:tc>
          <w:tcPr>
            <w:tcW w:w="4252" w:type="dxa"/>
            <w:gridSpan w:val="5"/>
          </w:tcPr>
          <w:p w14:paraId="65BEE74C" w14:textId="77777777" w:rsidR="00201C99" w:rsidRDefault="00201C99">
            <w:pPr>
              <w:pStyle w:val="Compact"/>
            </w:pPr>
            <w:r w:rsidRPr="6E5D7753">
              <w:rPr>
                <w:rStyle w:val="VerbatimChar"/>
                <w:lang w:val="fr-FR"/>
              </w:rPr>
              <w:t>P50_a_pour_actant_détenteur_actuel (est_l’actant_détenteur_actuel_de)</w:t>
            </w:r>
          </w:p>
        </w:tc>
        <w:tc>
          <w:tcPr>
            <w:tcW w:w="2620" w:type="dxa"/>
          </w:tcPr>
          <w:p w14:paraId="67BC33FC" w14:textId="77777777" w:rsidR="00201C99" w:rsidRDefault="00201C99">
            <w:pPr>
              <w:pStyle w:val="Compact"/>
            </w:pPr>
            <w:r>
              <w:rPr>
                <w:rStyle w:val="VerbatimChar"/>
              </w:rPr>
              <w:t>E18_Chose_matérielle</w:t>
            </w:r>
          </w:p>
        </w:tc>
        <w:tc>
          <w:tcPr>
            <w:tcW w:w="2268" w:type="dxa"/>
          </w:tcPr>
          <w:p w14:paraId="3A234189" w14:textId="77777777" w:rsidR="00201C99" w:rsidRDefault="00201C99">
            <w:pPr>
              <w:pStyle w:val="Compact"/>
            </w:pPr>
            <w:r>
              <w:rPr>
                <w:rStyle w:val="VerbatimChar"/>
              </w:rPr>
              <w:t>E39_Actant</w:t>
            </w:r>
          </w:p>
        </w:tc>
      </w:tr>
      <w:tr w:rsidR="00201C99" w14:paraId="1FA0285B" w14:textId="77777777">
        <w:tc>
          <w:tcPr>
            <w:tcW w:w="800" w:type="dxa"/>
          </w:tcPr>
          <w:p w14:paraId="13251D13" w14:textId="77777777" w:rsidR="00201C99" w:rsidRDefault="00201C99">
            <w:pPr>
              <w:pStyle w:val="Compact"/>
            </w:pPr>
            <w:r>
              <w:t>P109</w:t>
            </w:r>
          </w:p>
        </w:tc>
        <w:tc>
          <w:tcPr>
            <w:tcW w:w="256" w:type="dxa"/>
          </w:tcPr>
          <w:p w14:paraId="11D92890" w14:textId="77777777" w:rsidR="00201C99" w:rsidRDefault="00201C99">
            <w:pPr>
              <w:pStyle w:val="Compact"/>
            </w:pPr>
            <w:r>
              <w:t>-</w:t>
            </w:r>
          </w:p>
        </w:tc>
        <w:tc>
          <w:tcPr>
            <w:tcW w:w="4252" w:type="dxa"/>
            <w:gridSpan w:val="5"/>
          </w:tcPr>
          <w:p w14:paraId="52F5DACD" w14:textId="77777777" w:rsidR="00201C99" w:rsidRDefault="00201C99">
            <w:pPr>
              <w:pStyle w:val="Compact"/>
            </w:pPr>
            <w:r w:rsidRPr="6E5D7753">
              <w:rPr>
                <w:rStyle w:val="VerbatimChar"/>
                <w:lang w:val="fr-FR"/>
              </w:rPr>
              <w:t>P109_a_pour_responsable_actuel_ou_antérieur_de_la_collection (est_responsable_actuel_ou_antérieur_de_la_collection)</w:t>
            </w:r>
          </w:p>
        </w:tc>
        <w:tc>
          <w:tcPr>
            <w:tcW w:w="2620" w:type="dxa"/>
          </w:tcPr>
          <w:p w14:paraId="3CD7D70B" w14:textId="77777777" w:rsidR="00201C99" w:rsidRDefault="00201C99">
            <w:pPr>
              <w:pStyle w:val="Compact"/>
            </w:pPr>
            <w:r>
              <w:rPr>
                <w:rStyle w:val="VerbatimChar"/>
              </w:rPr>
              <w:t>E78_Collection</w:t>
            </w:r>
          </w:p>
        </w:tc>
        <w:tc>
          <w:tcPr>
            <w:tcW w:w="2268" w:type="dxa"/>
          </w:tcPr>
          <w:p w14:paraId="3F61A267" w14:textId="77777777" w:rsidR="00201C99" w:rsidRDefault="00201C99">
            <w:pPr>
              <w:pStyle w:val="Compact"/>
            </w:pPr>
            <w:r>
              <w:rPr>
                <w:rStyle w:val="VerbatimChar"/>
              </w:rPr>
              <w:t>E39_Actant</w:t>
            </w:r>
          </w:p>
        </w:tc>
      </w:tr>
      <w:tr w:rsidR="00201C99" w14:paraId="3286D6BF" w14:textId="77777777">
        <w:tc>
          <w:tcPr>
            <w:tcW w:w="800" w:type="dxa"/>
          </w:tcPr>
          <w:p w14:paraId="5E38E3DA" w14:textId="77777777" w:rsidR="00201C99" w:rsidRDefault="00201C99">
            <w:pPr>
              <w:pStyle w:val="Compact"/>
            </w:pPr>
            <w:r>
              <w:t>P51</w:t>
            </w:r>
          </w:p>
        </w:tc>
        <w:tc>
          <w:tcPr>
            <w:tcW w:w="4508" w:type="dxa"/>
            <w:gridSpan w:val="6"/>
          </w:tcPr>
          <w:p w14:paraId="478A1642" w14:textId="77777777" w:rsidR="00201C99" w:rsidRDefault="00201C99">
            <w:pPr>
              <w:pStyle w:val="Compact"/>
            </w:pPr>
            <w:r w:rsidRPr="6E5D7753">
              <w:rPr>
                <w:rStyle w:val="VerbatimChar"/>
                <w:lang w:val="fr-FR"/>
              </w:rPr>
              <w:t>P51_a_pour_propriétaire_actuel_ou_antérieur (est_l’actant_propriétaire_actuel_ou_antérieur_de)</w:t>
            </w:r>
          </w:p>
        </w:tc>
        <w:tc>
          <w:tcPr>
            <w:tcW w:w="2620" w:type="dxa"/>
          </w:tcPr>
          <w:p w14:paraId="1784C9AE" w14:textId="77777777" w:rsidR="00201C99" w:rsidRDefault="00201C99">
            <w:pPr>
              <w:pStyle w:val="Compact"/>
            </w:pPr>
            <w:r>
              <w:rPr>
                <w:rStyle w:val="VerbatimChar"/>
              </w:rPr>
              <w:t>E18_Chose_matérielle</w:t>
            </w:r>
          </w:p>
        </w:tc>
        <w:tc>
          <w:tcPr>
            <w:tcW w:w="2268" w:type="dxa"/>
          </w:tcPr>
          <w:p w14:paraId="5C39DAAC" w14:textId="77777777" w:rsidR="00201C99" w:rsidRDefault="00201C99">
            <w:pPr>
              <w:pStyle w:val="Compact"/>
            </w:pPr>
            <w:r>
              <w:rPr>
                <w:rStyle w:val="VerbatimChar"/>
              </w:rPr>
              <w:t>E39_Actant</w:t>
            </w:r>
          </w:p>
        </w:tc>
      </w:tr>
      <w:tr w:rsidR="00201C99" w14:paraId="6EF032A2" w14:textId="77777777">
        <w:tc>
          <w:tcPr>
            <w:tcW w:w="800" w:type="dxa"/>
          </w:tcPr>
          <w:p w14:paraId="79E92431" w14:textId="77777777" w:rsidR="00201C99" w:rsidRDefault="00201C99">
            <w:pPr>
              <w:pStyle w:val="Compact"/>
            </w:pPr>
            <w:r>
              <w:t>P52</w:t>
            </w:r>
          </w:p>
        </w:tc>
        <w:tc>
          <w:tcPr>
            <w:tcW w:w="256" w:type="dxa"/>
          </w:tcPr>
          <w:p w14:paraId="001E5E98" w14:textId="77777777" w:rsidR="00201C99" w:rsidRDefault="00201C99">
            <w:pPr>
              <w:pStyle w:val="Compact"/>
            </w:pPr>
            <w:r>
              <w:t>-</w:t>
            </w:r>
          </w:p>
        </w:tc>
        <w:tc>
          <w:tcPr>
            <w:tcW w:w="4252" w:type="dxa"/>
            <w:gridSpan w:val="5"/>
          </w:tcPr>
          <w:p w14:paraId="281FAB30" w14:textId="77777777" w:rsidR="00201C99" w:rsidRDefault="00201C99">
            <w:pPr>
              <w:pStyle w:val="Compact"/>
            </w:pPr>
            <w:r w:rsidRPr="6E5D7753">
              <w:rPr>
                <w:rStyle w:val="VerbatimChar"/>
                <w:lang w:val="fr-FR"/>
              </w:rPr>
              <w:t>P52_a_pour_propriétaire_actuel (est_l’actant_propriétaire_actuel_de)</w:t>
            </w:r>
          </w:p>
        </w:tc>
        <w:tc>
          <w:tcPr>
            <w:tcW w:w="2620" w:type="dxa"/>
          </w:tcPr>
          <w:p w14:paraId="61F70C3B" w14:textId="77777777" w:rsidR="00201C99" w:rsidRDefault="00201C99">
            <w:pPr>
              <w:pStyle w:val="Compact"/>
            </w:pPr>
            <w:r>
              <w:rPr>
                <w:rStyle w:val="VerbatimChar"/>
              </w:rPr>
              <w:t>E18_Chose_matérielle</w:t>
            </w:r>
          </w:p>
        </w:tc>
        <w:tc>
          <w:tcPr>
            <w:tcW w:w="2268" w:type="dxa"/>
          </w:tcPr>
          <w:p w14:paraId="5D9D19B6" w14:textId="77777777" w:rsidR="00201C99" w:rsidRDefault="00201C99">
            <w:pPr>
              <w:pStyle w:val="Compact"/>
            </w:pPr>
            <w:r>
              <w:rPr>
                <w:rStyle w:val="VerbatimChar"/>
              </w:rPr>
              <w:t>E39_Actant</w:t>
            </w:r>
          </w:p>
        </w:tc>
      </w:tr>
      <w:tr w:rsidR="00201C99" w14:paraId="6B111DEC" w14:textId="77777777">
        <w:tc>
          <w:tcPr>
            <w:tcW w:w="800" w:type="dxa"/>
          </w:tcPr>
          <w:p w14:paraId="0FD350B0" w14:textId="77777777" w:rsidR="00201C99" w:rsidRDefault="00201C99">
            <w:pPr>
              <w:pStyle w:val="Compact"/>
            </w:pPr>
            <w:r>
              <w:t>P53</w:t>
            </w:r>
          </w:p>
        </w:tc>
        <w:tc>
          <w:tcPr>
            <w:tcW w:w="4508" w:type="dxa"/>
            <w:gridSpan w:val="6"/>
          </w:tcPr>
          <w:p w14:paraId="38CB2FB4" w14:textId="77777777" w:rsidR="00201C99" w:rsidRDefault="00201C99">
            <w:pPr>
              <w:pStyle w:val="Compact"/>
            </w:pPr>
            <w:r w:rsidRPr="6E5D7753">
              <w:rPr>
                <w:rStyle w:val="VerbatimChar"/>
                <w:lang w:val="fr-FR"/>
              </w:rPr>
              <w:t>P53_a_pour_localisation_actuelle_ou_antérieure (est_la_localisation_actuelle_ou_antérieure_de)</w:t>
            </w:r>
          </w:p>
        </w:tc>
        <w:tc>
          <w:tcPr>
            <w:tcW w:w="2620" w:type="dxa"/>
          </w:tcPr>
          <w:p w14:paraId="65F1D5F8" w14:textId="77777777" w:rsidR="00201C99" w:rsidRDefault="00201C99">
            <w:pPr>
              <w:pStyle w:val="Compact"/>
            </w:pPr>
            <w:r>
              <w:rPr>
                <w:rStyle w:val="VerbatimChar"/>
              </w:rPr>
              <w:t>E18_Chose_matérielle</w:t>
            </w:r>
          </w:p>
        </w:tc>
        <w:tc>
          <w:tcPr>
            <w:tcW w:w="2268" w:type="dxa"/>
          </w:tcPr>
          <w:p w14:paraId="09AA732C" w14:textId="77777777" w:rsidR="00201C99" w:rsidRDefault="00201C99">
            <w:pPr>
              <w:pStyle w:val="Compact"/>
            </w:pPr>
            <w:r>
              <w:rPr>
                <w:rStyle w:val="VerbatimChar"/>
              </w:rPr>
              <w:t>E53_Lieu</w:t>
            </w:r>
          </w:p>
        </w:tc>
      </w:tr>
      <w:tr w:rsidR="00201C99" w14:paraId="1163186D" w14:textId="77777777">
        <w:tc>
          <w:tcPr>
            <w:tcW w:w="800" w:type="dxa"/>
          </w:tcPr>
          <w:p w14:paraId="0AB5D6C1" w14:textId="77777777" w:rsidR="00201C99" w:rsidRDefault="00201C99">
            <w:pPr>
              <w:pStyle w:val="Compact"/>
            </w:pPr>
            <w:r>
              <w:lastRenderedPageBreak/>
              <w:t>P55</w:t>
            </w:r>
          </w:p>
        </w:tc>
        <w:tc>
          <w:tcPr>
            <w:tcW w:w="256" w:type="dxa"/>
          </w:tcPr>
          <w:p w14:paraId="7CFC72DE" w14:textId="77777777" w:rsidR="00201C99" w:rsidRDefault="00201C99">
            <w:pPr>
              <w:pStyle w:val="Compact"/>
            </w:pPr>
            <w:r>
              <w:t>-</w:t>
            </w:r>
          </w:p>
        </w:tc>
        <w:tc>
          <w:tcPr>
            <w:tcW w:w="4252" w:type="dxa"/>
            <w:gridSpan w:val="5"/>
          </w:tcPr>
          <w:p w14:paraId="7BCF96CC" w14:textId="77777777" w:rsidR="00201C99" w:rsidRDefault="00201C99">
            <w:pPr>
              <w:pStyle w:val="Compact"/>
            </w:pPr>
            <w:r w:rsidRPr="6E5D7753">
              <w:rPr>
                <w:rStyle w:val="VerbatimChar"/>
                <w:lang w:val="fr-FR"/>
              </w:rPr>
              <w:t>P55_a_actuellement_pour_localisation (est_actuellement_la_localisation_de)</w:t>
            </w:r>
          </w:p>
        </w:tc>
        <w:tc>
          <w:tcPr>
            <w:tcW w:w="2620" w:type="dxa"/>
          </w:tcPr>
          <w:p w14:paraId="65D8FC87" w14:textId="77777777" w:rsidR="00201C99" w:rsidRDefault="00201C99">
            <w:pPr>
              <w:pStyle w:val="Compact"/>
            </w:pPr>
            <w:r>
              <w:rPr>
                <w:rStyle w:val="VerbatimChar"/>
              </w:rPr>
              <w:t>E19_Objet_matériel</w:t>
            </w:r>
          </w:p>
        </w:tc>
        <w:tc>
          <w:tcPr>
            <w:tcW w:w="2268" w:type="dxa"/>
          </w:tcPr>
          <w:p w14:paraId="505CC0F3" w14:textId="77777777" w:rsidR="00201C99" w:rsidRDefault="00201C99">
            <w:pPr>
              <w:pStyle w:val="Compact"/>
            </w:pPr>
            <w:r>
              <w:rPr>
                <w:rStyle w:val="VerbatimChar"/>
              </w:rPr>
              <w:t>E53_Lieu</w:t>
            </w:r>
          </w:p>
        </w:tc>
      </w:tr>
      <w:tr w:rsidR="00201C99" w14:paraId="16AAA2ED" w14:textId="77777777">
        <w:tc>
          <w:tcPr>
            <w:tcW w:w="800" w:type="dxa"/>
          </w:tcPr>
          <w:p w14:paraId="21ACC186" w14:textId="77777777" w:rsidR="00201C99" w:rsidRDefault="00201C99">
            <w:pPr>
              <w:pStyle w:val="Compact"/>
            </w:pPr>
            <w:r>
              <w:t>P156</w:t>
            </w:r>
          </w:p>
        </w:tc>
        <w:tc>
          <w:tcPr>
            <w:tcW w:w="256" w:type="dxa"/>
          </w:tcPr>
          <w:p w14:paraId="7B8906CB" w14:textId="77777777" w:rsidR="00201C99" w:rsidRDefault="00201C99">
            <w:pPr>
              <w:pStyle w:val="Compact"/>
            </w:pPr>
            <w:r>
              <w:t>-</w:t>
            </w:r>
          </w:p>
        </w:tc>
        <w:tc>
          <w:tcPr>
            <w:tcW w:w="4252" w:type="dxa"/>
            <w:gridSpan w:val="5"/>
          </w:tcPr>
          <w:p w14:paraId="52D6A723" w14:textId="77777777" w:rsidR="00201C99" w:rsidRDefault="00201C99">
            <w:pPr>
              <w:pStyle w:val="Compact"/>
            </w:pPr>
            <w:r w:rsidRPr="6E5D7753">
              <w:rPr>
                <w:rStyle w:val="VerbatimChar"/>
                <w:lang w:val="fr-FR"/>
              </w:rPr>
              <w:t>P156_occupe (est_occupé_par)</w:t>
            </w:r>
          </w:p>
        </w:tc>
        <w:tc>
          <w:tcPr>
            <w:tcW w:w="2620" w:type="dxa"/>
          </w:tcPr>
          <w:p w14:paraId="0FD6BA44" w14:textId="77777777" w:rsidR="00201C99" w:rsidRDefault="00201C99">
            <w:pPr>
              <w:pStyle w:val="Compact"/>
            </w:pPr>
            <w:r>
              <w:rPr>
                <w:rStyle w:val="VerbatimChar"/>
              </w:rPr>
              <w:t>E18_Chose_matérielle</w:t>
            </w:r>
          </w:p>
        </w:tc>
        <w:tc>
          <w:tcPr>
            <w:tcW w:w="2268" w:type="dxa"/>
          </w:tcPr>
          <w:p w14:paraId="3BB4804B" w14:textId="77777777" w:rsidR="00201C99" w:rsidRDefault="00201C99">
            <w:pPr>
              <w:pStyle w:val="Compact"/>
            </w:pPr>
            <w:r>
              <w:rPr>
                <w:rStyle w:val="VerbatimChar"/>
              </w:rPr>
              <w:t>E53_Lieu</w:t>
            </w:r>
          </w:p>
        </w:tc>
      </w:tr>
      <w:tr w:rsidR="00201C99" w14:paraId="164F4798" w14:textId="77777777">
        <w:tc>
          <w:tcPr>
            <w:tcW w:w="800" w:type="dxa"/>
          </w:tcPr>
          <w:p w14:paraId="2B39243B" w14:textId="77777777" w:rsidR="00201C99" w:rsidRDefault="00201C99">
            <w:pPr>
              <w:pStyle w:val="Compact"/>
            </w:pPr>
            <w:r>
              <w:t>P54</w:t>
            </w:r>
          </w:p>
        </w:tc>
        <w:tc>
          <w:tcPr>
            <w:tcW w:w="4508" w:type="dxa"/>
            <w:gridSpan w:val="6"/>
          </w:tcPr>
          <w:p w14:paraId="4A2FC5DF" w14:textId="77777777" w:rsidR="00201C99" w:rsidRDefault="00201C99">
            <w:pPr>
              <w:pStyle w:val="Compact"/>
            </w:pPr>
            <w:r w:rsidRPr="6E5D7753">
              <w:rPr>
                <w:rStyle w:val="VerbatimChar"/>
                <w:lang w:val="fr-FR"/>
              </w:rPr>
              <w:t>P54_a_actuellement_pour_localisation_fixe (est_actuellement_la_localisation_fixe_de)</w:t>
            </w:r>
          </w:p>
        </w:tc>
        <w:tc>
          <w:tcPr>
            <w:tcW w:w="2620" w:type="dxa"/>
          </w:tcPr>
          <w:p w14:paraId="25C6DF12" w14:textId="77777777" w:rsidR="00201C99" w:rsidRDefault="00201C99">
            <w:pPr>
              <w:pStyle w:val="Compact"/>
            </w:pPr>
            <w:r>
              <w:rPr>
                <w:rStyle w:val="VerbatimChar"/>
              </w:rPr>
              <w:t>E19_Objet_matériel</w:t>
            </w:r>
          </w:p>
        </w:tc>
        <w:tc>
          <w:tcPr>
            <w:tcW w:w="2268" w:type="dxa"/>
          </w:tcPr>
          <w:p w14:paraId="59686DF5" w14:textId="77777777" w:rsidR="00201C99" w:rsidRDefault="00201C99">
            <w:pPr>
              <w:pStyle w:val="Compact"/>
            </w:pPr>
            <w:r>
              <w:rPr>
                <w:rStyle w:val="VerbatimChar"/>
              </w:rPr>
              <w:t>E53_Lieu</w:t>
            </w:r>
          </w:p>
        </w:tc>
      </w:tr>
      <w:tr w:rsidR="00201C99" w14:paraId="1352E79D" w14:textId="77777777">
        <w:tc>
          <w:tcPr>
            <w:tcW w:w="800" w:type="dxa"/>
          </w:tcPr>
          <w:p w14:paraId="7A7A41CC" w14:textId="77777777" w:rsidR="00201C99" w:rsidRDefault="00201C99">
            <w:pPr>
              <w:pStyle w:val="Compact"/>
            </w:pPr>
            <w:r>
              <w:t>P57</w:t>
            </w:r>
          </w:p>
        </w:tc>
        <w:tc>
          <w:tcPr>
            <w:tcW w:w="4508" w:type="dxa"/>
            <w:gridSpan w:val="6"/>
          </w:tcPr>
          <w:p w14:paraId="3F3B1610" w14:textId="77777777" w:rsidR="00201C99" w:rsidRDefault="00201C99">
            <w:pPr>
              <w:pStyle w:val="Compact"/>
            </w:pPr>
            <w:r>
              <w:rPr>
                <w:rStyle w:val="VerbatimChar"/>
              </w:rPr>
              <w:t>P57_a_pour_nombre_d’éléments</w:t>
            </w:r>
          </w:p>
        </w:tc>
        <w:tc>
          <w:tcPr>
            <w:tcW w:w="2620" w:type="dxa"/>
          </w:tcPr>
          <w:p w14:paraId="58CA2D77" w14:textId="77777777" w:rsidR="00201C99" w:rsidRDefault="00201C99">
            <w:pPr>
              <w:pStyle w:val="Compact"/>
            </w:pPr>
            <w:r>
              <w:rPr>
                <w:rStyle w:val="VerbatimChar"/>
              </w:rPr>
              <w:t>E19_Objet_matériel</w:t>
            </w:r>
          </w:p>
        </w:tc>
        <w:tc>
          <w:tcPr>
            <w:tcW w:w="2268" w:type="dxa"/>
          </w:tcPr>
          <w:p w14:paraId="5F3F1D46" w14:textId="77777777" w:rsidR="00201C99" w:rsidRDefault="00201C99">
            <w:pPr>
              <w:pStyle w:val="Compact"/>
            </w:pPr>
            <w:r>
              <w:rPr>
                <w:rStyle w:val="VerbatimChar"/>
              </w:rPr>
              <w:t>E60_Nombre</w:t>
            </w:r>
          </w:p>
        </w:tc>
      </w:tr>
      <w:tr w:rsidR="00201C99" w14:paraId="371A479B" w14:textId="77777777">
        <w:tc>
          <w:tcPr>
            <w:tcW w:w="800" w:type="dxa"/>
          </w:tcPr>
          <w:p w14:paraId="6E8C3C10" w14:textId="77777777" w:rsidR="00201C99" w:rsidRDefault="00201C99">
            <w:pPr>
              <w:pStyle w:val="Compact"/>
            </w:pPr>
            <w:r>
              <w:t>P59</w:t>
            </w:r>
          </w:p>
        </w:tc>
        <w:tc>
          <w:tcPr>
            <w:tcW w:w="4508" w:type="dxa"/>
            <w:gridSpan w:val="6"/>
          </w:tcPr>
          <w:p w14:paraId="14E91D56" w14:textId="77777777" w:rsidR="00201C99" w:rsidRDefault="00201C99">
            <w:pPr>
              <w:pStyle w:val="Compact"/>
            </w:pPr>
            <w:r w:rsidRPr="6E5D7753">
              <w:rPr>
                <w:rStyle w:val="VerbatimChar"/>
                <w:lang w:val="fr-FR"/>
              </w:rPr>
              <w:t>P59_a_pour_section (se_situe_sur_ou_dans)</w:t>
            </w:r>
          </w:p>
        </w:tc>
        <w:tc>
          <w:tcPr>
            <w:tcW w:w="2620" w:type="dxa"/>
          </w:tcPr>
          <w:p w14:paraId="4E1738E5" w14:textId="77777777" w:rsidR="00201C99" w:rsidRDefault="00201C99">
            <w:pPr>
              <w:pStyle w:val="Compact"/>
            </w:pPr>
            <w:r>
              <w:rPr>
                <w:rStyle w:val="VerbatimChar"/>
              </w:rPr>
              <w:t>E18_Chose_matérielle</w:t>
            </w:r>
          </w:p>
        </w:tc>
        <w:tc>
          <w:tcPr>
            <w:tcW w:w="2268" w:type="dxa"/>
          </w:tcPr>
          <w:p w14:paraId="6BEE7C0F" w14:textId="77777777" w:rsidR="00201C99" w:rsidRDefault="00201C99">
            <w:pPr>
              <w:pStyle w:val="Compact"/>
            </w:pPr>
            <w:r>
              <w:rPr>
                <w:rStyle w:val="VerbatimChar"/>
              </w:rPr>
              <w:t>E53_Lieu</w:t>
            </w:r>
          </w:p>
        </w:tc>
      </w:tr>
      <w:tr w:rsidR="00201C99" w14:paraId="43D63CE7" w14:textId="77777777">
        <w:tc>
          <w:tcPr>
            <w:tcW w:w="800" w:type="dxa"/>
          </w:tcPr>
          <w:p w14:paraId="0639DE67" w14:textId="77777777" w:rsidR="00201C99" w:rsidRDefault="00201C99">
            <w:pPr>
              <w:pStyle w:val="Compact"/>
            </w:pPr>
            <w:r>
              <w:t>P62</w:t>
            </w:r>
          </w:p>
        </w:tc>
        <w:tc>
          <w:tcPr>
            <w:tcW w:w="4508" w:type="dxa"/>
            <w:gridSpan w:val="6"/>
          </w:tcPr>
          <w:p w14:paraId="7515C7C4" w14:textId="77777777" w:rsidR="00201C99" w:rsidRDefault="00201C99">
            <w:pPr>
              <w:pStyle w:val="Compact"/>
            </w:pPr>
            <w:r w:rsidRPr="6E5D7753">
              <w:rPr>
                <w:rStyle w:val="VerbatimChar"/>
                <w:lang w:val="fr-FR"/>
              </w:rPr>
              <w:t>P62_illustre (est_illustré_par)</w:t>
            </w:r>
          </w:p>
        </w:tc>
        <w:tc>
          <w:tcPr>
            <w:tcW w:w="2620" w:type="dxa"/>
          </w:tcPr>
          <w:p w14:paraId="5F9DACCD" w14:textId="77777777" w:rsidR="00201C99" w:rsidRDefault="00201C99">
            <w:pPr>
              <w:pStyle w:val="Compact"/>
            </w:pPr>
            <w:r>
              <w:rPr>
                <w:rStyle w:val="VerbatimChar"/>
              </w:rPr>
              <w:t>E24_Chose_matérielle_élaborée_par_l’humain</w:t>
            </w:r>
          </w:p>
        </w:tc>
        <w:tc>
          <w:tcPr>
            <w:tcW w:w="2268" w:type="dxa"/>
          </w:tcPr>
          <w:p w14:paraId="3EFB2564" w14:textId="77777777" w:rsidR="00201C99" w:rsidRDefault="00201C99">
            <w:pPr>
              <w:pStyle w:val="Compact"/>
            </w:pPr>
            <w:r>
              <w:rPr>
                <w:rStyle w:val="VerbatimChar"/>
              </w:rPr>
              <w:t>E1_Entité_CRM</w:t>
            </w:r>
          </w:p>
        </w:tc>
      </w:tr>
      <w:tr w:rsidR="00201C99" w14:paraId="127F9DC9" w14:textId="77777777">
        <w:tc>
          <w:tcPr>
            <w:tcW w:w="800" w:type="dxa"/>
          </w:tcPr>
          <w:p w14:paraId="0CEB4004" w14:textId="77777777" w:rsidR="00201C99" w:rsidRDefault="00201C99">
            <w:pPr>
              <w:pStyle w:val="Compact"/>
            </w:pPr>
            <w:r>
              <w:t>P67</w:t>
            </w:r>
          </w:p>
        </w:tc>
        <w:tc>
          <w:tcPr>
            <w:tcW w:w="4508" w:type="dxa"/>
            <w:gridSpan w:val="6"/>
          </w:tcPr>
          <w:p w14:paraId="3803819E" w14:textId="77777777" w:rsidR="00201C99" w:rsidRDefault="00201C99">
            <w:pPr>
              <w:pStyle w:val="Compact"/>
            </w:pPr>
            <w:r w:rsidRPr="6E5D7753">
              <w:rPr>
                <w:rStyle w:val="VerbatimChar"/>
                <w:lang w:val="fr-FR"/>
              </w:rPr>
              <w:t>P67_renvoie_à (fait_l’objet_d’un_renvoi_par)</w:t>
            </w:r>
          </w:p>
        </w:tc>
        <w:tc>
          <w:tcPr>
            <w:tcW w:w="2620" w:type="dxa"/>
          </w:tcPr>
          <w:p w14:paraId="79904BA8" w14:textId="77777777" w:rsidR="00201C99" w:rsidRDefault="00201C99">
            <w:pPr>
              <w:pStyle w:val="Compact"/>
            </w:pPr>
            <w:r>
              <w:rPr>
                <w:rStyle w:val="VerbatimChar"/>
              </w:rPr>
              <w:t>E89_Objet_propositionnel</w:t>
            </w:r>
          </w:p>
        </w:tc>
        <w:tc>
          <w:tcPr>
            <w:tcW w:w="2268" w:type="dxa"/>
          </w:tcPr>
          <w:p w14:paraId="2FB37441" w14:textId="77777777" w:rsidR="00201C99" w:rsidRDefault="00201C99">
            <w:pPr>
              <w:pStyle w:val="Compact"/>
            </w:pPr>
            <w:r>
              <w:rPr>
                <w:rStyle w:val="VerbatimChar"/>
              </w:rPr>
              <w:t>E1_Entité_CRM</w:t>
            </w:r>
          </w:p>
        </w:tc>
      </w:tr>
      <w:tr w:rsidR="00201C99" w14:paraId="31C55969" w14:textId="77777777">
        <w:tc>
          <w:tcPr>
            <w:tcW w:w="800" w:type="dxa"/>
          </w:tcPr>
          <w:p w14:paraId="44D4D607" w14:textId="77777777" w:rsidR="00201C99" w:rsidRDefault="00201C99">
            <w:pPr>
              <w:pStyle w:val="Compact"/>
            </w:pPr>
            <w:r>
              <w:t>P68</w:t>
            </w:r>
          </w:p>
        </w:tc>
        <w:tc>
          <w:tcPr>
            <w:tcW w:w="256" w:type="dxa"/>
          </w:tcPr>
          <w:p w14:paraId="34239240" w14:textId="77777777" w:rsidR="00201C99" w:rsidRDefault="00201C99">
            <w:pPr>
              <w:pStyle w:val="Compact"/>
            </w:pPr>
            <w:r>
              <w:t>-</w:t>
            </w:r>
          </w:p>
        </w:tc>
        <w:tc>
          <w:tcPr>
            <w:tcW w:w="4252" w:type="dxa"/>
            <w:gridSpan w:val="5"/>
          </w:tcPr>
          <w:p w14:paraId="53AE7492" w14:textId="77777777" w:rsidR="00201C99" w:rsidRDefault="00201C99">
            <w:pPr>
              <w:pStyle w:val="Compact"/>
            </w:pPr>
            <w:r w:rsidRPr="6E5D7753">
              <w:rPr>
                <w:rStyle w:val="VerbatimChar"/>
                <w:lang w:val="fr-FR"/>
              </w:rPr>
              <w:t>P68_prévoit_l’usage_de (usage_prévu_de)</w:t>
            </w:r>
          </w:p>
        </w:tc>
        <w:tc>
          <w:tcPr>
            <w:tcW w:w="2620" w:type="dxa"/>
          </w:tcPr>
          <w:p w14:paraId="66BADE47" w14:textId="77777777" w:rsidR="00201C99" w:rsidRDefault="00201C99">
            <w:pPr>
              <w:pStyle w:val="Compact"/>
            </w:pPr>
            <w:r>
              <w:rPr>
                <w:rStyle w:val="VerbatimChar"/>
              </w:rPr>
              <w:t>E29_Conceptualisation_ou_procédure</w:t>
            </w:r>
          </w:p>
        </w:tc>
        <w:tc>
          <w:tcPr>
            <w:tcW w:w="2268" w:type="dxa"/>
          </w:tcPr>
          <w:p w14:paraId="29EE3072" w14:textId="77777777" w:rsidR="00201C99" w:rsidRDefault="00201C99">
            <w:pPr>
              <w:pStyle w:val="Compact"/>
            </w:pPr>
            <w:r>
              <w:rPr>
                <w:rStyle w:val="VerbatimChar"/>
              </w:rPr>
              <w:t>E57_Matériau</w:t>
            </w:r>
          </w:p>
        </w:tc>
      </w:tr>
      <w:tr w:rsidR="00201C99" w14:paraId="313CE9C0" w14:textId="77777777">
        <w:tc>
          <w:tcPr>
            <w:tcW w:w="800" w:type="dxa"/>
          </w:tcPr>
          <w:p w14:paraId="7B03DC5F" w14:textId="77777777" w:rsidR="00201C99" w:rsidRDefault="00201C99">
            <w:pPr>
              <w:pStyle w:val="Compact"/>
            </w:pPr>
            <w:r>
              <w:t>P70</w:t>
            </w:r>
          </w:p>
        </w:tc>
        <w:tc>
          <w:tcPr>
            <w:tcW w:w="256" w:type="dxa"/>
          </w:tcPr>
          <w:p w14:paraId="5E2A1070" w14:textId="77777777" w:rsidR="00201C99" w:rsidRDefault="00201C99">
            <w:pPr>
              <w:pStyle w:val="Compact"/>
            </w:pPr>
            <w:r>
              <w:t>-</w:t>
            </w:r>
          </w:p>
        </w:tc>
        <w:tc>
          <w:tcPr>
            <w:tcW w:w="4252" w:type="dxa"/>
            <w:gridSpan w:val="5"/>
          </w:tcPr>
          <w:p w14:paraId="0EC57022" w14:textId="77777777" w:rsidR="00201C99" w:rsidRDefault="00201C99">
            <w:pPr>
              <w:pStyle w:val="Compact"/>
            </w:pPr>
            <w:r w:rsidRPr="6E5D7753">
              <w:rPr>
                <w:rStyle w:val="VerbatimChar"/>
                <w:lang w:val="fr-FR"/>
              </w:rPr>
              <w:t>P70_documente (est_documenté_dans)</w:t>
            </w:r>
          </w:p>
        </w:tc>
        <w:tc>
          <w:tcPr>
            <w:tcW w:w="2620" w:type="dxa"/>
          </w:tcPr>
          <w:p w14:paraId="476B7ADA" w14:textId="77777777" w:rsidR="00201C99" w:rsidRDefault="00201C99">
            <w:pPr>
              <w:pStyle w:val="Compact"/>
            </w:pPr>
            <w:r>
              <w:rPr>
                <w:rStyle w:val="VerbatimChar"/>
              </w:rPr>
              <w:t>E31_Document</w:t>
            </w:r>
          </w:p>
        </w:tc>
        <w:tc>
          <w:tcPr>
            <w:tcW w:w="2268" w:type="dxa"/>
          </w:tcPr>
          <w:p w14:paraId="0154E75F" w14:textId="77777777" w:rsidR="00201C99" w:rsidRDefault="00201C99">
            <w:pPr>
              <w:pStyle w:val="Compact"/>
            </w:pPr>
            <w:r>
              <w:rPr>
                <w:rStyle w:val="VerbatimChar"/>
              </w:rPr>
              <w:t>E1_Entité_CRM</w:t>
            </w:r>
          </w:p>
        </w:tc>
      </w:tr>
      <w:tr w:rsidR="00201C99" w14:paraId="7E8A8C95" w14:textId="77777777">
        <w:tc>
          <w:tcPr>
            <w:tcW w:w="800" w:type="dxa"/>
          </w:tcPr>
          <w:p w14:paraId="08E0341C" w14:textId="77777777" w:rsidR="00201C99" w:rsidRDefault="00201C99">
            <w:pPr>
              <w:pStyle w:val="Compact"/>
            </w:pPr>
            <w:r>
              <w:t>P71</w:t>
            </w:r>
          </w:p>
        </w:tc>
        <w:tc>
          <w:tcPr>
            <w:tcW w:w="256" w:type="dxa"/>
          </w:tcPr>
          <w:p w14:paraId="1C3BCE7C" w14:textId="77777777" w:rsidR="00201C99" w:rsidRDefault="00201C99">
            <w:pPr>
              <w:pStyle w:val="Compact"/>
            </w:pPr>
            <w:r>
              <w:t>-</w:t>
            </w:r>
          </w:p>
        </w:tc>
        <w:tc>
          <w:tcPr>
            <w:tcW w:w="4252" w:type="dxa"/>
            <w:gridSpan w:val="5"/>
          </w:tcPr>
          <w:p w14:paraId="3D6D1EA3" w14:textId="77777777" w:rsidR="00201C99" w:rsidRDefault="00201C99">
            <w:pPr>
              <w:pStyle w:val="Compact"/>
            </w:pPr>
            <w:r w:rsidRPr="6E5D7753">
              <w:rPr>
                <w:rStyle w:val="VerbatimChar"/>
                <w:lang w:val="fr-FR"/>
              </w:rPr>
              <w:t>P71_énumère (est_énuméré_par)</w:t>
            </w:r>
          </w:p>
        </w:tc>
        <w:tc>
          <w:tcPr>
            <w:tcW w:w="2620" w:type="dxa"/>
          </w:tcPr>
          <w:p w14:paraId="1E3D1C29" w14:textId="77777777" w:rsidR="00201C99" w:rsidRDefault="00201C99">
            <w:pPr>
              <w:pStyle w:val="Compact"/>
            </w:pPr>
            <w:r>
              <w:rPr>
                <w:rStyle w:val="VerbatimChar"/>
              </w:rPr>
              <w:t>E32_Document_de_référence</w:t>
            </w:r>
          </w:p>
        </w:tc>
        <w:tc>
          <w:tcPr>
            <w:tcW w:w="2268" w:type="dxa"/>
          </w:tcPr>
          <w:p w14:paraId="296E10E3" w14:textId="77777777" w:rsidR="00201C99" w:rsidRDefault="00201C99">
            <w:pPr>
              <w:pStyle w:val="Compact"/>
            </w:pPr>
            <w:r>
              <w:rPr>
                <w:rStyle w:val="VerbatimChar"/>
              </w:rPr>
              <w:t>E1_Entité_CRM</w:t>
            </w:r>
          </w:p>
        </w:tc>
      </w:tr>
      <w:tr w:rsidR="00201C99" w14:paraId="1109A85C" w14:textId="77777777">
        <w:tc>
          <w:tcPr>
            <w:tcW w:w="800" w:type="dxa"/>
          </w:tcPr>
          <w:p w14:paraId="24403235" w14:textId="77777777" w:rsidR="00201C99" w:rsidRDefault="00201C99">
            <w:pPr>
              <w:pStyle w:val="Compact"/>
            </w:pPr>
            <w:r>
              <w:t>P129</w:t>
            </w:r>
          </w:p>
        </w:tc>
        <w:tc>
          <w:tcPr>
            <w:tcW w:w="256" w:type="dxa"/>
          </w:tcPr>
          <w:p w14:paraId="4DD2DB51" w14:textId="77777777" w:rsidR="00201C99" w:rsidRDefault="00201C99">
            <w:pPr>
              <w:pStyle w:val="Compact"/>
            </w:pPr>
            <w:r>
              <w:t>-</w:t>
            </w:r>
          </w:p>
        </w:tc>
        <w:tc>
          <w:tcPr>
            <w:tcW w:w="4252" w:type="dxa"/>
            <w:gridSpan w:val="5"/>
          </w:tcPr>
          <w:p w14:paraId="2D3497E1" w14:textId="77777777" w:rsidR="00201C99" w:rsidRDefault="00201C99">
            <w:pPr>
              <w:pStyle w:val="Compact"/>
            </w:pPr>
            <w:r w:rsidRPr="6E5D7753">
              <w:rPr>
                <w:rStyle w:val="VerbatimChar"/>
                <w:lang w:val="fr-FR"/>
              </w:rPr>
              <w:t>P129_a_pour_sujet (est_le_sujet_de)</w:t>
            </w:r>
          </w:p>
        </w:tc>
        <w:tc>
          <w:tcPr>
            <w:tcW w:w="2620" w:type="dxa"/>
          </w:tcPr>
          <w:p w14:paraId="55B36A54" w14:textId="77777777" w:rsidR="00201C99" w:rsidRDefault="00201C99">
            <w:pPr>
              <w:pStyle w:val="Compact"/>
            </w:pPr>
            <w:r>
              <w:rPr>
                <w:rStyle w:val="VerbatimChar"/>
              </w:rPr>
              <w:t>E89_Objet_propositionnel</w:t>
            </w:r>
          </w:p>
        </w:tc>
        <w:tc>
          <w:tcPr>
            <w:tcW w:w="2268" w:type="dxa"/>
          </w:tcPr>
          <w:p w14:paraId="5F02FF51" w14:textId="77777777" w:rsidR="00201C99" w:rsidRDefault="00201C99">
            <w:pPr>
              <w:pStyle w:val="Compact"/>
            </w:pPr>
            <w:r>
              <w:rPr>
                <w:rStyle w:val="VerbatimChar"/>
              </w:rPr>
              <w:t>E1_Entité_CRM</w:t>
            </w:r>
          </w:p>
        </w:tc>
      </w:tr>
      <w:tr w:rsidR="00201C99" w14:paraId="080FFF92" w14:textId="77777777">
        <w:tc>
          <w:tcPr>
            <w:tcW w:w="800" w:type="dxa"/>
          </w:tcPr>
          <w:p w14:paraId="3A8C9469" w14:textId="77777777" w:rsidR="00201C99" w:rsidRDefault="00201C99">
            <w:pPr>
              <w:pStyle w:val="Compact"/>
            </w:pPr>
            <w:r>
              <w:t>P138</w:t>
            </w:r>
          </w:p>
        </w:tc>
        <w:tc>
          <w:tcPr>
            <w:tcW w:w="256" w:type="dxa"/>
          </w:tcPr>
          <w:p w14:paraId="3E264275" w14:textId="77777777" w:rsidR="00201C99" w:rsidRDefault="00201C99">
            <w:pPr>
              <w:pStyle w:val="Compact"/>
            </w:pPr>
            <w:r>
              <w:t>-</w:t>
            </w:r>
          </w:p>
        </w:tc>
        <w:tc>
          <w:tcPr>
            <w:tcW w:w="4252" w:type="dxa"/>
            <w:gridSpan w:val="5"/>
          </w:tcPr>
          <w:p w14:paraId="5CD052D3" w14:textId="77777777" w:rsidR="00201C99" w:rsidRDefault="00201C99">
            <w:pPr>
              <w:pStyle w:val="Compact"/>
            </w:pPr>
            <w:r w:rsidRPr="6E5D7753">
              <w:rPr>
                <w:rStyle w:val="VerbatimChar"/>
                <w:lang w:val="fr-FR"/>
              </w:rPr>
              <w:t>P138_représente (est_représenté_par)</w:t>
            </w:r>
          </w:p>
        </w:tc>
        <w:tc>
          <w:tcPr>
            <w:tcW w:w="2620" w:type="dxa"/>
          </w:tcPr>
          <w:p w14:paraId="3F065E11" w14:textId="77777777" w:rsidR="00201C99" w:rsidRDefault="00201C99">
            <w:pPr>
              <w:pStyle w:val="Compact"/>
            </w:pPr>
            <w:r>
              <w:rPr>
                <w:rStyle w:val="VerbatimChar"/>
              </w:rPr>
              <w:t>E36_Entité_visuelle</w:t>
            </w:r>
          </w:p>
        </w:tc>
        <w:tc>
          <w:tcPr>
            <w:tcW w:w="2268" w:type="dxa"/>
          </w:tcPr>
          <w:p w14:paraId="72537DDA" w14:textId="77777777" w:rsidR="00201C99" w:rsidRDefault="00201C99">
            <w:pPr>
              <w:pStyle w:val="Compact"/>
            </w:pPr>
            <w:r>
              <w:rPr>
                <w:rStyle w:val="VerbatimChar"/>
              </w:rPr>
              <w:t>E1_Entité_CRM</w:t>
            </w:r>
          </w:p>
        </w:tc>
      </w:tr>
      <w:tr w:rsidR="00201C99" w14:paraId="4E24CEC2" w14:textId="77777777">
        <w:tc>
          <w:tcPr>
            <w:tcW w:w="800" w:type="dxa"/>
          </w:tcPr>
          <w:p w14:paraId="68CC42C0" w14:textId="77777777" w:rsidR="00201C99" w:rsidRDefault="00201C99">
            <w:pPr>
              <w:pStyle w:val="Compact"/>
            </w:pPr>
            <w:r>
              <w:t>P69</w:t>
            </w:r>
          </w:p>
        </w:tc>
        <w:tc>
          <w:tcPr>
            <w:tcW w:w="4508" w:type="dxa"/>
            <w:gridSpan w:val="6"/>
          </w:tcPr>
          <w:p w14:paraId="7F29C139" w14:textId="77777777" w:rsidR="00201C99" w:rsidRDefault="00201C99">
            <w:pPr>
              <w:pStyle w:val="Compact"/>
            </w:pPr>
            <w:r w:rsidRPr="6E5D7753">
              <w:rPr>
                <w:rStyle w:val="VerbatimChar"/>
                <w:lang w:val="fr-FR"/>
              </w:rPr>
              <w:t>P69_est_associé_à (est_associé_à)</w:t>
            </w:r>
          </w:p>
        </w:tc>
        <w:tc>
          <w:tcPr>
            <w:tcW w:w="2620" w:type="dxa"/>
          </w:tcPr>
          <w:p w14:paraId="7FE6A31C" w14:textId="77777777" w:rsidR="00201C99" w:rsidRDefault="00201C99">
            <w:pPr>
              <w:pStyle w:val="Compact"/>
            </w:pPr>
            <w:r>
              <w:rPr>
                <w:rStyle w:val="VerbatimChar"/>
              </w:rPr>
              <w:t>E29_Conceptualisation_ou_procédure</w:t>
            </w:r>
          </w:p>
        </w:tc>
        <w:tc>
          <w:tcPr>
            <w:tcW w:w="2268" w:type="dxa"/>
          </w:tcPr>
          <w:p w14:paraId="4E0C6FAB" w14:textId="77777777" w:rsidR="00201C99" w:rsidRDefault="00201C99">
            <w:pPr>
              <w:pStyle w:val="Compact"/>
            </w:pPr>
            <w:r>
              <w:rPr>
                <w:rStyle w:val="VerbatimChar"/>
              </w:rPr>
              <w:t>E29_Conceptualisation_ou_procédure</w:t>
            </w:r>
          </w:p>
        </w:tc>
      </w:tr>
      <w:tr w:rsidR="00201C99" w14:paraId="3905EC43" w14:textId="77777777">
        <w:tc>
          <w:tcPr>
            <w:tcW w:w="800" w:type="dxa"/>
          </w:tcPr>
          <w:p w14:paraId="751CC7EF" w14:textId="77777777" w:rsidR="00201C99" w:rsidRDefault="00201C99">
            <w:pPr>
              <w:pStyle w:val="Compact"/>
            </w:pPr>
            <w:r>
              <w:t>P72</w:t>
            </w:r>
          </w:p>
        </w:tc>
        <w:tc>
          <w:tcPr>
            <w:tcW w:w="4508" w:type="dxa"/>
            <w:gridSpan w:val="6"/>
          </w:tcPr>
          <w:p w14:paraId="6C2F0565" w14:textId="77777777" w:rsidR="00201C99" w:rsidRDefault="00201C99">
            <w:pPr>
              <w:pStyle w:val="Compact"/>
            </w:pPr>
            <w:r w:rsidRPr="6E5D7753">
              <w:rPr>
                <w:rStyle w:val="VerbatimChar"/>
                <w:lang w:val="fr-FR"/>
              </w:rPr>
              <w:t>P72_a_pour_langue (est_la_langue_de)</w:t>
            </w:r>
          </w:p>
        </w:tc>
        <w:tc>
          <w:tcPr>
            <w:tcW w:w="2620" w:type="dxa"/>
          </w:tcPr>
          <w:p w14:paraId="62EEF158" w14:textId="77777777" w:rsidR="00201C99" w:rsidRDefault="00201C99">
            <w:pPr>
              <w:pStyle w:val="Compact"/>
            </w:pPr>
            <w:r>
              <w:rPr>
                <w:rStyle w:val="VerbatimChar"/>
              </w:rPr>
              <w:t>E33_Objet_linguistique</w:t>
            </w:r>
          </w:p>
        </w:tc>
        <w:tc>
          <w:tcPr>
            <w:tcW w:w="2268" w:type="dxa"/>
          </w:tcPr>
          <w:p w14:paraId="03ADAE57" w14:textId="77777777" w:rsidR="00201C99" w:rsidRDefault="00201C99">
            <w:pPr>
              <w:pStyle w:val="Compact"/>
            </w:pPr>
            <w:r>
              <w:rPr>
                <w:rStyle w:val="VerbatimChar"/>
              </w:rPr>
              <w:t>E56_Langue</w:t>
            </w:r>
          </w:p>
        </w:tc>
      </w:tr>
      <w:tr w:rsidR="00201C99" w14:paraId="574DA2F5" w14:textId="77777777">
        <w:tc>
          <w:tcPr>
            <w:tcW w:w="800" w:type="dxa"/>
          </w:tcPr>
          <w:p w14:paraId="3345AA12" w14:textId="77777777" w:rsidR="00201C99" w:rsidRDefault="00201C99">
            <w:pPr>
              <w:pStyle w:val="Compact"/>
            </w:pPr>
            <w:r>
              <w:t>P74</w:t>
            </w:r>
          </w:p>
        </w:tc>
        <w:tc>
          <w:tcPr>
            <w:tcW w:w="4508" w:type="dxa"/>
            <w:gridSpan w:val="6"/>
          </w:tcPr>
          <w:p w14:paraId="129A4551" w14:textId="77777777" w:rsidR="00201C99" w:rsidRDefault="00201C99">
            <w:pPr>
              <w:pStyle w:val="Compact"/>
            </w:pPr>
            <w:r w:rsidRPr="6E5D7753">
              <w:rPr>
                <w:rStyle w:val="VerbatimChar"/>
                <w:lang w:val="fr-FR"/>
              </w:rPr>
              <w:t>P74_a_pour_résidence_actuelle_ou_antérieure (est_la_résidence_actuelle_ou_antérieure_de)</w:t>
            </w:r>
          </w:p>
        </w:tc>
        <w:tc>
          <w:tcPr>
            <w:tcW w:w="2620" w:type="dxa"/>
          </w:tcPr>
          <w:p w14:paraId="4361E08F" w14:textId="77777777" w:rsidR="00201C99" w:rsidRDefault="00201C99">
            <w:pPr>
              <w:pStyle w:val="Compact"/>
            </w:pPr>
            <w:r>
              <w:rPr>
                <w:rStyle w:val="VerbatimChar"/>
              </w:rPr>
              <w:t>E39_Actant</w:t>
            </w:r>
          </w:p>
        </w:tc>
        <w:tc>
          <w:tcPr>
            <w:tcW w:w="2268" w:type="dxa"/>
          </w:tcPr>
          <w:p w14:paraId="1CF0A744" w14:textId="77777777" w:rsidR="00201C99" w:rsidRDefault="00201C99">
            <w:pPr>
              <w:pStyle w:val="Compact"/>
            </w:pPr>
            <w:r>
              <w:rPr>
                <w:rStyle w:val="VerbatimChar"/>
              </w:rPr>
              <w:t>E53_Lieu</w:t>
            </w:r>
          </w:p>
        </w:tc>
      </w:tr>
      <w:tr w:rsidR="00201C99" w14:paraId="4E0849E4" w14:textId="77777777">
        <w:tc>
          <w:tcPr>
            <w:tcW w:w="800" w:type="dxa"/>
          </w:tcPr>
          <w:p w14:paraId="5871873D" w14:textId="77777777" w:rsidR="00201C99" w:rsidRDefault="00201C99">
            <w:pPr>
              <w:pStyle w:val="Compact"/>
            </w:pPr>
            <w:r>
              <w:lastRenderedPageBreak/>
              <w:t>P75</w:t>
            </w:r>
          </w:p>
        </w:tc>
        <w:tc>
          <w:tcPr>
            <w:tcW w:w="4508" w:type="dxa"/>
            <w:gridSpan w:val="6"/>
          </w:tcPr>
          <w:p w14:paraId="165E2121" w14:textId="77777777" w:rsidR="00201C99" w:rsidRDefault="00201C99">
            <w:pPr>
              <w:pStyle w:val="Compact"/>
            </w:pPr>
            <w:r w:rsidRPr="6E5D7753">
              <w:rPr>
                <w:rStyle w:val="VerbatimChar"/>
                <w:lang w:val="fr-FR"/>
              </w:rPr>
              <w:t>P75_possède (est_possédé_par)</w:t>
            </w:r>
          </w:p>
        </w:tc>
        <w:tc>
          <w:tcPr>
            <w:tcW w:w="2620" w:type="dxa"/>
          </w:tcPr>
          <w:p w14:paraId="3429AD08" w14:textId="77777777" w:rsidR="00201C99" w:rsidRDefault="00201C99">
            <w:pPr>
              <w:pStyle w:val="Compact"/>
            </w:pPr>
            <w:r>
              <w:rPr>
                <w:rStyle w:val="VerbatimChar"/>
              </w:rPr>
              <w:t>E39_Actant</w:t>
            </w:r>
          </w:p>
        </w:tc>
        <w:tc>
          <w:tcPr>
            <w:tcW w:w="2268" w:type="dxa"/>
          </w:tcPr>
          <w:p w14:paraId="3DDFCEAB" w14:textId="77777777" w:rsidR="00201C99" w:rsidRDefault="00201C99">
            <w:pPr>
              <w:pStyle w:val="Compact"/>
            </w:pPr>
            <w:r>
              <w:rPr>
                <w:rStyle w:val="VerbatimChar"/>
              </w:rPr>
              <w:t>E30_Droit</w:t>
            </w:r>
          </w:p>
        </w:tc>
      </w:tr>
      <w:tr w:rsidR="00201C99" w14:paraId="1C9F7854" w14:textId="77777777">
        <w:tc>
          <w:tcPr>
            <w:tcW w:w="800" w:type="dxa"/>
          </w:tcPr>
          <w:p w14:paraId="2F078C84" w14:textId="77777777" w:rsidR="00201C99" w:rsidRDefault="00201C99">
            <w:pPr>
              <w:pStyle w:val="Compact"/>
            </w:pPr>
            <w:r>
              <w:t>P76</w:t>
            </w:r>
          </w:p>
        </w:tc>
        <w:tc>
          <w:tcPr>
            <w:tcW w:w="4508" w:type="dxa"/>
            <w:gridSpan w:val="6"/>
          </w:tcPr>
          <w:p w14:paraId="4FA671E1" w14:textId="77777777" w:rsidR="00201C99" w:rsidRDefault="00201C99">
            <w:pPr>
              <w:pStyle w:val="Compact"/>
            </w:pPr>
            <w:r w:rsidRPr="6E5D7753">
              <w:rPr>
                <w:rStyle w:val="VerbatimChar"/>
                <w:lang w:val="fr-FR"/>
              </w:rPr>
              <w:t>P76_a_pour_coordonnées (permet_de_contacter)</w:t>
            </w:r>
          </w:p>
        </w:tc>
        <w:tc>
          <w:tcPr>
            <w:tcW w:w="2620" w:type="dxa"/>
          </w:tcPr>
          <w:p w14:paraId="3F6B9AFB" w14:textId="77777777" w:rsidR="00201C99" w:rsidRDefault="00201C99">
            <w:pPr>
              <w:pStyle w:val="Compact"/>
            </w:pPr>
            <w:r>
              <w:rPr>
                <w:rStyle w:val="VerbatimChar"/>
              </w:rPr>
              <w:t>E39_Actant</w:t>
            </w:r>
          </w:p>
        </w:tc>
        <w:tc>
          <w:tcPr>
            <w:tcW w:w="2268" w:type="dxa"/>
          </w:tcPr>
          <w:p w14:paraId="1E256BA6" w14:textId="77777777" w:rsidR="00201C99" w:rsidRDefault="00201C99">
            <w:pPr>
              <w:pStyle w:val="Compact"/>
            </w:pPr>
            <w:r>
              <w:rPr>
                <w:rStyle w:val="VerbatimChar"/>
              </w:rPr>
              <w:t>E41_Appellation</w:t>
            </w:r>
          </w:p>
        </w:tc>
      </w:tr>
      <w:tr w:rsidR="00201C99" w14:paraId="2EC92EFB" w14:textId="77777777">
        <w:tc>
          <w:tcPr>
            <w:tcW w:w="800" w:type="dxa"/>
          </w:tcPr>
          <w:p w14:paraId="2CD7EAC2" w14:textId="77777777" w:rsidR="00201C99" w:rsidRDefault="00201C99">
            <w:pPr>
              <w:pStyle w:val="Compact"/>
            </w:pPr>
            <w:r>
              <w:t>P81</w:t>
            </w:r>
          </w:p>
        </w:tc>
        <w:tc>
          <w:tcPr>
            <w:tcW w:w="4508" w:type="dxa"/>
            <w:gridSpan w:val="6"/>
          </w:tcPr>
          <w:p w14:paraId="7255EFD0" w14:textId="77777777" w:rsidR="00201C99" w:rsidRDefault="00201C99">
            <w:pPr>
              <w:pStyle w:val="Compact"/>
            </w:pPr>
            <w:r>
              <w:rPr>
                <w:rStyle w:val="VerbatimChar"/>
              </w:rPr>
              <w:t>P81_a_couvert</w:t>
            </w:r>
          </w:p>
        </w:tc>
        <w:tc>
          <w:tcPr>
            <w:tcW w:w="2620" w:type="dxa"/>
          </w:tcPr>
          <w:p w14:paraId="65DDE882" w14:textId="77777777" w:rsidR="00201C99" w:rsidRDefault="00201C99">
            <w:pPr>
              <w:pStyle w:val="Compact"/>
            </w:pPr>
            <w:r>
              <w:rPr>
                <w:rStyle w:val="VerbatimChar"/>
              </w:rPr>
              <w:t xml:space="preserve">E52_Intervalle_temporel </w:t>
            </w:r>
          </w:p>
        </w:tc>
        <w:tc>
          <w:tcPr>
            <w:tcW w:w="2268" w:type="dxa"/>
          </w:tcPr>
          <w:p w14:paraId="0D2DBD70" w14:textId="77777777" w:rsidR="00201C99" w:rsidRDefault="00201C99">
            <w:pPr>
              <w:pStyle w:val="Compact"/>
            </w:pPr>
            <w:r>
              <w:rPr>
                <w:rStyle w:val="VerbatimChar"/>
              </w:rPr>
              <w:t>E61_Primitive_temporelle</w:t>
            </w:r>
          </w:p>
        </w:tc>
      </w:tr>
      <w:tr w:rsidR="00201C99" w14:paraId="5DBE71A1" w14:textId="77777777">
        <w:tc>
          <w:tcPr>
            <w:tcW w:w="800" w:type="dxa"/>
          </w:tcPr>
          <w:p w14:paraId="771C1CFC" w14:textId="77777777" w:rsidR="00201C99" w:rsidRDefault="00201C99">
            <w:pPr>
              <w:pStyle w:val="Compact"/>
            </w:pPr>
            <w:r>
              <w:t>P82</w:t>
            </w:r>
          </w:p>
        </w:tc>
        <w:tc>
          <w:tcPr>
            <w:tcW w:w="4508" w:type="dxa"/>
            <w:gridSpan w:val="6"/>
          </w:tcPr>
          <w:p w14:paraId="0C90EC88" w14:textId="77777777" w:rsidR="00201C99" w:rsidRDefault="00201C99">
            <w:pPr>
              <w:pStyle w:val="Compact"/>
            </w:pPr>
            <w:r>
              <w:rPr>
                <w:rStyle w:val="VerbatimChar"/>
              </w:rPr>
              <w:t>P82_a_eu_lieu_durant</w:t>
            </w:r>
          </w:p>
        </w:tc>
        <w:tc>
          <w:tcPr>
            <w:tcW w:w="2620" w:type="dxa"/>
          </w:tcPr>
          <w:p w14:paraId="2ECECFFC" w14:textId="77777777" w:rsidR="00201C99" w:rsidRDefault="00201C99">
            <w:pPr>
              <w:pStyle w:val="Compact"/>
            </w:pPr>
            <w:r>
              <w:rPr>
                <w:rStyle w:val="VerbatimChar"/>
              </w:rPr>
              <w:t xml:space="preserve">E52_Intervalle_temporel </w:t>
            </w:r>
          </w:p>
        </w:tc>
        <w:tc>
          <w:tcPr>
            <w:tcW w:w="2268" w:type="dxa"/>
          </w:tcPr>
          <w:p w14:paraId="4F0DC153" w14:textId="77777777" w:rsidR="00201C99" w:rsidRDefault="00201C99">
            <w:pPr>
              <w:pStyle w:val="Compact"/>
            </w:pPr>
            <w:r>
              <w:rPr>
                <w:rStyle w:val="VerbatimChar"/>
              </w:rPr>
              <w:t>E61_Primitive_temporelle</w:t>
            </w:r>
          </w:p>
        </w:tc>
      </w:tr>
      <w:tr w:rsidR="00201C99" w14:paraId="0FEA3CA2" w14:textId="77777777">
        <w:tc>
          <w:tcPr>
            <w:tcW w:w="800" w:type="dxa"/>
          </w:tcPr>
          <w:p w14:paraId="6E1A1D94" w14:textId="77777777" w:rsidR="00201C99" w:rsidRDefault="00201C99">
            <w:pPr>
              <w:pStyle w:val="Compact"/>
            </w:pPr>
            <w:r>
              <w:t>P86</w:t>
            </w:r>
          </w:p>
        </w:tc>
        <w:tc>
          <w:tcPr>
            <w:tcW w:w="4508" w:type="dxa"/>
            <w:gridSpan w:val="6"/>
          </w:tcPr>
          <w:p w14:paraId="7AEDACC6" w14:textId="77777777" w:rsidR="00201C99" w:rsidRDefault="00201C99">
            <w:pPr>
              <w:pStyle w:val="Compact"/>
            </w:pPr>
            <w:r>
              <w:rPr>
                <w:rStyle w:val="VerbatimChar"/>
              </w:rPr>
              <w:t>P86_s’insère_dans (contient)</w:t>
            </w:r>
          </w:p>
        </w:tc>
        <w:tc>
          <w:tcPr>
            <w:tcW w:w="2620" w:type="dxa"/>
          </w:tcPr>
          <w:p w14:paraId="0B0A2B6F" w14:textId="77777777" w:rsidR="00201C99" w:rsidRDefault="00201C99">
            <w:pPr>
              <w:pStyle w:val="Compact"/>
            </w:pPr>
            <w:r>
              <w:rPr>
                <w:rStyle w:val="VerbatimChar"/>
              </w:rPr>
              <w:t xml:space="preserve">E52_Intervalle_temporel </w:t>
            </w:r>
          </w:p>
        </w:tc>
        <w:tc>
          <w:tcPr>
            <w:tcW w:w="2268" w:type="dxa"/>
          </w:tcPr>
          <w:p w14:paraId="2030EC69" w14:textId="77777777" w:rsidR="00201C99" w:rsidRDefault="00201C99">
            <w:pPr>
              <w:pStyle w:val="Compact"/>
            </w:pPr>
            <w:r>
              <w:rPr>
                <w:rStyle w:val="VerbatimChar"/>
              </w:rPr>
              <w:t xml:space="preserve">E52_Intervalle_temporel </w:t>
            </w:r>
          </w:p>
        </w:tc>
      </w:tr>
      <w:tr w:rsidR="00201C99" w14:paraId="48EE6F1E" w14:textId="77777777">
        <w:tc>
          <w:tcPr>
            <w:tcW w:w="800" w:type="dxa"/>
          </w:tcPr>
          <w:p w14:paraId="2824C714" w14:textId="77777777" w:rsidR="00201C99" w:rsidRDefault="00201C99">
            <w:pPr>
              <w:pStyle w:val="Compact"/>
            </w:pPr>
            <w:r>
              <w:t>P89</w:t>
            </w:r>
          </w:p>
        </w:tc>
        <w:tc>
          <w:tcPr>
            <w:tcW w:w="4508" w:type="dxa"/>
            <w:gridSpan w:val="6"/>
          </w:tcPr>
          <w:p w14:paraId="25F614E5" w14:textId="77777777" w:rsidR="00201C99" w:rsidRDefault="00201C99">
            <w:pPr>
              <w:pStyle w:val="Compact"/>
            </w:pPr>
            <w:r>
              <w:rPr>
                <w:rStyle w:val="VerbatimChar"/>
              </w:rPr>
              <w:t>P89_s’insère_dans (contient)</w:t>
            </w:r>
          </w:p>
        </w:tc>
        <w:tc>
          <w:tcPr>
            <w:tcW w:w="2620" w:type="dxa"/>
          </w:tcPr>
          <w:p w14:paraId="6C8C6BBB" w14:textId="77777777" w:rsidR="00201C99" w:rsidRDefault="00201C99">
            <w:pPr>
              <w:pStyle w:val="Compact"/>
            </w:pPr>
            <w:r>
              <w:rPr>
                <w:rStyle w:val="VerbatimChar"/>
              </w:rPr>
              <w:t>E53_Lieu</w:t>
            </w:r>
          </w:p>
        </w:tc>
        <w:tc>
          <w:tcPr>
            <w:tcW w:w="2268" w:type="dxa"/>
          </w:tcPr>
          <w:p w14:paraId="620DDD44" w14:textId="77777777" w:rsidR="00201C99" w:rsidRDefault="00201C99">
            <w:pPr>
              <w:pStyle w:val="Compact"/>
            </w:pPr>
            <w:r>
              <w:rPr>
                <w:rStyle w:val="VerbatimChar"/>
              </w:rPr>
              <w:t>E53_Lieu</w:t>
            </w:r>
          </w:p>
        </w:tc>
      </w:tr>
      <w:tr w:rsidR="00201C99" w14:paraId="7C19F825" w14:textId="77777777">
        <w:tc>
          <w:tcPr>
            <w:tcW w:w="800" w:type="dxa"/>
          </w:tcPr>
          <w:p w14:paraId="7E299D93" w14:textId="77777777" w:rsidR="00201C99" w:rsidRDefault="00201C99">
            <w:pPr>
              <w:pStyle w:val="Compact"/>
            </w:pPr>
            <w:r>
              <w:t>P90</w:t>
            </w:r>
          </w:p>
        </w:tc>
        <w:tc>
          <w:tcPr>
            <w:tcW w:w="4508" w:type="dxa"/>
            <w:gridSpan w:val="6"/>
          </w:tcPr>
          <w:p w14:paraId="1D8EFBC7" w14:textId="77777777" w:rsidR="00201C99" w:rsidRDefault="00201C99">
            <w:pPr>
              <w:pStyle w:val="Compact"/>
            </w:pPr>
            <w:r>
              <w:rPr>
                <w:rStyle w:val="VerbatimChar"/>
              </w:rPr>
              <w:t>P90_a_pour_valeur</w:t>
            </w:r>
          </w:p>
        </w:tc>
        <w:tc>
          <w:tcPr>
            <w:tcW w:w="2620" w:type="dxa"/>
          </w:tcPr>
          <w:p w14:paraId="115DC003" w14:textId="77777777" w:rsidR="00201C99" w:rsidRDefault="00201C99">
            <w:pPr>
              <w:pStyle w:val="Compact"/>
            </w:pPr>
            <w:r>
              <w:rPr>
                <w:rStyle w:val="VerbatimChar"/>
              </w:rPr>
              <w:t>E54_Dimension</w:t>
            </w:r>
          </w:p>
        </w:tc>
        <w:tc>
          <w:tcPr>
            <w:tcW w:w="2268" w:type="dxa"/>
          </w:tcPr>
          <w:p w14:paraId="549BE7D7" w14:textId="77777777" w:rsidR="00201C99" w:rsidRDefault="00201C99">
            <w:pPr>
              <w:pStyle w:val="Compact"/>
            </w:pPr>
            <w:r>
              <w:rPr>
                <w:rStyle w:val="VerbatimChar"/>
              </w:rPr>
              <w:t>E60_Nombre</w:t>
            </w:r>
          </w:p>
        </w:tc>
      </w:tr>
      <w:tr w:rsidR="00201C99" w14:paraId="22B0BF70" w14:textId="77777777">
        <w:tc>
          <w:tcPr>
            <w:tcW w:w="800" w:type="dxa"/>
          </w:tcPr>
          <w:p w14:paraId="0B51A9DE" w14:textId="77777777" w:rsidR="00201C99" w:rsidRDefault="00201C99">
            <w:pPr>
              <w:pStyle w:val="Compact"/>
            </w:pPr>
            <w:r>
              <w:t>P91</w:t>
            </w:r>
          </w:p>
        </w:tc>
        <w:tc>
          <w:tcPr>
            <w:tcW w:w="4508" w:type="dxa"/>
            <w:gridSpan w:val="6"/>
          </w:tcPr>
          <w:p w14:paraId="56EE5807" w14:textId="77777777" w:rsidR="00201C99" w:rsidRDefault="00201C99">
            <w:pPr>
              <w:pStyle w:val="Compact"/>
            </w:pPr>
            <w:r w:rsidRPr="6E5D7753">
              <w:rPr>
                <w:rStyle w:val="VerbatimChar"/>
                <w:lang w:val="fr-FR"/>
              </w:rPr>
              <w:t>P91_a_pour_unité_de_mesure (est_l’unité_de_mesure_de)</w:t>
            </w:r>
          </w:p>
        </w:tc>
        <w:tc>
          <w:tcPr>
            <w:tcW w:w="2620" w:type="dxa"/>
          </w:tcPr>
          <w:p w14:paraId="10B3EF18" w14:textId="77777777" w:rsidR="00201C99" w:rsidRDefault="00201C99">
            <w:pPr>
              <w:pStyle w:val="Compact"/>
            </w:pPr>
            <w:r>
              <w:rPr>
                <w:rStyle w:val="VerbatimChar"/>
              </w:rPr>
              <w:t>E54_Dimension</w:t>
            </w:r>
          </w:p>
        </w:tc>
        <w:tc>
          <w:tcPr>
            <w:tcW w:w="2268" w:type="dxa"/>
          </w:tcPr>
          <w:p w14:paraId="61E82A6F" w14:textId="77777777" w:rsidR="00201C99" w:rsidRDefault="00201C99">
            <w:pPr>
              <w:pStyle w:val="Compact"/>
            </w:pPr>
            <w:r>
              <w:rPr>
                <w:rStyle w:val="VerbatimChar"/>
              </w:rPr>
              <w:t>E58_Unité_de_mesure</w:t>
            </w:r>
          </w:p>
        </w:tc>
      </w:tr>
      <w:tr w:rsidR="00201C99" w14:paraId="20631D61" w14:textId="77777777">
        <w:tc>
          <w:tcPr>
            <w:tcW w:w="800" w:type="dxa"/>
          </w:tcPr>
          <w:p w14:paraId="71AD00BA" w14:textId="77777777" w:rsidR="00201C99" w:rsidRDefault="00201C99">
            <w:pPr>
              <w:pStyle w:val="Compact"/>
            </w:pPr>
            <w:r>
              <w:t>P180</w:t>
            </w:r>
          </w:p>
        </w:tc>
        <w:tc>
          <w:tcPr>
            <w:tcW w:w="256" w:type="dxa"/>
          </w:tcPr>
          <w:p w14:paraId="1501E5FF" w14:textId="77777777" w:rsidR="00201C99" w:rsidRDefault="00201C99">
            <w:pPr>
              <w:pStyle w:val="Compact"/>
            </w:pPr>
            <w:r>
              <w:t>-</w:t>
            </w:r>
          </w:p>
        </w:tc>
        <w:tc>
          <w:tcPr>
            <w:tcW w:w="4252" w:type="dxa"/>
            <w:gridSpan w:val="5"/>
          </w:tcPr>
          <w:p w14:paraId="04E11605" w14:textId="77777777" w:rsidR="00201C99" w:rsidRDefault="00201C99">
            <w:pPr>
              <w:pStyle w:val="Compact"/>
            </w:pPr>
            <w:r w:rsidRPr="6E5D7753">
              <w:rPr>
                <w:rStyle w:val="VerbatimChar"/>
                <w:lang w:val="fr-FR"/>
              </w:rPr>
              <w:t>P180a_pour_unité_monétaire (était_l’unité_monétaire_de)</w:t>
            </w:r>
          </w:p>
        </w:tc>
        <w:tc>
          <w:tcPr>
            <w:tcW w:w="2620" w:type="dxa"/>
          </w:tcPr>
          <w:p w14:paraId="4A168200" w14:textId="77777777" w:rsidR="00201C99" w:rsidRDefault="00201C99">
            <w:pPr>
              <w:pStyle w:val="Compact"/>
            </w:pPr>
            <w:r>
              <w:rPr>
                <w:rStyle w:val="VerbatimChar"/>
              </w:rPr>
              <w:t>E97_Valeur_monétaire</w:t>
            </w:r>
          </w:p>
        </w:tc>
        <w:tc>
          <w:tcPr>
            <w:tcW w:w="2268" w:type="dxa"/>
          </w:tcPr>
          <w:p w14:paraId="5C861F14" w14:textId="77777777" w:rsidR="00201C99" w:rsidRDefault="00201C99">
            <w:pPr>
              <w:pStyle w:val="Compact"/>
            </w:pPr>
            <w:r>
              <w:rPr>
                <w:rStyle w:val="VerbatimChar"/>
              </w:rPr>
              <w:t>E98_Unité_monétaire</w:t>
            </w:r>
          </w:p>
        </w:tc>
      </w:tr>
      <w:tr w:rsidR="00201C99" w14:paraId="65E53F69" w14:textId="77777777">
        <w:tc>
          <w:tcPr>
            <w:tcW w:w="800" w:type="dxa"/>
          </w:tcPr>
          <w:p w14:paraId="156AE749" w14:textId="77777777" w:rsidR="00201C99" w:rsidRDefault="00201C99">
            <w:pPr>
              <w:pStyle w:val="Compact"/>
            </w:pPr>
            <w:r>
              <w:t>P97</w:t>
            </w:r>
          </w:p>
        </w:tc>
        <w:tc>
          <w:tcPr>
            <w:tcW w:w="4508" w:type="dxa"/>
            <w:gridSpan w:val="6"/>
          </w:tcPr>
          <w:p w14:paraId="41379537" w14:textId="77777777" w:rsidR="00201C99" w:rsidRDefault="00201C99">
            <w:pPr>
              <w:pStyle w:val="Compact"/>
            </w:pPr>
            <w:r w:rsidRPr="6E5D7753">
              <w:rPr>
                <w:rStyle w:val="VerbatimChar"/>
                <w:lang w:val="fr-FR"/>
              </w:rPr>
              <w:t>P97_de_père (a_été_le_père_pour)</w:t>
            </w:r>
          </w:p>
        </w:tc>
        <w:tc>
          <w:tcPr>
            <w:tcW w:w="2620" w:type="dxa"/>
          </w:tcPr>
          <w:p w14:paraId="0C643394" w14:textId="77777777" w:rsidR="00201C99" w:rsidRDefault="00201C99">
            <w:pPr>
              <w:pStyle w:val="Compact"/>
            </w:pPr>
            <w:r>
              <w:rPr>
                <w:rStyle w:val="VerbatimChar"/>
              </w:rPr>
              <w:t>E67_Naissance</w:t>
            </w:r>
          </w:p>
        </w:tc>
        <w:tc>
          <w:tcPr>
            <w:tcW w:w="2268" w:type="dxa"/>
          </w:tcPr>
          <w:p w14:paraId="7B1B6B03" w14:textId="77777777" w:rsidR="00201C99" w:rsidRDefault="00201C99">
            <w:pPr>
              <w:pStyle w:val="Compact"/>
            </w:pPr>
            <w:r>
              <w:rPr>
                <w:rStyle w:val="VerbatimChar"/>
              </w:rPr>
              <w:t>E21_Personne</w:t>
            </w:r>
          </w:p>
        </w:tc>
      </w:tr>
      <w:tr w:rsidR="00201C99" w14:paraId="570C1342" w14:textId="77777777">
        <w:tc>
          <w:tcPr>
            <w:tcW w:w="800" w:type="dxa"/>
          </w:tcPr>
          <w:p w14:paraId="26BE7996" w14:textId="77777777" w:rsidR="00201C99" w:rsidRDefault="00201C99">
            <w:pPr>
              <w:pStyle w:val="Compact"/>
            </w:pPr>
            <w:r>
              <w:t>P101</w:t>
            </w:r>
          </w:p>
        </w:tc>
        <w:tc>
          <w:tcPr>
            <w:tcW w:w="4508" w:type="dxa"/>
            <w:gridSpan w:val="6"/>
          </w:tcPr>
          <w:p w14:paraId="744B2C2E" w14:textId="77777777" w:rsidR="00201C99" w:rsidRDefault="00201C99">
            <w:pPr>
              <w:pStyle w:val="Compact"/>
            </w:pPr>
            <w:r w:rsidRPr="6E5D7753">
              <w:rPr>
                <w:rStyle w:val="VerbatimChar"/>
                <w:lang w:val="fr-FR"/>
              </w:rPr>
              <w:t>P101_a_eu_pour_usage_général (a_été_l’usage_général_de)</w:t>
            </w:r>
          </w:p>
        </w:tc>
        <w:tc>
          <w:tcPr>
            <w:tcW w:w="2620" w:type="dxa"/>
          </w:tcPr>
          <w:p w14:paraId="02EAE5DD" w14:textId="77777777" w:rsidR="00201C99" w:rsidRDefault="00201C99">
            <w:pPr>
              <w:pStyle w:val="Compact"/>
            </w:pPr>
            <w:r>
              <w:rPr>
                <w:rStyle w:val="VerbatimChar"/>
              </w:rPr>
              <w:t>E70_Chose</w:t>
            </w:r>
          </w:p>
        </w:tc>
        <w:tc>
          <w:tcPr>
            <w:tcW w:w="2268" w:type="dxa"/>
          </w:tcPr>
          <w:p w14:paraId="0880FA39" w14:textId="77777777" w:rsidR="00201C99" w:rsidRDefault="00201C99">
            <w:pPr>
              <w:pStyle w:val="Compact"/>
            </w:pPr>
            <w:r>
              <w:rPr>
                <w:rStyle w:val="VerbatimChar"/>
              </w:rPr>
              <w:t>E55_Type</w:t>
            </w:r>
          </w:p>
        </w:tc>
      </w:tr>
      <w:tr w:rsidR="00201C99" w14:paraId="778DB8F6" w14:textId="77777777">
        <w:tc>
          <w:tcPr>
            <w:tcW w:w="800" w:type="dxa"/>
          </w:tcPr>
          <w:p w14:paraId="054B9E71" w14:textId="77777777" w:rsidR="00201C99" w:rsidRDefault="00201C99">
            <w:pPr>
              <w:pStyle w:val="Compact"/>
            </w:pPr>
            <w:r>
              <w:t>P103</w:t>
            </w:r>
          </w:p>
        </w:tc>
        <w:tc>
          <w:tcPr>
            <w:tcW w:w="4508" w:type="dxa"/>
            <w:gridSpan w:val="6"/>
          </w:tcPr>
          <w:p w14:paraId="410A0694" w14:textId="77777777" w:rsidR="00201C99" w:rsidRDefault="00201C99">
            <w:pPr>
              <w:pStyle w:val="Compact"/>
            </w:pPr>
            <w:r w:rsidRPr="6E5D7753">
              <w:rPr>
                <w:rStyle w:val="VerbatimChar"/>
                <w:lang w:val="fr-FR"/>
              </w:rPr>
              <w:t>P103_a_eu_pour_raison_d’être (a_été_la_raison_d’être_de)</w:t>
            </w:r>
          </w:p>
        </w:tc>
        <w:tc>
          <w:tcPr>
            <w:tcW w:w="2620" w:type="dxa"/>
          </w:tcPr>
          <w:p w14:paraId="38AB3814" w14:textId="77777777" w:rsidR="00201C99" w:rsidRDefault="00201C99">
            <w:pPr>
              <w:pStyle w:val="Compact"/>
            </w:pPr>
            <w:r>
              <w:rPr>
                <w:rStyle w:val="VerbatimChar"/>
              </w:rPr>
              <w:t>E71_Chose_élaborée_par_l’humain</w:t>
            </w:r>
          </w:p>
        </w:tc>
        <w:tc>
          <w:tcPr>
            <w:tcW w:w="2268" w:type="dxa"/>
          </w:tcPr>
          <w:p w14:paraId="1B9328B7" w14:textId="77777777" w:rsidR="00201C99" w:rsidRDefault="00201C99">
            <w:pPr>
              <w:pStyle w:val="Compact"/>
            </w:pPr>
            <w:r>
              <w:rPr>
                <w:rStyle w:val="VerbatimChar"/>
              </w:rPr>
              <w:t>E55_Type</w:t>
            </w:r>
          </w:p>
        </w:tc>
      </w:tr>
      <w:tr w:rsidR="00201C99" w14:paraId="265802CA" w14:textId="77777777">
        <w:tc>
          <w:tcPr>
            <w:tcW w:w="800" w:type="dxa"/>
          </w:tcPr>
          <w:p w14:paraId="12FDB652" w14:textId="77777777" w:rsidR="00201C99" w:rsidRDefault="00201C99">
            <w:pPr>
              <w:pStyle w:val="Compact"/>
            </w:pPr>
            <w:r>
              <w:t>P104</w:t>
            </w:r>
          </w:p>
        </w:tc>
        <w:tc>
          <w:tcPr>
            <w:tcW w:w="4508" w:type="dxa"/>
            <w:gridSpan w:val="6"/>
          </w:tcPr>
          <w:p w14:paraId="2A48327F" w14:textId="77777777" w:rsidR="00201C99" w:rsidRDefault="00201C99">
            <w:pPr>
              <w:pStyle w:val="Compact"/>
            </w:pPr>
            <w:r w:rsidRPr="6E5D7753">
              <w:rPr>
                <w:rStyle w:val="VerbatimChar"/>
                <w:lang w:val="fr-FR"/>
              </w:rPr>
              <w:t>P104_est_soumis_à (s’applique_à)</w:t>
            </w:r>
          </w:p>
        </w:tc>
        <w:tc>
          <w:tcPr>
            <w:tcW w:w="2620" w:type="dxa"/>
          </w:tcPr>
          <w:p w14:paraId="2EC5E949" w14:textId="77777777" w:rsidR="00201C99" w:rsidRDefault="00201C99">
            <w:pPr>
              <w:pStyle w:val="Compact"/>
            </w:pPr>
            <w:r>
              <w:rPr>
                <w:rStyle w:val="VerbatimChar"/>
              </w:rPr>
              <w:t>E72_Objet_juridique</w:t>
            </w:r>
          </w:p>
        </w:tc>
        <w:tc>
          <w:tcPr>
            <w:tcW w:w="2268" w:type="dxa"/>
          </w:tcPr>
          <w:p w14:paraId="7993635E" w14:textId="77777777" w:rsidR="00201C99" w:rsidRDefault="00201C99">
            <w:pPr>
              <w:pStyle w:val="Compact"/>
            </w:pPr>
            <w:r>
              <w:rPr>
                <w:rStyle w:val="VerbatimChar"/>
              </w:rPr>
              <w:t>E30_Droit</w:t>
            </w:r>
          </w:p>
        </w:tc>
      </w:tr>
      <w:tr w:rsidR="00201C99" w14:paraId="20CC1E21" w14:textId="77777777">
        <w:tc>
          <w:tcPr>
            <w:tcW w:w="800" w:type="dxa"/>
          </w:tcPr>
          <w:p w14:paraId="196FB9C1" w14:textId="77777777" w:rsidR="00201C99" w:rsidRDefault="00201C99">
            <w:pPr>
              <w:pStyle w:val="Compact"/>
            </w:pPr>
            <w:r>
              <w:t>P105</w:t>
            </w:r>
          </w:p>
        </w:tc>
        <w:tc>
          <w:tcPr>
            <w:tcW w:w="4508" w:type="dxa"/>
            <w:gridSpan w:val="6"/>
          </w:tcPr>
          <w:p w14:paraId="6E35E7B1" w14:textId="77777777" w:rsidR="00201C99" w:rsidRDefault="00201C99">
            <w:pPr>
              <w:pStyle w:val="Compact"/>
            </w:pPr>
            <w:r w:rsidRPr="6E5D7753">
              <w:rPr>
                <w:rStyle w:val="VerbatimChar"/>
                <w:lang w:val="fr-FR"/>
              </w:rPr>
              <w:t>P105_droit_détenu_par (détient_le_droit_sur)</w:t>
            </w:r>
          </w:p>
        </w:tc>
        <w:tc>
          <w:tcPr>
            <w:tcW w:w="2620" w:type="dxa"/>
          </w:tcPr>
          <w:p w14:paraId="2506758D" w14:textId="77777777" w:rsidR="00201C99" w:rsidRDefault="00201C99">
            <w:pPr>
              <w:pStyle w:val="Compact"/>
            </w:pPr>
            <w:r>
              <w:rPr>
                <w:rStyle w:val="VerbatimChar"/>
              </w:rPr>
              <w:t>E72_Objet_juridique</w:t>
            </w:r>
          </w:p>
        </w:tc>
        <w:tc>
          <w:tcPr>
            <w:tcW w:w="2268" w:type="dxa"/>
          </w:tcPr>
          <w:p w14:paraId="03D86CA1" w14:textId="77777777" w:rsidR="00201C99" w:rsidRDefault="00201C99">
            <w:pPr>
              <w:pStyle w:val="Compact"/>
            </w:pPr>
            <w:r>
              <w:rPr>
                <w:rStyle w:val="VerbatimChar"/>
              </w:rPr>
              <w:t>E39_Actant</w:t>
            </w:r>
          </w:p>
        </w:tc>
      </w:tr>
      <w:tr w:rsidR="00201C99" w14:paraId="2A5E2490" w14:textId="77777777">
        <w:tc>
          <w:tcPr>
            <w:tcW w:w="800" w:type="dxa"/>
          </w:tcPr>
          <w:p w14:paraId="51AC8FF5" w14:textId="77777777" w:rsidR="00201C99" w:rsidRDefault="00201C99">
            <w:pPr>
              <w:pStyle w:val="Compact"/>
            </w:pPr>
            <w:r>
              <w:t>P52</w:t>
            </w:r>
          </w:p>
        </w:tc>
        <w:tc>
          <w:tcPr>
            <w:tcW w:w="256" w:type="dxa"/>
          </w:tcPr>
          <w:p w14:paraId="641B9E24" w14:textId="77777777" w:rsidR="00201C99" w:rsidRDefault="00201C99">
            <w:pPr>
              <w:pStyle w:val="Compact"/>
            </w:pPr>
            <w:r>
              <w:t>-</w:t>
            </w:r>
          </w:p>
        </w:tc>
        <w:tc>
          <w:tcPr>
            <w:tcW w:w="4252" w:type="dxa"/>
            <w:gridSpan w:val="5"/>
          </w:tcPr>
          <w:p w14:paraId="128EB9C0" w14:textId="77777777" w:rsidR="00201C99" w:rsidRDefault="00201C99">
            <w:pPr>
              <w:pStyle w:val="Compact"/>
            </w:pPr>
            <w:r w:rsidRPr="6E5D7753">
              <w:rPr>
                <w:rStyle w:val="VerbatimChar"/>
                <w:lang w:val="fr-FR"/>
              </w:rPr>
              <w:t>P52_a_pour_propriétaire_actuel (est_l’actant_propriétaire_actuel_de)</w:t>
            </w:r>
          </w:p>
        </w:tc>
        <w:tc>
          <w:tcPr>
            <w:tcW w:w="2620" w:type="dxa"/>
          </w:tcPr>
          <w:p w14:paraId="0878B918" w14:textId="77777777" w:rsidR="00201C99" w:rsidRDefault="00201C99">
            <w:pPr>
              <w:pStyle w:val="Compact"/>
            </w:pPr>
            <w:r>
              <w:rPr>
                <w:rStyle w:val="VerbatimChar"/>
              </w:rPr>
              <w:t>E18_Chose_matérielle</w:t>
            </w:r>
          </w:p>
        </w:tc>
        <w:tc>
          <w:tcPr>
            <w:tcW w:w="2268" w:type="dxa"/>
          </w:tcPr>
          <w:p w14:paraId="1A6185FE" w14:textId="77777777" w:rsidR="00201C99" w:rsidRDefault="00201C99">
            <w:pPr>
              <w:pStyle w:val="Compact"/>
            </w:pPr>
            <w:r>
              <w:rPr>
                <w:rStyle w:val="VerbatimChar"/>
              </w:rPr>
              <w:t>E39_Actant</w:t>
            </w:r>
          </w:p>
        </w:tc>
      </w:tr>
      <w:tr w:rsidR="00201C99" w14:paraId="347B502A" w14:textId="77777777">
        <w:tc>
          <w:tcPr>
            <w:tcW w:w="800" w:type="dxa"/>
          </w:tcPr>
          <w:p w14:paraId="78AD6022" w14:textId="77777777" w:rsidR="00201C99" w:rsidRDefault="00201C99">
            <w:pPr>
              <w:pStyle w:val="Compact"/>
            </w:pPr>
            <w:r>
              <w:t>P106</w:t>
            </w:r>
          </w:p>
        </w:tc>
        <w:tc>
          <w:tcPr>
            <w:tcW w:w="4508" w:type="dxa"/>
            <w:gridSpan w:val="6"/>
          </w:tcPr>
          <w:p w14:paraId="2E4DDE8E" w14:textId="77777777" w:rsidR="00201C99" w:rsidRDefault="00201C99">
            <w:pPr>
              <w:pStyle w:val="Compact"/>
            </w:pPr>
            <w:r w:rsidRPr="6E5D7753">
              <w:rPr>
                <w:rStyle w:val="VerbatimChar"/>
                <w:lang w:val="fr-FR"/>
              </w:rPr>
              <w:t>P106_est_composé_de (fait_partie_de)</w:t>
            </w:r>
          </w:p>
        </w:tc>
        <w:tc>
          <w:tcPr>
            <w:tcW w:w="2620" w:type="dxa"/>
          </w:tcPr>
          <w:p w14:paraId="7C5FBE21" w14:textId="77777777" w:rsidR="00201C99" w:rsidRDefault="00201C99">
            <w:pPr>
              <w:pStyle w:val="Compact"/>
            </w:pPr>
            <w:r>
              <w:rPr>
                <w:rStyle w:val="VerbatimChar"/>
              </w:rPr>
              <w:t>E90_Objet_symbolique</w:t>
            </w:r>
          </w:p>
        </w:tc>
        <w:tc>
          <w:tcPr>
            <w:tcW w:w="2268" w:type="dxa"/>
          </w:tcPr>
          <w:p w14:paraId="000E024F" w14:textId="77777777" w:rsidR="00201C99" w:rsidRDefault="00201C99">
            <w:pPr>
              <w:pStyle w:val="Compact"/>
            </w:pPr>
            <w:r>
              <w:rPr>
                <w:rStyle w:val="VerbatimChar"/>
              </w:rPr>
              <w:t>E90_Objet_symbolique</w:t>
            </w:r>
          </w:p>
        </w:tc>
      </w:tr>
      <w:tr w:rsidR="00201C99" w14:paraId="613FC6C9" w14:textId="77777777">
        <w:tc>
          <w:tcPr>
            <w:tcW w:w="800" w:type="dxa"/>
          </w:tcPr>
          <w:p w14:paraId="79BF2F53" w14:textId="77777777" w:rsidR="00201C99" w:rsidRDefault="00201C99">
            <w:pPr>
              <w:pStyle w:val="Compact"/>
            </w:pPr>
            <w:r>
              <w:t>P165</w:t>
            </w:r>
          </w:p>
        </w:tc>
        <w:tc>
          <w:tcPr>
            <w:tcW w:w="256" w:type="dxa"/>
          </w:tcPr>
          <w:p w14:paraId="3687895A" w14:textId="77777777" w:rsidR="00201C99" w:rsidRDefault="00201C99">
            <w:pPr>
              <w:pStyle w:val="Compact"/>
            </w:pPr>
            <w:r>
              <w:t>-</w:t>
            </w:r>
          </w:p>
        </w:tc>
        <w:tc>
          <w:tcPr>
            <w:tcW w:w="4252" w:type="dxa"/>
            <w:gridSpan w:val="5"/>
          </w:tcPr>
          <w:p w14:paraId="08AD0177" w14:textId="77777777" w:rsidR="00201C99" w:rsidRDefault="00201C99">
            <w:pPr>
              <w:pStyle w:val="Compact"/>
            </w:pPr>
            <w:r w:rsidRPr="6E5D7753">
              <w:rPr>
                <w:rStyle w:val="VerbatimChar"/>
                <w:lang w:val="fr-FR"/>
              </w:rPr>
              <w:t>P165_inclut (est_inclus_dans)</w:t>
            </w:r>
          </w:p>
        </w:tc>
        <w:tc>
          <w:tcPr>
            <w:tcW w:w="2620" w:type="dxa"/>
          </w:tcPr>
          <w:p w14:paraId="701DD572" w14:textId="77777777" w:rsidR="00201C99" w:rsidRDefault="00201C99">
            <w:pPr>
              <w:pStyle w:val="Compact"/>
            </w:pPr>
            <w:r>
              <w:rPr>
                <w:rStyle w:val="VerbatimChar"/>
              </w:rPr>
              <w:t>E73_Objet_informationnel</w:t>
            </w:r>
          </w:p>
        </w:tc>
        <w:tc>
          <w:tcPr>
            <w:tcW w:w="2268" w:type="dxa"/>
          </w:tcPr>
          <w:p w14:paraId="43925E7D" w14:textId="77777777" w:rsidR="00201C99" w:rsidRDefault="00201C99">
            <w:pPr>
              <w:pStyle w:val="Compact"/>
            </w:pPr>
            <w:r>
              <w:rPr>
                <w:rStyle w:val="VerbatimChar"/>
              </w:rPr>
              <w:t>E90_Objet_symbolique</w:t>
            </w:r>
          </w:p>
        </w:tc>
      </w:tr>
      <w:tr w:rsidR="00201C99" w14:paraId="45E38ED9" w14:textId="77777777">
        <w:tc>
          <w:tcPr>
            <w:tcW w:w="800" w:type="dxa"/>
          </w:tcPr>
          <w:p w14:paraId="66BA0401" w14:textId="77777777" w:rsidR="00201C99" w:rsidRDefault="00201C99">
            <w:pPr>
              <w:pStyle w:val="Compact"/>
            </w:pPr>
            <w:r>
              <w:t>P107</w:t>
            </w:r>
          </w:p>
        </w:tc>
        <w:tc>
          <w:tcPr>
            <w:tcW w:w="4508" w:type="dxa"/>
            <w:gridSpan w:val="6"/>
          </w:tcPr>
          <w:p w14:paraId="0938854A" w14:textId="77777777" w:rsidR="00201C99" w:rsidRDefault="00201C99">
            <w:pPr>
              <w:pStyle w:val="Compact"/>
            </w:pPr>
            <w:r w:rsidRPr="6E5D7753">
              <w:rPr>
                <w:rStyle w:val="VerbatimChar"/>
                <w:lang w:val="fr-FR"/>
              </w:rPr>
              <w:t xml:space="preserve">P107_a_pour_membre_actuel_ou_antérieur </w:t>
            </w:r>
            <w:r w:rsidRPr="6E5D7753">
              <w:rPr>
                <w:rStyle w:val="VerbatimChar"/>
                <w:lang w:val="fr-FR"/>
              </w:rPr>
              <w:lastRenderedPageBreak/>
              <w:t>(est_le_membre_actuel_ou_antérieur_de)</w:t>
            </w:r>
          </w:p>
        </w:tc>
        <w:tc>
          <w:tcPr>
            <w:tcW w:w="2620" w:type="dxa"/>
          </w:tcPr>
          <w:p w14:paraId="585E2313" w14:textId="77777777" w:rsidR="00201C99" w:rsidRDefault="00201C99">
            <w:pPr>
              <w:pStyle w:val="Compact"/>
            </w:pPr>
            <w:r>
              <w:rPr>
                <w:rStyle w:val="VerbatimChar"/>
              </w:rPr>
              <w:lastRenderedPageBreak/>
              <w:t>E74_Groupe</w:t>
            </w:r>
          </w:p>
        </w:tc>
        <w:tc>
          <w:tcPr>
            <w:tcW w:w="2268" w:type="dxa"/>
          </w:tcPr>
          <w:p w14:paraId="2E747CC6" w14:textId="77777777" w:rsidR="00201C99" w:rsidRDefault="00201C99">
            <w:pPr>
              <w:pStyle w:val="Compact"/>
            </w:pPr>
            <w:r>
              <w:rPr>
                <w:rStyle w:val="VerbatimChar"/>
              </w:rPr>
              <w:t>E39_Actant</w:t>
            </w:r>
          </w:p>
        </w:tc>
      </w:tr>
      <w:tr w:rsidR="00201C99" w14:paraId="41686308" w14:textId="77777777">
        <w:tc>
          <w:tcPr>
            <w:tcW w:w="800" w:type="dxa"/>
          </w:tcPr>
          <w:p w14:paraId="45EBE948" w14:textId="77777777" w:rsidR="00201C99" w:rsidRDefault="00201C99">
            <w:pPr>
              <w:pStyle w:val="Compact"/>
            </w:pPr>
            <w:r>
              <w:t>P121</w:t>
            </w:r>
          </w:p>
        </w:tc>
        <w:tc>
          <w:tcPr>
            <w:tcW w:w="4508" w:type="dxa"/>
            <w:gridSpan w:val="6"/>
          </w:tcPr>
          <w:p w14:paraId="06614FD1" w14:textId="77777777" w:rsidR="00201C99" w:rsidRDefault="00201C99">
            <w:pPr>
              <w:pStyle w:val="Compact"/>
            </w:pPr>
            <w:r>
              <w:rPr>
                <w:rStyle w:val="VerbatimChar"/>
              </w:rPr>
              <w:t>P121_se_superpose_partiellement_à</w:t>
            </w:r>
          </w:p>
        </w:tc>
        <w:tc>
          <w:tcPr>
            <w:tcW w:w="2620" w:type="dxa"/>
          </w:tcPr>
          <w:p w14:paraId="5E3FC48A" w14:textId="77777777" w:rsidR="00201C99" w:rsidRDefault="00201C99">
            <w:pPr>
              <w:pStyle w:val="Compact"/>
            </w:pPr>
            <w:r>
              <w:rPr>
                <w:rStyle w:val="VerbatimChar"/>
              </w:rPr>
              <w:t>E53_Lieu</w:t>
            </w:r>
          </w:p>
        </w:tc>
        <w:tc>
          <w:tcPr>
            <w:tcW w:w="2268" w:type="dxa"/>
          </w:tcPr>
          <w:p w14:paraId="4F63C423" w14:textId="77777777" w:rsidR="00201C99" w:rsidRDefault="00201C99">
            <w:pPr>
              <w:pStyle w:val="Compact"/>
            </w:pPr>
            <w:r>
              <w:rPr>
                <w:rStyle w:val="VerbatimChar"/>
              </w:rPr>
              <w:t>E53_Lieu</w:t>
            </w:r>
          </w:p>
        </w:tc>
      </w:tr>
      <w:tr w:rsidR="00201C99" w14:paraId="717D8465" w14:textId="77777777">
        <w:tc>
          <w:tcPr>
            <w:tcW w:w="800" w:type="dxa"/>
          </w:tcPr>
          <w:p w14:paraId="5CAC0E75" w14:textId="77777777" w:rsidR="00201C99" w:rsidRDefault="00201C99">
            <w:pPr>
              <w:pStyle w:val="Compact"/>
            </w:pPr>
            <w:r>
              <w:t>P122</w:t>
            </w:r>
          </w:p>
        </w:tc>
        <w:tc>
          <w:tcPr>
            <w:tcW w:w="4508" w:type="dxa"/>
            <w:gridSpan w:val="6"/>
          </w:tcPr>
          <w:p w14:paraId="4FB39590" w14:textId="77777777" w:rsidR="00201C99" w:rsidRDefault="00201C99">
            <w:pPr>
              <w:pStyle w:val="Compact"/>
            </w:pPr>
            <w:r>
              <w:rPr>
                <w:rStyle w:val="VerbatimChar"/>
              </w:rPr>
              <w:t>P122_est_limitrophe_de</w:t>
            </w:r>
          </w:p>
        </w:tc>
        <w:tc>
          <w:tcPr>
            <w:tcW w:w="2620" w:type="dxa"/>
          </w:tcPr>
          <w:p w14:paraId="377DA734" w14:textId="77777777" w:rsidR="00201C99" w:rsidRDefault="00201C99">
            <w:pPr>
              <w:pStyle w:val="Compact"/>
            </w:pPr>
            <w:r>
              <w:rPr>
                <w:rStyle w:val="VerbatimChar"/>
              </w:rPr>
              <w:t>E53_Lieu</w:t>
            </w:r>
          </w:p>
        </w:tc>
        <w:tc>
          <w:tcPr>
            <w:tcW w:w="2268" w:type="dxa"/>
          </w:tcPr>
          <w:p w14:paraId="6A845353" w14:textId="77777777" w:rsidR="00201C99" w:rsidRDefault="00201C99">
            <w:pPr>
              <w:pStyle w:val="Compact"/>
            </w:pPr>
            <w:r>
              <w:rPr>
                <w:rStyle w:val="VerbatimChar"/>
              </w:rPr>
              <w:t>E53_Lieu</w:t>
            </w:r>
          </w:p>
        </w:tc>
      </w:tr>
      <w:tr w:rsidR="00201C99" w14:paraId="09248305" w14:textId="77777777">
        <w:tc>
          <w:tcPr>
            <w:tcW w:w="800" w:type="dxa"/>
          </w:tcPr>
          <w:p w14:paraId="774D1072" w14:textId="77777777" w:rsidR="00201C99" w:rsidRDefault="00201C99">
            <w:pPr>
              <w:pStyle w:val="Compact"/>
            </w:pPr>
            <w:r>
              <w:t>P125</w:t>
            </w:r>
          </w:p>
        </w:tc>
        <w:tc>
          <w:tcPr>
            <w:tcW w:w="4508" w:type="dxa"/>
            <w:gridSpan w:val="6"/>
          </w:tcPr>
          <w:p w14:paraId="627CEC0F" w14:textId="77777777" w:rsidR="00201C99" w:rsidRDefault="00201C99">
            <w:pPr>
              <w:pStyle w:val="Compact"/>
            </w:pPr>
            <w:r w:rsidRPr="6E5D7753">
              <w:rPr>
                <w:rStyle w:val="VerbatimChar"/>
                <w:lang w:val="fr-FR"/>
              </w:rPr>
              <w:t>P125_a_mobilisé_l’objet_du_type (a_été_le_type_d’objet_employé_pour)</w:t>
            </w:r>
          </w:p>
        </w:tc>
        <w:tc>
          <w:tcPr>
            <w:tcW w:w="2620" w:type="dxa"/>
          </w:tcPr>
          <w:p w14:paraId="6D78E505" w14:textId="77777777" w:rsidR="00201C99" w:rsidRDefault="00201C99">
            <w:pPr>
              <w:pStyle w:val="Compact"/>
            </w:pPr>
            <w:r>
              <w:rPr>
                <w:rStyle w:val="VerbatimChar"/>
              </w:rPr>
              <w:t>E7_Activité</w:t>
            </w:r>
          </w:p>
        </w:tc>
        <w:tc>
          <w:tcPr>
            <w:tcW w:w="2268" w:type="dxa"/>
          </w:tcPr>
          <w:p w14:paraId="51F6EE65" w14:textId="77777777" w:rsidR="00201C99" w:rsidRDefault="00201C99">
            <w:pPr>
              <w:pStyle w:val="Compact"/>
            </w:pPr>
            <w:r>
              <w:rPr>
                <w:rStyle w:val="VerbatimChar"/>
              </w:rPr>
              <w:t>E55_Type</w:t>
            </w:r>
          </w:p>
        </w:tc>
      </w:tr>
      <w:tr w:rsidR="00201C99" w14:paraId="53EDD982" w14:textId="77777777">
        <w:tc>
          <w:tcPr>
            <w:tcW w:w="800" w:type="dxa"/>
          </w:tcPr>
          <w:p w14:paraId="58C300A0" w14:textId="77777777" w:rsidR="00201C99" w:rsidRDefault="00201C99">
            <w:pPr>
              <w:pStyle w:val="Compact"/>
            </w:pPr>
            <w:r>
              <w:t>P32</w:t>
            </w:r>
          </w:p>
        </w:tc>
        <w:tc>
          <w:tcPr>
            <w:tcW w:w="256" w:type="dxa"/>
          </w:tcPr>
          <w:p w14:paraId="4BFBE19A" w14:textId="77777777" w:rsidR="00201C99" w:rsidRDefault="00201C99">
            <w:pPr>
              <w:pStyle w:val="Compact"/>
            </w:pPr>
            <w:r>
              <w:t>-</w:t>
            </w:r>
          </w:p>
        </w:tc>
        <w:tc>
          <w:tcPr>
            <w:tcW w:w="4252" w:type="dxa"/>
            <w:gridSpan w:val="5"/>
          </w:tcPr>
          <w:p w14:paraId="190AA4DE" w14:textId="77777777" w:rsidR="00201C99" w:rsidRDefault="00201C99">
            <w:pPr>
              <w:pStyle w:val="Compact"/>
            </w:pPr>
            <w:r w:rsidRPr="6E5D7753">
              <w:rPr>
                <w:rStyle w:val="VerbatimChar"/>
                <w:lang w:val="fr-FR"/>
              </w:rPr>
              <w:t>P32_a_mobilisé_comme_technique_générale (a_été_la_technique_générale_mise_en_œuvre_dans)</w:t>
            </w:r>
          </w:p>
        </w:tc>
        <w:tc>
          <w:tcPr>
            <w:tcW w:w="2620" w:type="dxa"/>
          </w:tcPr>
          <w:p w14:paraId="48639CE8" w14:textId="77777777" w:rsidR="00201C99" w:rsidRDefault="00201C99">
            <w:pPr>
              <w:pStyle w:val="Compact"/>
            </w:pPr>
            <w:r>
              <w:rPr>
                <w:rStyle w:val="VerbatimChar"/>
              </w:rPr>
              <w:t>E7_Activité</w:t>
            </w:r>
          </w:p>
        </w:tc>
        <w:tc>
          <w:tcPr>
            <w:tcW w:w="2268" w:type="dxa"/>
          </w:tcPr>
          <w:p w14:paraId="30875C54" w14:textId="77777777" w:rsidR="00201C99" w:rsidRDefault="00201C99">
            <w:pPr>
              <w:pStyle w:val="Compact"/>
            </w:pPr>
            <w:r>
              <w:rPr>
                <w:rStyle w:val="VerbatimChar"/>
              </w:rPr>
              <w:t>E55_Type</w:t>
            </w:r>
          </w:p>
        </w:tc>
      </w:tr>
      <w:tr w:rsidR="00201C99" w14:paraId="600FDACE" w14:textId="77777777">
        <w:tc>
          <w:tcPr>
            <w:tcW w:w="800" w:type="dxa"/>
          </w:tcPr>
          <w:p w14:paraId="66BE25A5" w14:textId="77777777" w:rsidR="00201C99" w:rsidRDefault="00201C99">
            <w:pPr>
              <w:pStyle w:val="Compact"/>
            </w:pPr>
            <w:r>
              <w:t>P126</w:t>
            </w:r>
          </w:p>
        </w:tc>
        <w:tc>
          <w:tcPr>
            <w:tcW w:w="4508" w:type="dxa"/>
            <w:gridSpan w:val="6"/>
          </w:tcPr>
          <w:p w14:paraId="27B7077B" w14:textId="77777777" w:rsidR="00201C99" w:rsidRDefault="00201C99">
            <w:pPr>
              <w:pStyle w:val="Compact"/>
            </w:pPr>
            <w:r w:rsidRPr="6E5D7753">
              <w:rPr>
                <w:rStyle w:val="VerbatimChar"/>
                <w:lang w:val="fr-FR"/>
              </w:rPr>
              <w:t>P126_a_employé (a_été_employé_dans)</w:t>
            </w:r>
          </w:p>
        </w:tc>
        <w:tc>
          <w:tcPr>
            <w:tcW w:w="2620" w:type="dxa"/>
          </w:tcPr>
          <w:p w14:paraId="33A6B9AC" w14:textId="77777777" w:rsidR="00201C99" w:rsidRDefault="00201C99">
            <w:pPr>
              <w:pStyle w:val="Compact"/>
            </w:pPr>
            <w:r>
              <w:rPr>
                <w:rStyle w:val="VerbatimChar"/>
              </w:rPr>
              <w:t>E11_Modification</w:t>
            </w:r>
          </w:p>
        </w:tc>
        <w:tc>
          <w:tcPr>
            <w:tcW w:w="2268" w:type="dxa"/>
          </w:tcPr>
          <w:p w14:paraId="1E2DD9F9" w14:textId="77777777" w:rsidR="00201C99" w:rsidRDefault="00201C99">
            <w:pPr>
              <w:pStyle w:val="Compact"/>
            </w:pPr>
            <w:r>
              <w:rPr>
                <w:rStyle w:val="VerbatimChar"/>
              </w:rPr>
              <w:t>E57_Matériau</w:t>
            </w:r>
          </w:p>
        </w:tc>
      </w:tr>
      <w:tr w:rsidR="00201C99" w14:paraId="22C5D6EE" w14:textId="77777777">
        <w:tc>
          <w:tcPr>
            <w:tcW w:w="800" w:type="dxa"/>
          </w:tcPr>
          <w:p w14:paraId="5B49F743" w14:textId="77777777" w:rsidR="00201C99" w:rsidRDefault="00201C99">
            <w:pPr>
              <w:pStyle w:val="Compact"/>
            </w:pPr>
            <w:r>
              <w:t>P127</w:t>
            </w:r>
          </w:p>
        </w:tc>
        <w:tc>
          <w:tcPr>
            <w:tcW w:w="4508" w:type="dxa"/>
            <w:gridSpan w:val="6"/>
          </w:tcPr>
          <w:p w14:paraId="3F9FAACB" w14:textId="77777777" w:rsidR="00201C99" w:rsidRDefault="00201C99">
            <w:pPr>
              <w:pStyle w:val="Compact"/>
            </w:pPr>
            <w:r w:rsidRPr="6E5D7753">
              <w:rPr>
                <w:rStyle w:val="VerbatimChar"/>
                <w:lang w:val="fr-FR"/>
              </w:rPr>
              <w:t>P127_a_pour_terme_général (a_pour_terme_spécifique)</w:t>
            </w:r>
          </w:p>
        </w:tc>
        <w:tc>
          <w:tcPr>
            <w:tcW w:w="2620" w:type="dxa"/>
          </w:tcPr>
          <w:p w14:paraId="6B680556" w14:textId="77777777" w:rsidR="00201C99" w:rsidRDefault="00201C99">
            <w:pPr>
              <w:pStyle w:val="Compact"/>
            </w:pPr>
            <w:r>
              <w:rPr>
                <w:rStyle w:val="VerbatimChar"/>
              </w:rPr>
              <w:t>E55_Type</w:t>
            </w:r>
          </w:p>
        </w:tc>
        <w:tc>
          <w:tcPr>
            <w:tcW w:w="2268" w:type="dxa"/>
          </w:tcPr>
          <w:p w14:paraId="10A19B0C" w14:textId="77777777" w:rsidR="00201C99" w:rsidRDefault="00201C99">
            <w:pPr>
              <w:pStyle w:val="Compact"/>
            </w:pPr>
            <w:r>
              <w:rPr>
                <w:rStyle w:val="VerbatimChar"/>
              </w:rPr>
              <w:t>E55_Type</w:t>
            </w:r>
          </w:p>
        </w:tc>
      </w:tr>
      <w:tr w:rsidR="00201C99" w14:paraId="48F9D318" w14:textId="77777777">
        <w:tc>
          <w:tcPr>
            <w:tcW w:w="800" w:type="dxa"/>
          </w:tcPr>
          <w:p w14:paraId="1AD32B73" w14:textId="77777777" w:rsidR="00201C99" w:rsidRDefault="00201C99">
            <w:pPr>
              <w:pStyle w:val="Compact"/>
            </w:pPr>
            <w:r>
              <w:t>P130</w:t>
            </w:r>
          </w:p>
        </w:tc>
        <w:tc>
          <w:tcPr>
            <w:tcW w:w="4508" w:type="dxa"/>
            <w:gridSpan w:val="6"/>
          </w:tcPr>
          <w:p w14:paraId="32369D17" w14:textId="77777777" w:rsidR="00201C99" w:rsidRDefault="00201C99">
            <w:pPr>
              <w:pStyle w:val="Compact"/>
            </w:pPr>
            <w:r w:rsidRPr="6E5D7753">
              <w:rPr>
                <w:rStyle w:val="VerbatimChar"/>
                <w:lang w:val="fr-FR"/>
              </w:rPr>
              <w:t>P130_présente_les_caractéristiques_de (a_les_caractéristiques_aussi_présentes_sur)</w:t>
            </w:r>
          </w:p>
        </w:tc>
        <w:tc>
          <w:tcPr>
            <w:tcW w:w="2620" w:type="dxa"/>
          </w:tcPr>
          <w:p w14:paraId="74354BAD" w14:textId="77777777" w:rsidR="00201C99" w:rsidRDefault="00201C99">
            <w:pPr>
              <w:pStyle w:val="Compact"/>
            </w:pPr>
            <w:r>
              <w:rPr>
                <w:rStyle w:val="VerbatimChar"/>
              </w:rPr>
              <w:t>E70_Chose</w:t>
            </w:r>
          </w:p>
        </w:tc>
        <w:tc>
          <w:tcPr>
            <w:tcW w:w="2268" w:type="dxa"/>
          </w:tcPr>
          <w:p w14:paraId="3BA52143" w14:textId="77777777" w:rsidR="00201C99" w:rsidRDefault="00201C99">
            <w:pPr>
              <w:pStyle w:val="Compact"/>
            </w:pPr>
            <w:r>
              <w:rPr>
                <w:rStyle w:val="VerbatimChar"/>
              </w:rPr>
              <w:t>E70_Chose</w:t>
            </w:r>
          </w:p>
        </w:tc>
      </w:tr>
      <w:tr w:rsidR="00201C99" w14:paraId="14D848DA" w14:textId="77777777">
        <w:tc>
          <w:tcPr>
            <w:tcW w:w="800" w:type="dxa"/>
          </w:tcPr>
          <w:p w14:paraId="33240BB2" w14:textId="77777777" w:rsidR="00201C99" w:rsidRDefault="00201C99">
            <w:pPr>
              <w:pStyle w:val="Compact"/>
            </w:pPr>
            <w:r>
              <w:t>P73i</w:t>
            </w:r>
          </w:p>
        </w:tc>
        <w:tc>
          <w:tcPr>
            <w:tcW w:w="256" w:type="dxa"/>
          </w:tcPr>
          <w:p w14:paraId="08E18C8D" w14:textId="77777777" w:rsidR="00201C99" w:rsidRDefault="00201C99">
            <w:pPr>
              <w:pStyle w:val="Compact"/>
            </w:pPr>
            <w:r>
              <w:t>-</w:t>
            </w:r>
          </w:p>
        </w:tc>
        <w:tc>
          <w:tcPr>
            <w:tcW w:w="4252" w:type="dxa"/>
            <w:gridSpan w:val="5"/>
          </w:tcPr>
          <w:p w14:paraId="4FD9AB61" w14:textId="77777777" w:rsidR="00201C99" w:rsidRDefault="00201C99">
            <w:pPr>
              <w:pStyle w:val="Compact"/>
            </w:pPr>
            <w:r>
              <w:rPr>
                <w:rStyle w:val="VerbatimChar"/>
              </w:rPr>
              <w:t>P73i_est_traduction_de</w:t>
            </w:r>
          </w:p>
        </w:tc>
        <w:tc>
          <w:tcPr>
            <w:tcW w:w="2620" w:type="dxa"/>
          </w:tcPr>
          <w:p w14:paraId="6C907DE1" w14:textId="77777777" w:rsidR="00201C99" w:rsidRDefault="00201C99">
            <w:pPr>
              <w:pStyle w:val="Compact"/>
            </w:pPr>
            <w:r>
              <w:rPr>
                <w:rStyle w:val="VerbatimChar"/>
              </w:rPr>
              <w:t>E33_Objet_linguistique</w:t>
            </w:r>
          </w:p>
        </w:tc>
        <w:tc>
          <w:tcPr>
            <w:tcW w:w="2268" w:type="dxa"/>
          </w:tcPr>
          <w:p w14:paraId="7E3A122D" w14:textId="77777777" w:rsidR="00201C99" w:rsidRDefault="00201C99">
            <w:pPr>
              <w:pStyle w:val="Compact"/>
            </w:pPr>
            <w:r>
              <w:rPr>
                <w:rStyle w:val="VerbatimChar"/>
              </w:rPr>
              <w:t>E33_Objet_linguistique</w:t>
            </w:r>
          </w:p>
        </w:tc>
      </w:tr>
      <w:tr w:rsidR="00201C99" w14:paraId="20255B6F" w14:textId="77777777">
        <w:tc>
          <w:tcPr>
            <w:tcW w:w="800" w:type="dxa"/>
          </w:tcPr>
          <w:p w14:paraId="486F9A74" w14:textId="77777777" w:rsidR="00201C99" w:rsidRDefault="00201C99">
            <w:pPr>
              <w:pStyle w:val="Compact"/>
            </w:pPr>
            <w:r>
              <w:t>P128</w:t>
            </w:r>
          </w:p>
        </w:tc>
        <w:tc>
          <w:tcPr>
            <w:tcW w:w="256" w:type="dxa"/>
          </w:tcPr>
          <w:p w14:paraId="7C852403" w14:textId="77777777" w:rsidR="00201C99" w:rsidRDefault="00201C99">
            <w:pPr>
              <w:pStyle w:val="Compact"/>
            </w:pPr>
            <w:r>
              <w:t>-</w:t>
            </w:r>
          </w:p>
        </w:tc>
        <w:tc>
          <w:tcPr>
            <w:tcW w:w="4252" w:type="dxa"/>
            <w:gridSpan w:val="5"/>
          </w:tcPr>
          <w:p w14:paraId="1AC3790F" w14:textId="77777777" w:rsidR="00201C99" w:rsidRDefault="00201C99">
            <w:pPr>
              <w:pStyle w:val="Compact"/>
            </w:pPr>
            <w:r w:rsidRPr="6E5D7753">
              <w:rPr>
                <w:rStyle w:val="VerbatimChar"/>
                <w:lang w:val="fr-FR"/>
              </w:rPr>
              <w:t>P128_est_le_support_de (a_pour_support)</w:t>
            </w:r>
          </w:p>
        </w:tc>
        <w:tc>
          <w:tcPr>
            <w:tcW w:w="2620" w:type="dxa"/>
          </w:tcPr>
          <w:p w14:paraId="5807F290" w14:textId="77777777" w:rsidR="00201C99" w:rsidRDefault="00201C99">
            <w:pPr>
              <w:pStyle w:val="Compact"/>
            </w:pPr>
            <w:r>
              <w:rPr>
                <w:rStyle w:val="VerbatimChar"/>
              </w:rPr>
              <w:t>E18_Chose_matérielle</w:t>
            </w:r>
          </w:p>
        </w:tc>
        <w:tc>
          <w:tcPr>
            <w:tcW w:w="2268" w:type="dxa"/>
          </w:tcPr>
          <w:p w14:paraId="43F16E68" w14:textId="77777777" w:rsidR="00201C99" w:rsidRDefault="00201C99">
            <w:pPr>
              <w:pStyle w:val="Compact"/>
            </w:pPr>
            <w:r>
              <w:rPr>
                <w:rStyle w:val="VerbatimChar"/>
              </w:rPr>
              <w:t>E90_Objet_symbolique</w:t>
            </w:r>
          </w:p>
        </w:tc>
      </w:tr>
      <w:tr w:rsidR="00201C99" w14:paraId="6D89B6E7" w14:textId="77777777">
        <w:tc>
          <w:tcPr>
            <w:tcW w:w="800" w:type="dxa"/>
          </w:tcPr>
          <w:p w14:paraId="54316805" w14:textId="77777777" w:rsidR="00201C99" w:rsidRDefault="00201C99">
            <w:pPr>
              <w:pStyle w:val="Compact"/>
            </w:pPr>
            <w:r>
              <w:t>P65</w:t>
            </w:r>
          </w:p>
        </w:tc>
        <w:tc>
          <w:tcPr>
            <w:tcW w:w="256" w:type="dxa"/>
          </w:tcPr>
          <w:p w14:paraId="06707896" w14:textId="77777777" w:rsidR="00201C99" w:rsidRDefault="00201C99">
            <w:pPr>
              <w:pStyle w:val="Compact"/>
            </w:pPr>
            <w:r>
              <w:t>-</w:t>
            </w:r>
          </w:p>
        </w:tc>
        <w:tc>
          <w:tcPr>
            <w:tcW w:w="267" w:type="dxa"/>
          </w:tcPr>
          <w:p w14:paraId="23CED422" w14:textId="77777777" w:rsidR="00201C99" w:rsidRDefault="00201C99">
            <w:pPr>
              <w:pStyle w:val="Compact"/>
            </w:pPr>
            <w:r>
              <w:t> </w:t>
            </w:r>
          </w:p>
        </w:tc>
        <w:tc>
          <w:tcPr>
            <w:tcW w:w="3985" w:type="dxa"/>
            <w:gridSpan w:val="4"/>
          </w:tcPr>
          <w:p w14:paraId="50ACD453" w14:textId="77777777" w:rsidR="00201C99" w:rsidRDefault="00201C99">
            <w:pPr>
              <w:pStyle w:val="Compact"/>
            </w:pPr>
            <w:r w:rsidRPr="6E5D7753">
              <w:rPr>
                <w:rStyle w:val="VerbatimChar"/>
                <w:lang w:val="fr-FR"/>
              </w:rPr>
              <w:t>P65_représente_l’entité_visuelle (est_représenté_par)</w:t>
            </w:r>
          </w:p>
        </w:tc>
        <w:tc>
          <w:tcPr>
            <w:tcW w:w="2620" w:type="dxa"/>
          </w:tcPr>
          <w:p w14:paraId="115A41EE" w14:textId="77777777" w:rsidR="00201C99" w:rsidRDefault="00201C99">
            <w:pPr>
              <w:pStyle w:val="Compact"/>
            </w:pPr>
            <w:r>
              <w:rPr>
                <w:rStyle w:val="VerbatimChar"/>
              </w:rPr>
              <w:t xml:space="preserve">E24_Chose_matérielle_élaborée_par_l’humain </w:t>
            </w:r>
          </w:p>
        </w:tc>
        <w:tc>
          <w:tcPr>
            <w:tcW w:w="2268" w:type="dxa"/>
          </w:tcPr>
          <w:p w14:paraId="4EA00FC4" w14:textId="77777777" w:rsidR="00201C99" w:rsidRDefault="00201C99">
            <w:pPr>
              <w:pStyle w:val="Compact"/>
            </w:pPr>
            <w:r>
              <w:rPr>
                <w:rStyle w:val="VerbatimChar"/>
              </w:rPr>
              <w:t>E36_Entité_visuelle</w:t>
            </w:r>
          </w:p>
        </w:tc>
      </w:tr>
      <w:tr w:rsidR="00201C99" w14:paraId="1FDA84D4" w14:textId="77777777">
        <w:tc>
          <w:tcPr>
            <w:tcW w:w="800" w:type="dxa"/>
          </w:tcPr>
          <w:p w14:paraId="573AC0EA" w14:textId="77777777" w:rsidR="00201C99" w:rsidRDefault="00201C99">
            <w:pPr>
              <w:pStyle w:val="Compact"/>
            </w:pPr>
            <w:r>
              <w:t>P132</w:t>
            </w:r>
          </w:p>
        </w:tc>
        <w:tc>
          <w:tcPr>
            <w:tcW w:w="4508" w:type="dxa"/>
            <w:gridSpan w:val="6"/>
          </w:tcPr>
          <w:p w14:paraId="0407BABC" w14:textId="77777777" w:rsidR="00201C99" w:rsidRDefault="00201C99">
            <w:pPr>
              <w:pStyle w:val="Compact"/>
            </w:pPr>
            <w:r>
              <w:rPr>
                <w:rStyle w:val="VerbatimChar"/>
              </w:rPr>
              <w:t>P132_recoupe_spatio-temporellement</w:t>
            </w:r>
          </w:p>
        </w:tc>
        <w:tc>
          <w:tcPr>
            <w:tcW w:w="2620" w:type="dxa"/>
          </w:tcPr>
          <w:p w14:paraId="37937D16" w14:textId="77777777" w:rsidR="00201C99" w:rsidRDefault="00201C99">
            <w:pPr>
              <w:pStyle w:val="Compact"/>
            </w:pPr>
            <w:r>
              <w:rPr>
                <w:rStyle w:val="VerbatimChar"/>
              </w:rPr>
              <w:t>E92_Volume_spatio-temporel</w:t>
            </w:r>
          </w:p>
        </w:tc>
        <w:tc>
          <w:tcPr>
            <w:tcW w:w="2268" w:type="dxa"/>
          </w:tcPr>
          <w:p w14:paraId="30329713" w14:textId="77777777" w:rsidR="00201C99" w:rsidRDefault="00201C99">
            <w:pPr>
              <w:pStyle w:val="Compact"/>
            </w:pPr>
            <w:r>
              <w:rPr>
                <w:rStyle w:val="VerbatimChar"/>
              </w:rPr>
              <w:t>E92_Volume_spatio-temporel</w:t>
            </w:r>
          </w:p>
        </w:tc>
      </w:tr>
      <w:tr w:rsidR="00201C99" w14:paraId="3065ED6C" w14:textId="77777777">
        <w:tc>
          <w:tcPr>
            <w:tcW w:w="800" w:type="dxa"/>
          </w:tcPr>
          <w:p w14:paraId="1D267316" w14:textId="77777777" w:rsidR="00201C99" w:rsidRDefault="00201C99">
            <w:pPr>
              <w:pStyle w:val="Compact"/>
            </w:pPr>
            <w:r>
              <w:t>P10</w:t>
            </w:r>
          </w:p>
        </w:tc>
        <w:tc>
          <w:tcPr>
            <w:tcW w:w="256" w:type="dxa"/>
          </w:tcPr>
          <w:p w14:paraId="6719E410" w14:textId="77777777" w:rsidR="00201C99" w:rsidRDefault="00201C99">
            <w:pPr>
              <w:pStyle w:val="Compact"/>
            </w:pPr>
            <w:r>
              <w:t>-</w:t>
            </w:r>
          </w:p>
        </w:tc>
        <w:tc>
          <w:tcPr>
            <w:tcW w:w="4252" w:type="dxa"/>
            <w:gridSpan w:val="5"/>
          </w:tcPr>
          <w:p w14:paraId="674F282E" w14:textId="77777777" w:rsidR="00201C99" w:rsidRDefault="00201C99">
            <w:pPr>
              <w:pStyle w:val="Compact"/>
            </w:pPr>
            <w:r>
              <w:rPr>
                <w:rStyle w:val="VerbatimChar"/>
              </w:rPr>
              <w:t>P10_s’insère_dans (contient)</w:t>
            </w:r>
          </w:p>
        </w:tc>
        <w:tc>
          <w:tcPr>
            <w:tcW w:w="2620" w:type="dxa"/>
          </w:tcPr>
          <w:p w14:paraId="62C55BE7" w14:textId="77777777" w:rsidR="00201C99" w:rsidRDefault="00201C99">
            <w:pPr>
              <w:pStyle w:val="Compact"/>
            </w:pPr>
            <w:r>
              <w:rPr>
                <w:rStyle w:val="VerbatimChar"/>
              </w:rPr>
              <w:t>E92_Volume_spatio-temporel</w:t>
            </w:r>
          </w:p>
        </w:tc>
        <w:tc>
          <w:tcPr>
            <w:tcW w:w="2268" w:type="dxa"/>
          </w:tcPr>
          <w:p w14:paraId="48639C09" w14:textId="77777777" w:rsidR="00201C99" w:rsidRDefault="00201C99">
            <w:pPr>
              <w:pStyle w:val="Compact"/>
            </w:pPr>
            <w:r>
              <w:rPr>
                <w:rStyle w:val="VerbatimChar"/>
              </w:rPr>
              <w:t>E92_Volume_spatio-temporel</w:t>
            </w:r>
          </w:p>
        </w:tc>
      </w:tr>
      <w:tr w:rsidR="00201C99" w14:paraId="4CD72304" w14:textId="77777777">
        <w:tc>
          <w:tcPr>
            <w:tcW w:w="800" w:type="dxa"/>
          </w:tcPr>
          <w:p w14:paraId="51520E24" w14:textId="77777777" w:rsidR="00201C99" w:rsidRDefault="00201C99">
            <w:pPr>
              <w:pStyle w:val="Compact"/>
            </w:pPr>
            <w:r>
              <w:t>P166</w:t>
            </w:r>
          </w:p>
        </w:tc>
        <w:tc>
          <w:tcPr>
            <w:tcW w:w="256" w:type="dxa"/>
          </w:tcPr>
          <w:p w14:paraId="53F566F9" w14:textId="77777777" w:rsidR="00201C99" w:rsidRDefault="00201C99">
            <w:pPr>
              <w:pStyle w:val="Compact"/>
            </w:pPr>
            <w:r>
              <w:t>-</w:t>
            </w:r>
          </w:p>
        </w:tc>
        <w:tc>
          <w:tcPr>
            <w:tcW w:w="267" w:type="dxa"/>
          </w:tcPr>
          <w:p w14:paraId="087C4DE1" w14:textId="77777777" w:rsidR="00201C99" w:rsidRDefault="00201C99">
            <w:pPr>
              <w:pStyle w:val="Compact"/>
            </w:pPr>
            <w:r>
              <w:t>-</w:t>
            </w:r>
          </w:p>
        </w:tc>
        <w:tc>
          <w:tcPr>
            <w:tcW w:w="3985" w:type="dxa"/>
            <w:gridSpan w:val="4"/>
          </w:tcPr>
          <w:p w14:paraId="23C4680A" w14:textId="77777777" w:rsidR="00201C99" w:rsidRDefault="00201C99">
            <w:pPr>
              <w:pStyle w:val="Compact"/>
            </w:pPr>
            <w:r w:rsidRPr="6E5D7753">
              <w:rPr>
                <w:rStyle w:val="VerbatimChar"/>
                <w:lang w:val="fr-FR"/>
              </w:rPr>
              <w:t>P166_a_été_une_présence_de (a_eu_pour_présence)</w:t>
            </w:r>
          </w:p>
        </w:tc>
        <w:tc>
          <w:tcPr>
            <w:tcW w:w="2620" w:type="dxa"/>
          </w:tcPr>
          <w:p w14:paraId="40D7FD0F" w14:textId="77777777" w:rsidR="00201C99" w:rsidRDefault="00201C99">
            <w:pPr>
              <w:pStyle w:val="Compact"/>
            </w:pPr>
            <w:r>
              <w:rPr>
                <w:rStyle w:val="VerbatimChar"/>
              </w:rPr>
              <w:t>E93_Présence</w:t>
            </w:r>
          </w:p>
        </w:tc>
        <w:tc>
          <w:tcPr>
            <w:tcW w:w="2268" w:type="dxa"/>
          </w:tcPr>
          <w:p w14:paraId="3913EF7B" w14:textId="77777777" w:rsidR="00201C99" w:rsidRDefault="00201C99">
            <w:pPr>
              <w:pStyle w:val="Compact"/>
            </w:pPr>
            <w:r>
              <w:rPr>
                <w:rStyle w:val="VerbatimChar"/>
              </w:rPr>
              <w:t>E92_Volume_spatio-temporel</w:t>
            </w:r>
          </w:p>
        </w:tc>
      </w:tr>
      <w:tr w:rsidR="00201C99" w14:paraId="6A036498" w14:textId="77777777">
        <w:tc>
          <w:tcPr>
            <w:tcW w:w="800" w:type="dxa"/>
          </w:tcPr>
          <w:p w14:paraId="7467286B" w14:textId="77777777" w:rsidR="00201C99" w:rsidRDefault="00201C99">
            <w:pPr>
              <w:pStyle w:val="Compact"/>
            </w:pPr>
            <w:r>
              <w:t>P46</w:t>
            </w:r>
          </w:p>
        </w:tc>
        <w:tc>
          <w:tcPr>
            <w:tcW w:w="4508" w:type="dxa"/>
            <w:gridSpan w:val="6"/>
          </w:tcPr>
          <w:p w14:paraId="34867427" w14:textId="77777777" w:rsidR="00201C99" w:rsidRDefault="00201C99">
            <w:pPr>
              <w:pStyle w:val="Compact"/>
            </w:pPr>
            <w:r w:rsidRPr="6E5D7753">
              <w:rPr>
                <w:rStyle w:val="VerbatimChar"/>
                <w:lang w:val="fr-FR"/>
              </w:rPr>
              <w:t>P46_est_composé_de (fait_partie_de)</w:t>
            </w:r>
          </w:p>
        </w:tc>
        <w:tc>
          <w:tcPr>
            <w:tcW w:w="2620" w:type="dxa"/>
          </w:tcPr>
          <w:p w14:paraId="2522C992" w14:textId="77777777" w:rsidR="00201C99" w:rsidRDefault="00201C99">
            <w:pPr>
              <w:pStyle w:val="Compact"/>
            </w:pPr>
            <w:r>
              <w:rPr>
                <w:rStyle w:val="VerbatimChar"/>
              </w:rPr>
              <w:t>E18_Chose_matérielle</w:t>
            </w:r>
          </w:p>
        </w:tc>
        <w:tc>
          <w:tcPr>
            <w:tcW w:w="2268" w:type="dxa"/>
          </w:tcPr>
          <w:p w14:paraId="429BB1DE" w14:textId="77777777" w:rsidR="00201C99" w:rsidRDefault="00201C99">
            <w:pPr>
              <w:pStyle w:val="Compact"/>
            </w:pPr>
            <w:r>
              <w:rPr>
                <w:rStyle w:val="VerbatimChar"/>
              </w:rPr>
              <w:t>E18_Chose_matérielle</w:t>
            </w:r>
          </w:p>
        </w:tc>
      </w:tr>
      <w:tr w:rsidR="00201C99" w14:paraId="05FA093F" w14:textId="77777777">
        <w:tc>
          <w:tcPr>
            <w:tcW w:w="800" w:type="dxa"/>
          </w:tcPr>
          <w:p w14:paraId="1F36F7FB" w14:textId="77777777" w:rsidR="00201C99" w:rsidRDefault="00201C99">
            <w:pPr>
              <w:pStyle w:val="Compact"/>
            </w:pPr>
            <w:r>
              <w:t>P56</w:t>
            </w:r>
          </w:p>
        </w:tc>
        <w:tc>
          <w:tcPr>
            <w:tcW w:w="256" w:type="dxa"/>
          </w:tcPr>
          <w:p w14:paraId="1AD42D14" w14:textId="77777777" w:rsidR="00201C99" w:rsidRDefault="00201C99">
            <w:pPr>
              <w:pStyle w:val="Compact"/>
            </w:pPr>
            <w:r>
              <w:t>-</w:t>
            </w:r>
          </w:p>
        </w:tc>
        <w:tc>
          <w:tcPr>
            <w:tcW w:w="4252" w:type="dxa"/>
            <w:gridSpan w:val="5"/>
          </w:tcPr>
          <w:p w14:paraId="58D22A63" w14:textId="77777777" w:rsidR="00201C99" w:rsidRDefault="00201C99">
            <w:pPr>
              <w:pStyle w:val="Compact"/>
            </w:pPr>
            <w:r w:rsidRPr="6E5D7753">
              <w:rPr>
                <w:rStyle w:val="VerbatimChar"/>
                <w:lang w:val="fr-FR"/>
              </w:rPr>
              <w:t>P56_a_pour_caractéristique (se_trouve_sur)</w:t>
            </w:r>
          </w:p>
        </w:tc>
        <w:tc>
          <w:tcPr>
            <w:tcW w:w="2620" w:type="dxa"/>
          </w:tcPr>
          <w:p w14:paraId="11B0F4CE" w14:textId="77777777" w:rsidR="00201C99" w:rsidRDefault="00201C99">
            <w:pPr>
              <w:pStyle w:val="Compact"/>
            </w:pPr>
            <w:r>
              <w:rPr>
                <w:rStyle w:val="VerbatimChar"/>
              </w:rPr>
              <w:t>E19_Objet_matériel</w:t>
            </w:r>
          </w:p>
        </w:tc>
        <w:tc>
          <w:tcPr>
            <w:tcW w:w="2268" w:type="dxa"/>
          </w:tcPr>
          <w:p w14:paraId="4CAC3856" w14:textId="77777777" w:rsidR="00201C99" w:rsidRDefault="00201C99">
            <w:pPr>
              <w:pStyle w:val="Compact"/>
            </w:pPr>
            <w:r>
              <w:rPr>
                <w:rStyle w:val="VerbatimChar"/>
              </w:rPr>
              <w:t>E26_Caractéristique_physique</w:t>
            </w:r>
          </w:p>
        </w:tc>
      </w:tr>
      <w:tr w:rsidR="00201C99" w14:paraId="07859A3B" w14:textId="77777777">
        <w:tc>
          <w:tcPr>
            <w:tcW w:w="800" w:type="dxa"/>
          </w:tcPr>
          <w:p w14:paraId="64416CBB" w14:textId="77777777" w:rsidR="00201C99" w:rsidRDefault="00201C99">
            <w:pPr>
              <w:pStyle w:val="Compact"/>
            </w:pPr>
            <w:r>
              <w:lastRenderedPageBreak/>
              <w:t>P133</w:t>
            </w:r>
          </w:p>
        </w:tc>
        <w:tc>
          <w:tcPr>
            <w:tcW w:w="4508" w:type="dxa"/>
            <w:gridSpan w:val="6"/>
          </w:tcPr>
          <w:p w14:paraId="3CF540A3" w14:textId="77777777" w:rsidR="00201C99" w:rsidRDefault="00201C99">
            <w:pPr>
              <w:pStyle w:val="Compact"/>
            </w:pPr>
            <w:r>
              <w:rPr>
                <w:rStyle w:val="VerbatimChar"/>
              </w:rPr>
              <w:t>P133_est_distinct_spatio-temporellement_de</w:t>
            </w:r>
          </w:p>
        </w:tc>
        <w:tc>
          <w:tcPr>
            <w:tcW w:w="2620" w:type="dxa"/>
          </w:tcPr>
          <w:p w14:paraId="27BD8CFA" w14:textId="77777777" w:rsidR="00201C99" w:rsidRDefault="00201C99">
            <w:pPr>
              <w:pStyle w:val="Compact"/>
            </w:pPr>
            <w:r>
              <w:rPr>
                <w:rStyle w:val="VerbatimChar"/>
              </w:rPr>
              <w:t>E92_Volume_spatio-temporel</w:t>
            </w:r>
          </w:p>
        </w:tc>
        <w:tc>
          <w:tcPr>
            <w:tcW w:w="2268" w:type="dxa"/>
          </w:tcPr>
          <w:p w14:paraId="2DD60B8B" w14:textId="77777777" w:rsidR="00201C99" w:rsidRDefault="00201C99">
            <w:pPr>
              <w:pStyle w:val="Compact"/>
            </w:pPr>
            <w:r>
              <w:rPr>
                <w:rStyle w:val="VerbatimChar"/>
              </w:rPr>
              <w:t>E92_Volume_spatio-temporel</w:t>
            </w:r>
          </w:p>
        </w:tc>
      </w:tr>
      <w:tr w:rsidR="00201C99" w14:paraId="07FFF07C" w14:textId="77777777">
        <w:tc>
          <w:tcPr>
            <w:tcW w:w="800" w:type="dxa"/>
          </w:tcPr>
          <w:p w14:paraId="2B7A8EE5" w14:textId="77777777" w:rsidR="00201C99" w:rsidRDefault="00201C99">
            <w:pPr>
              <w:pStyle w:val="Compact"/>
            </w:pPr>
            <w:r>
              <w:t>P139</w:t>
            </w:r>
          </w:p>
        </w:tc>
        <w:tc>
          <w:tcPr>
            <w:tcW w:w="4508" w:type="dxa"/>
            <w:gridSpan w:val="6"/>
          </w:tcPr>
          <w:p w14:paraId="17C8A948" w14:textId="77777777" w:rsidR="00201C99" w:rsidRDefault="00201C99">
            <w:pPr>
              <w:pStyle w:val="Compact"/>
            </w:pPr>
            <w:r>
              <w:rPr>
                <w:rStyle w:val="VerbatimChar"/>
              </w:rPr>
              <w:t>P139_a_pour_forme_alternative</w:t>
            </w:r>
          </w:p>
        </w:tc>
        <w:tc>
          <w:tcPr>
            <w:tcW w:w="2620" w:type="dxa"/>
          </w:tcPr>
          <w:p w14:paraId="0812EA94" w14:textId="77777777" w:rsidR="00201C99" w:rsidRDefault="00201C99">
            <w:pPr>
              <w:pStyle w:val="Compact"/>
            </w:pPr>
            <w:r>
              <w:rPr>
                <w:rStyle w:val="VerbatimChar"/>
              </w:rPr>
              <w:t>E41_Appellation</w:t>
            </w:r>
          </w:p>
        </w:tc>
        <w:tc>
          <w:tcPr>
            <w:tcW w:w="2268" w:type="dxa"/>
          </w:tcPr>
          <w:p w14:paraId="58BDE4D0" w14:textId="77777777" w:rsidR="00201C99" w:rsidRDefault="00201C99">
            <w:pPr>
              <w:pStyle w:val="Compact"/>
            </w:pPr>
            <w:r>
              <w:rPr>
                <w:rStyle w:val="VerbatimChar"/>
              </w:rPr>
              <w:t>E41_Appellation</w:t>
            </w:r>
          </w:p>
        </w:tc>
      </w:tr>
      <w:tr w:rsidR="00201C99" w14:paraId="30A228C2" w14:textId="77777777">
        <w:tc>
          <w:tcPr>
            <w:tcW w:w="800" w:type="dxa"/>
          </w:tcPr>
          <w:p w14:paraId="00B96E43" w14:textId="77777777" w:rsidR="00201C99" w:rsidRDefault="00201C99">
            <w:pPr>
              <w:pStyle w:val="Compact"/>
            </w:pPr>
            <w:r>
              <w:t>P140</w:t>
            </w:r>
          </w:p>
        </w:tc>
        <w:tc>
          <w:tcPr>
            <w:tcW w:w="4508" w:type="dxa"/>
            <w:gridSpan w:val="6"/>
          </w:tcPr>
          <w:p w14:paraId="64C7B011" w14:textId="77777777" w:rsidR="00201C99" w:rsidRDefault="00201C99">
            <w:pPr>
              <w:pStyle w:val="Compact"/>
            </w:pPr>
            <w:r w:rsidRPr="6E5D7753">
              <w:rPr>
                <w:rStyle w:val="VerbatimChar"/>
                <w:lang w:val="fr-FR"/>
              </w:rPr>
              <w:t>P140_a_assigné_l’attribut_à (a_reçu_l’attribut_par)</w:t>
            </w:r>
          </w:p>
        </w:tc>
        <w:tc>
          <w:tcPr>
            <w:tcW w:w="2620" w:type="dxa"/>
          </w:tcPr>
          <w:p w14:paraId="5BBA7110" w14:textId="77777777" w:rsidR="00201C99" w:rsidRDefault="00201C99">
            <w:pPr>
              <w:pStyle w:val="Compact"/>
            </w:pPr>
            <w:r>
              <w:rPr>
                <w:rStyle w:val="VerbatimChar"/>
              </w:rPr>
              <w:t>E13_Assignation_d’attribut</w:t>
            </w:r>
          </w:p>
        </w:tc>
        <w:tc>
          <w:tcPr>
            <w:tcW w:w="2268" w:type="dxa"/>
          </w:tcPr>
          <w:p w14:paraId="1A9065E8" w14:textId="77777777" w:rsidR="00201C99" w:rsidRDefault="00201C99">
            <w:pPr>
              <w:pStyle w:val="Compact"/>
            </w:pPr>
            <w:r>
              <w:rPr>
                <w:rStyle w:val="VerbatimChar"/>
              </w:rPr>
              <w:t>E1_Entité_CRM</w:t>
            </w:r>
          </w:p>
        </w:tc>
      </w:tr>
      <w:tr w:rsidR="00201C99" w14:paraId="7190A330" w14:textId="77777777">
        <w:tc>
          <w:tcPr>
            <w:tcW w:w="800" w:type="dxa"/>
          </w:tcPr>
          <w:p w14:paraId="58026C26" w14:textId="77777777" w:rsidR="00201C99" w:rsidRDefault="00201C99">
            <w:pPr>
              <w:pStyle w:val="Compact"/>
            </w:pPr>
            <w:r>
              <w:t>P34</w:t>
            </w:r>
          </w:p>
        </w:tc>
        <w:tc>
          <w:tcPr>
            <w:tcW w:w="256" w:type="dxa"/>
          </w:tcPr>
          <w:p w14:paraId="6FFBC731" w14:textId="77777777" w:rsidR="00201C99" w:rsidRDefault="00201C99">
            <w:pPr>
              <w:pStyle w:val="Compact"/>
            </w:pPr>
            <w:r>
              <w:t> </w:t>
            </w:r>
          </w:p>
        </w:tc>
        <w:tc>
          <w:tcPr>
            <w:tcW w:w="4252" w:type="dxa"/>
            <w:gridSpan w:val="5"/>
          </w:tcPr>
          <w:p w14:paraId="29159764" w14:textId="77777777" w:rsidR="00201C99" w:rsidRDefault="00201C99">
            <w:pPr>
              <w:pStyle w:val="Compact"/>
            </w:pPr>
            <w:r w:rsidRPr="6E5D7753">
              <w:rPr>
                <w:rStyle w:val="VerbatimChar"/>
                <w:lang w:val="fr-FR"/>
              </w:rPr>
              <w:t>P34_a_porté_sur (a_été_évalué_par)</w:t>
            </w:r>
          </w:p>
        </w:tc>
        <w:tc>
          <w:tcPr>
            <w:tcW w:w="2620" w:type="dxa"/>
          </w:tcPr>
          <w:p w14:paraId="3C5DA315" w14:textId="77777777" w:rsidR="00201C99" w:rsidRDefault="00201C99">
            <w:pPr>
              <w:pStyle w:val="Compact"/>
            </w:pPr>
            <w:r>
              <w:rPr>
                <w:rStyle w:val="VerbatimChar"/>
              </w:rPr>
              <w:t>E14_Évaluation_d’état_matériel</w:t>
            </w:r>
          </w:p>
        </w:tc>
        <w:tc>
          <w:tcPr>
            <w:tcW w:w="2268" w:type="dxa"/>
          </w:tcPr>
          <w:p w14:paraId="6F46289B" w14:textId="77777777" w:rsidR="00201C99" w:rsidRDefault="00201C99">
            <w:pPr>
              <w:pStyle w:val="Compact"/>
            </w:pPr>
            <w:r>
              <w:rPr>
                <w:rStyle w:val="VerbatimChar"/>
              </w:rPr>
              <w:t>E18_Chose_matérielle</w:t>
            </w:r>
          </w:p>
        </w:tc>
      </w:tr>
      <w:tr w:rsidR="00201C99" w14:paraId="2A34D0C1" w14:textId="77777777">
        <w:tc>
          <w:tcPr>
            <w:tcW w:w="800" w:type="dxa"/>
          </w:tcPr>
          <w:p w14:paraId="54D16365" w14:textId="77777777" w:rsidR="00201C99" w:rsidRDefault="00201C99">
            <w:pPr>
              <w:pStyle w:val="Compact"/>
            </w:pPr>
            <w:r>
              <w:t>P39</w:t>
            </w:r>
          </w:p>
        </w:tc>
        <w:tc>
          <w:tcPr>
            <w:tcW w:w="256" w:type="dxa"/>
          </w:tcPr>
          <w:p w14:paraId="7FDEF660" w14:textId="77777777" w:rsidR="00201C99" w:rsidRDefault="00201C99">
            <w:pPr>
              <w:pStyle w:val="Compact"/>
            </w:pPr>
            <w:r>
              <w:t> </w:t>
            </w:r>
          </w:p>
        </w:tc>
        <w:tc>
          <w:tcPr>
            <w:tcW w:w="4252" w:type="dxa"/>
            <w:gridSpan w:val="5"/>
          </w:tcPr>
          <w:p w14:paraId="279EB52A" w14:textId="77777777" w:rsidR="00201C99" w:rsidRDefault="00201C99">
            <w:pPr>
              <w:pStyle w:val="Compact"/>
            </w:pPr>
            <w:r w:rsidRPr="6E5D7753">
              <w:rPr>
                <w:rStyle w:val="VerbatimChar"/>
                <w:lang w:val="fr-FR"/>
              </w:rPr>
              <w:t>P39_a_mesuré (a_été_mesuré_par)</w:t>
            </w:r>
          </w:p>
        </w:tc>
        <w:tc>
          <w:tcPr>
            <w:tcW w:w="2620" w:type="dxa"/>
          </w:tcPr>
          <w:p w14:paraId="0E98E281" w14:textId="77777777" w:rsidR="00201C99" w:rsidRDefault="00201C99">
            <w:pPr>
              <w:pStyle w:val="Compact"/>
            </w:pPr>
            <w:r>
              <w:rPr>
                <w:rStyle w:val="VerbatimChar"/>
              </w:rPr>
              <w:t>E16_Mesurage</w:t>
            </w:r>
          </w:p>
        </w:tc>
        <w:tc>
          <w:tcPr>
            <w:tcW w:w="2268" w:type="dxa"/>
          </w:tcPr>
          <w:p w14:paraId="1A3624F7" w14:textId="77777777" w:rsidR="00201C99" w:rsidRDefault="00201C99">
            <w:pPr>
              <w:pStyle w:val="Compact"/>
            </w:pPr>
            <w:r>
              <w:rPr>
                <w:rStyle w:val="VerbatimChar"/>
              </w:rPr>
              <w:t>E1_Entité_CRM</w:t>
            </w:r>
          </w:p>
        </w:tc>
      </w:tr>
      <w:tr w:rsidR="00201C99" w14:paraId="6F2B4FA1" w14:textId="77777777">
        <w:tc>
          <w:tcPr>
            <w:tcW w:w="800" w:type="dxa"/>
          </w:tcPr>
          <w:p w14:paraId="4739385B" w14:textId="77777777" w:rsidR="00201C99" w:rsidRDefault="00201C99">
            <w:pPr>
              <w:pStyle w:val="Compact"/>
            </w:pPr>
            <w:r>
              <w:t>P41</w:t>
            </w:r>
          </w:p>
        </w:tc>
        <w:tc>
          <w:tcPr>
            <w:tcW w:w="256" w:type="dxa"/>
          </w:tcPr>
          <w:p w14:paraId="7933D665" w14:textId="77777777" w:rsidR="00201C99" w:rsidRDefault="00201C99">
            <w:pPr>
              <w:pStyle w:val="Compact"/>
            </w:pPr>
            <w:r>
              <w:t> </w:t>
            </w:r>
          </w:p>
        </w:tc>
        <w:tc>
          <w:tcPr>
            <w:tcW w:w="4252" w:type="dxa"/>
            <w:gridSpan w:val="5"/>
          </w:tcPr>
          <w:p w14:paraId="54B4CAA4" w14:textId="77777777" w:rsidR="00201C99" w:rsidRDefault="00201C99">
            <w:pPr>
              <w:pStyle w:val="Compact"/>
            </w:pPr>
            <w:r w:rsidRPr="6E5D7753">
              <w:rPr>
                <w:rStyle w:val="VerbatimChar"/>
                <w:lang w:val="fr-FR"/>
              </w:rPr>
              <w:t>P41_a_classifié (a_été_classifié_par)</w:t>
            </w:r>
          </w:p>
        </w:tc>
        <w:tc>
          <w:tcPr>
            <w:tcW w:w="2620" w:type="dxa"/>
          </w:tcPr>
          <w:p w14:paraId="36CEC96C" w14:textId="77777777" w:rsidR="00201C99" w:rsidRDefault="00201C99">
            <w:pPr>
              <w:pStyle w:val="Compact"/>
            </w:pPr>
            <w:r>
              <w:rPr>
                <w:rStyle w:val="VerbatimChar"/>
              </w:rPr>
              <w:t>E17_Assignation_de_type</w:t>
            </w:r>
          </w:p>
        </w:tc>
        <w:tc>
          <w:tcPr>
            <w:tcW w:w="2268" w:type="dxa"/>
          </w:tcPr>
          <w:p w14:paraId="361217E4" w14:textId="77777777" w:rsidR="00201C99" w:rsidRDefault="00201C99">
            <w:pPr>
              <w:pStyle w:val="Compact"/>
            </w:pPr>
            <w:r>
              <w:rPr>
                <w:rStyle w:val="VerbatimChar"/>
              </w:rPr>
              <w:t>E1_Entité_CRM</w:t>
            </w:r>
          </w:p>
        </w:tc>
      </w:tr>
      <w:tr w:rsidR="00201C99" w14:paraId="7CC99639" w14:textId="77777777">
        <w:tc>
          <w:tcPr>
            <w:tcW w:w="800" w:type="dxa"/>
          </w:tcPr>
          <w:p w14:paraId="6B9AD077" w14:textId="77777777" w:rsidR="00201C99" w:rsidRDefault="00201C99">
            <w:pPr>
              <w:pStyle w:val="Compact"/>
            </w:pPr>
            <w:r>
              <w:t>P141</w:t>
            </w:r>
          </w:p>
        </w:tc>
        <w:tc>
          <w:tcPr>
            <w:tcW w:w="4508" w:type="dxa"/>
            <w:gridSpan w:val="6"/>
          </w:tcPr>
          <w:p w14:paraId="2D3C6489" w14:textId="77777777" w:rsidR="00201C99" w:rsidRDefault="00201C99">
            <w:pPr>
              <w:pStyle w:val="Compact"/>
            </w:pPr>
            <w:r w:rsidRPr="6E5D7753">
              <w:rPr>
                <w:rStyle w:val="VerbatimChar"/>
                <w:lang w:val="fr-FR"/>
              </w:rPr>
              <w:t>P141_a_assigné (a_été_assigné_par)</w:t>
            </w:r>
          </w:p>
        </w:tc>
        <w:tc>
          <w:tcPr>
            <w:tcW w:w="2620" w:type="dxa"/>
          </w:tcPr>
          <w:p w14:paraId="00E9A6A1" w14:textId="77777777" w:rsidR="00201C99" w:rsidRDefault="00201C99">
            <w:pPr>
              <w:pStyle w:val="Compact"/>
            </w:pPr>
            <w:r>
              <w:rPr>
                <w:rStyle w:val="VerbatimChar"/>
              </w:rPr>
              <w:t>E13_Assignation_d’attribut</w:t>
            </w:r>
          </w:p>
        </w:tc>
        <w:tc>
          <w:tcPr>
            <w:tcW w:w="2268" w:type="dxa"/>
          </w:tcPr>
          <w:p w14:paraId="1EAA0D36" w14:textId="77777777" w:rsidR="00201C99" w:rsidRDefault="00201C99">
            <w:pPr>
              <w:pStyle w:val="Compact"/>
            </w:pPr>
            <w:r>
              <w:rPr>
                <w:rStyle w:val="VerbatimChar"/>
              </w:rPr>
              <w:t>E1_Entité_CRM</w:t>
            </w:r>
          </w:p>
        </w:tc>
      </w:tr>
      <w:tr w:rsidR="00201C99" w14:paraId="1D8E7DAA" w14:textId="77777777">
        <w:tc>
          <w:tcPr>
            <w:tcW w:w="800" w:type="dxa"/>
          </w:tcPr>
          <w:p w14:paraId="5C950A98" w14:textId="77777777" w:rsidR="00201C99" w:rsidRDefault="00201C99">
            <w:pPr>
              <w:pStyle w:val="Compact"/>
            </w:pPr>
            <w:r>
              <w:t>P35</w:t>
            </w:r>
          </w:p>
        </w:tc>
        <w:tc>
          <w:tcPr>
            <w:tcW w:w="256" w:type="dxa"/>
          </w:tcPr>
          <w:p w14:paraId="5CC45171" w14:textId="77777777" w:rsidR="00201C99" w:rsidRDefault="00201C99">
            <w:pPr>
              <w:pStyle w:val="Compact"/>
            </w:pPr>
            <w:r>
              <w:t>-</w:t>
            </w:r>
          </w:p>
        </w:tc>
        <w:tc>
          <w:tcPr>
            <w:tcW w:w="4252" w:type="dxa"/>
            <w:gridSpan w:val="5"/>
          </w:tcPr>
          <w:p w14:paraId="72754F4A" w14:textId="77777777" w:rsidR="00201C99" w:rsidRDefault="00201C99">
            <w:pPr>
              <w:pStyle w:val="Compact"/>
            </w:pPr>
            <w:r w:rsidRPr="6E5D7753">
              <w:rPr>
                <w:rStyle w:val="VerbatimChar"/>
                <w:lang w:val="fr-FR"/>
              </w:rPr>
              <w:t>P35_a_identifié (a_été_identifié_par)</w:t>
            </w:r>
          </w:p>
        </w:tc>
        <w:tc>
          <w:tcPr>
            <w:tcW w:w="2620" w:type="dxa"/>
          </w:tcPr>
          <w:p w14:paraId="196FB1A9" w14:textId="77777777" w:rsidR="00201C99" w:rsidRDefault="00201C99">
            <w:pPr>
              <w:pStyle w:val="Compact"/>
            </w:pPr>
            <w:r>
              <w:rPr>
                <w:rStyle w:val="VerbatimChar"/>
              </w:rPr>
              <w:t>E14_Évaluation_d’état_matériel</w:t>
            </w:r>
          </w:p>
        </w:tc>
        <w:tc>
          <w:tcPr>
            <w:tcW w:w="2268" w:type="dxa"/>
          </w:tcPr>
          <w:p w14:paraId="6CFF69E6" w14:textId="77777777" w:rsidR="00201C99" w:rsidRDefault="00201C99">
            <w:pPr>
              <w:pStyle w:val="Compact"/>
            </w:pPr>
            <w:r>
              <w:rPr>
                <w:rStyle w:val="VerbatimChar"/>
              </w:rPr>
              <w:t>E3_État_matériel</w:t>
            </w:r>
          </w:p>
        </w:tc>
      </w:tr>
      <w:tr w:rsidR="00201C99" w14:paraId="76DD177E" w14:textId="77777777">
        <w:tc>
          <w:tcPr>
            <w:tcW w:w="800" w:type="dxa"/>
          </w:tcPr>
          <w:p w14:paraId="7E77A5D1" w14:textId="77777777" w:rsidR="00201C99" w:rsidRDefault="00201C99">
            <w:pPr>
              <w:pStyle w:val="Compact"/>
            </w:pPr>
            <w:r>
              <w:t>P37</w:t>
            </w:r>
          </w:p>
        </w:tc>
        <w:tc>
          <w:tcPr>
            <w:tcW w:w="256" w:type="dxa"/>
          </w:tcPr>
          <w:p w14:paraId="4F213291" w14:textId="77777777" w:rsidR="00201C99" w:rsidRDefault="00201C99">
            <w:pPr>
              <w:pStyle w:val="Compact"/>
            </w:pPr>
            <w:r>
              <w:t>-</w:t>
            </w:r>
          </w:p>
        </w:tc>
        <w:tc>
          <w:tcPr>
            <w:tcW w:w="4252" w:type="dxa"/>
            <w:gridSpan w:val="5"/>
          </w:tcPr>
          <w:p w14:paraId="479DD764" w14:textId="77777777" w:rsidR="00201C99" w:rsidRDefault="00201C99">
            <w:pPr>
              <w:pStyle w:val="Compact"/>
            </w:pPr>
            <w:r w:rsidRPr="6E5D7753">
              <w:rPr>
                <w:rStyle w:val="VerbatimChar"/>
                <w:lang w:val="fr-FR"/>
              </w:rPr>
              <w:t>P37_a_assigné (a_été_assigné_par)</w:t>
            </w:r>
          </w:p>
        </w:tc>
        <w:tc>
          <w:tcPr>
            <w:tcW w:w="2620" w:type="dxa"/>
          </w:tcPr>
          <w:p w14:paraId="0D5CF4B1" w14:textId="77777777" w:rsidR="00201C99" w:rsidRDefault="00201C99">
            <w:pPr>
              <w:pStyle w:val="Compact"/>
            </w:pPr>
            <w:r>
              <w:rPr>
                <w:rStyle w:val="VerbatimChar"/>
              </w:rPr>
              <w:t>E15_Assignation_d’identifiant</w:t>
            </w:r>
          </w:p>
        </w:tc>
        <w:tc>
          <w:tcPr>
            <w:tcW w:w="2268" w:type="dxa"/>
          </w:tcPr>
          <w:p w14:paraId="4223EA37" w14:textId="77777777" w:rsidR="00201C99" w:rsidRDefault="00201C99">
            <w:pPr>
              <w:pStyle w:val="Compact"/>
            </w:pPr>
            <w:r>
              <w:rPr>
                <w:rStyle w:val="VerbatimChar"/>
              </w:rPr>
              <w:t>E42_Identifiant</w:t>
            </w:r>
          </w:p>
        </w:tc>
      </w:tr>
      <w:tr w:rsidR="00201C99" w14:paraId="4D9CC055" w14:textId="77777777">
        <w:tc>
          <w:tcPr>
            <w:tcW w:w="800" w:type="dxa"/>
          </w:tcPr>
          <w:p w14:paraId="1ADB42F9" w14:textId="77777777" w:rsidR="00201C99" w:rsidRDefault="00201C99">
            <w:pPr>
              <w:pStyle w:val="Compact"/>
            </w:pPr>
            <w:r>
              <w:t>P38</w:t>
            </w:r>
          </w:p>
        </w:tc>
        <w:tc>
          <w:tcPr>
            <w:tcW w:w="256" w:type="dxa"/>
          </w:tcPr>
          <w:p w14:paraId="68A50A38" w14:textId="77777777" w:rsidR="00201C99" w:rsidRDefault="00201C99">
            <w:pPr>
              <w:pStyle w:val="Compact"/>
            </w:pPr>
            <w:r>
              <w:t>-</w:t>
            </w:r>
          </w:p>
        </w:tc>
        <w:tc>
          <w:tcPr>
            <w:tcW w:w="4252" w:type="dxa"/>
            <w:gridSpan w:val="5"/>
          </w:tcPr>
          <w:p w14:paraId="1E85F64A" w14:textId="77777777" w:rsidR="00201C99" w:rsidRDefault="00201C99">
            <w:pPr>
              <w:pStyle w:val="Compact"/>
            </w:pPr>
            <w:r w:rsidRPr="6E5D7753">
              <w:rPr>
                <w:rStyle w:val="VerbatimChar"/>
                <w:lang w:val="fr-FR"/>
              </w:rPr>
              <w:t>P38_a_retiré_l’assignation_de (a_été_retiré_par)</w:t>
            </w:r>
          </w:p>
        </w:tc>
        <w:tc>
          <w:tcPr>
            <w:tcW w:w="2620" w:type="dxa"/>
          </w:tcPr>
          <w:p w14:paraId="14463699" w14:textId="77777777" w:rsidR="00201C99" w:rsidRDefault="00201C99">
            <w:pPr>
              <w:pStyle w:val="Compact"/>
            </w:pPr>
            <w:r>
              <w:rPr>
                <w:rStyle w:val="VerbatimChar"/>
              </w:rPr>
              <w:t>E15_Assignation_d’identifiant</w:t>
            </w:r>
          </w:p>
        </w:tc>
        <w:tc>
          <w:tcPr>
            <w:tcW w:w="2268" w:type="dxa"/>
          </w:tcPr>
          <w:p w14:paraId="64A94A85" w14:textId="77777777" w:rsidR="00201C99" w:rsidRDefault="00201C99">
            <w:pPr>
              <w:pStyle w:val="Compact"/>
            </w:pPr>
            <w:r>
              <w:rPr>
                <w:rStyle w:val="VerbatimChar"/>
              </w:rPr>
              <w:t>E42_Identifiant</w:t>
            </w:r>
          </w:p>
        </w:tc>
      </w:tr>
      <w:tr w:rsidR="00201C99" w14:paraId="212653E0" w14:textId="77777777">
        <w:tc>
          <w:tcPr>
            <w:tcW w:w="800" w:type="dxa"/>
          </w:tcPr>
          <w:p w14:paraId="118B6BED" w14:textId="77777777" w:rsidR="00201C99" w:rsidRDefault="00201C99">
            <w:pPr>
              <w:pStyle w:val="Compact"/>
            </w:pPr>
            <w:r>
              <w:t>P40</w:t>
            </w:r>
          </w:p>
        </w:tc>
        <w:tc>
          <w:tcPr>
            <w:tcW w:w="256" w:type="dxa"/>
          </w:tcPr>
          <w:p w14:paraId="2CB81DEB" w14:textId="77777777" w:rsidR="00201C99" w:rsidRDefault="00201C99">
            <w:pPr>
              <w:pStyle w:val="Compact"/>
            </w:pPr>
            <w:r>
              <w:t>-</w:t>
            </w:r>
          </w:p>
        </w:tc>
        <w:tc>
          <w:tcPr>
            <w:tcW w:w="4252" w:type="dxa"/>
            <w:gridSpan w:val="5"/>
          </w:tcPr>
          <w:p w14:paraId="2E608A67" w14:textId="77777777" w:rsidR="00201C99" w:rsidRDefault="00201C99">
            <w:pPr>
              <w:pStyle w:val="Compact"/>
            </w:pPr>
            <w:r w:rsidRPr="6E5D7753">
              <w:rPr>
                <w:rStyle w:val="VerbatimChar"/>
                <w:lang w:val="fr-FR"/>
              </w:rPr>
              <w:t>P40_a_relevé_comme_dimension (a_été_relevé_par)</w:t>
            </w:r>
          </w:p>
        </w:tc>
        <w:tc>
          <w:tcPr>
            <w:tcW w:w="2620" w:type="dxa"/>
          </w:tcPr>
          <w:p w14:paraId="48AA5694" w14:textId="77777777" w:rsidR="00201C99" w:rsidRDefault="00201C99">
            <w:pPr>
              <w:pStyle w:val="Compact"/>
            </w:pPr>
            <w:r>
              <w:rPr>
                <w:rStyle w:val="VerbatimChar"/>
              </w:rPr>
              <w:t>E16_Mesurage</w:t>
            </w:r>
          </w:p>
        </w:tc>
        <w:tc>
          <w:tcPr>
            <w:tcW w:w="2268" w:type="dxa"/>
          </w:tcPr>
          <w:p w14:paraId="49C83858" w14:textId="77777777" w:rsidR="00201C99" w:rsidRDefault="00201C99">
            <w:pPr>
              <w:pStyle w:val="Compact"/>
            </w:pPr>
            <w:r>
              <w:rPr>
                <w:rStyle w:val="VerbatimChar"/>
              </w:rPr>
              <w:t>E54_Dimension</w:t>
            </w:r>
          </w:p>
        </w:tc>
      </w:tr>
      <w:tr w:rsidR="00201C99" w14:paraId="6F8228BB" w14:textId="77777777">
        <w:tc>
          <w:tcPr>
            <w:tcW w:w="800" w:type="dxa"/>
          </w:tcPr>
          <w:p w14:paraId="566C6BED" w14:textId="77777777" w:rsidR="00201C99" w:rsidRDefault="00201C99">
            <w:pPr>
              <w:pStyle w:val="Compact"/>
            </w:pPr>
            <w:r>
              <w:t>P42</w:t>
            </w:r>
          </w:p>
        </w:tc>
        <w:tc>
          <w:tcPr>
            <w:tcW w:w="256" w:type="dxa"/>
          </w:tcPr>
          <w:p w14:paraId="18753BBE" w14:textId="77777777" w:rsidR="00201C99" w:rsidRDefault="00201C99">
            <w:pPr>
              <w:pStyle w:val="Compact"/>
            </w:pPr>
            <w:r>
              <w:t>-</w:t>
            </w:r>
          </w:p>
        </w:tc>
        <w:tc>
          <w:tcPr>
            <w:tcW w:w="4252" w:type="dxa"/>
            <w:gridSpan w:val="5"/>
          </w:tcPr>
          <w:p w14:paraId="648196ED" w14:textId="77777777" w:rsidR="00201C99" w:rsidRDefault="00201C99">
            <w:pPr>
              <w:pStyle w:val="Compact"/>
            </w:pPr>
            <w:r w:rsidRPr="6E5D7753">
              <w:rPr>
                <w:rStyle w:val="VerbatimChar"/>
                <w:lang w:val="fr-FR"/>
              </w:rPr>
              <w:t>P42_a_assigné (a_été_assigné_par)</w:t>
            </w:r>
          </w:p>
        </w:tc>
        <w:tc>
          <w:tcPr>
            <w:tcW w:w="2620" w:type="dxa"/>
          </w:tcPr>
          <w:p w14:paraId="5A87F70F" w14:textId="77777777" w:rsidR="00201C99" w:rsidRDefault="00201C99">
            <w:pPr>
              <w:pStyle w:val="Compact"/>
            </w:pPr>
            <w:r>
              <w:rPr>
                <w:rStyle w:val="VerbatimChar"/>
              </w:rPr>
              <w:t>E17_Assignation_de_type</w:t>
            </w:r>
          </w:p>
        </w:tc>
        <w:tc>
          <w:tcPr>
            <w:tcW w:w="2268" w:type="dxa"/>
          </w:tcPr>
          <w:p w14:paraId="2D1DE90B" w14:textId="77777777" w:rsidR="00201C99" w:rsidRDefault="00201C99">
            <w:pPr>
              <w:pStyle w:val="Compact"/>
            </w:pPr>
            <w:r>
              <w:rPr>
                <w:rStyle w:val="VerbatimChar"/>
              </w:rPr>
              <w:t>E55_Type</w:t>
            </w:r>
          </w:p>
        </w:tc>
      </w:tr>
      <w:tr w:rsidR="00201C99" w14:paraId="34FDD88E" w14:textId="77777777">
        <w:tc>
          <w:tcPr>
            <w:tcW w:w="800" w:type="dxa"/>
          </w:tcPr>
          <w:p w14:paraId="6F6170B0" w14:textId="77777777" w:rsidR="00201C99" w:rsidRDefault="00201C99">
            <w:pPr>
              <w:pStyle w:val="Compact"/>
            </w:pPr>
            <w:r>
              <w:t>P147</w:t>
            </w:r>
          </w:p>
        </w:tc>
        <w:tc>
          <w:tcPr>
            <w:tcW w:w="4508" w:type="dxa"/>
            <w:gridSpan w:val="6"/>
          </w:tcPr>
          <w:p w14:paraId="082CF95E" w14:textId="77777777" w:rsidR="00201C99" w:rsidRDefault="00201C99">
            <w:pPr>
              <w:pStyle w:val="Compact"/>
            </w:pPr>
            <w:r w:rsidRPr="6E5D7753">
              <w:rPr>
                <w:rStyle w:val="VerbatimChar"/>
                <w:lang w:val="fr-FR"/>
              </w:rPr>
              <w:t>P147_a_géré (a_été_géré_par)</w:t>
            </w:r>
          </w:p>
        </w:tc>
        <w:tc>
          <w:tcPr>
            <w:tcW w:w="2620" w:type="dxa"/>
          </w:tcPr>
          <w:p w14:paraId="40672E24" w14:textId="77777777" w:rsidR="00201C99" w:rsidRDefault="00201C99">
            <w:pPr>
              <w:pStyle w:val="Compact"/>
            </w:pPr>
            <w:r>
              <w:rPr>
                <w:rStyle w:val="VerbatimChar"/>
              </w:rPr>
              <w:t>E87_Activité_curatoriale</w:t>
            </w:r>
          </w:p>
        </w:tc>
        <w:tc>
          <w:tcPr>
            <w:tcW w:w="2268" w:type="dxa"/>
          </w:tcPr>
          <w:p w14:paraId="5161EE3F" w14:textId="77777777" w:rsidR="00201C99" w:rsidRDefault="00201C99">
            <w:pPr>
              <w:pStyle w:val="Compact"/>
            </w:pPr>
            <w:r>
              <w:rPr>
                <w:rStyle w:val="VerbatimChar"/>
              </w:rPr>
              <w:t>E78_Collection</w:t>
            </w:r>
          </w:p>
        </w:tc>
      </w:tr>
      <w:tr w:rsidR="00201C99" w14:paraId="6D431572" w14:textId="77777777">
        <w:tc>
          <w:tcPr>
            <w:tcW w:w="800" w:type="dxa"/>
          </w:tcPr>
          <w:p w14:paraId="0969881F" w14:textId="77777777" w:rsidR="00201C99" w:rsidRDefault="00201C99">
            <w:pPr>
              <w:pStyle w:val="Compact"/>
            </w:pPr>
            <w:r>
              <w:t>P148</w:t>
            </w:r>
          </w:p>
        </w:tc>
        <w:tc>
          <w:tcPr>
            <w:tcW w:w="4508" w:type="dxa"/>
            <w:gridSpan w:val="6"/>
          </w:tcPr>
          <w:p w14:paraId="3097BA25" w14:textId="77777777" w:rsidR="00201C99" w:rsidRDefault="00201C99">
            <w:pPr>
              <w:pStyle w:val="Compact"/>
            </w:pPr>
            <w:r w:rsidRPr="6E5D7753">
              <w:rPr>
                <w:rStyle w:val="VerbatimChar"/>
                <w:lang w:val="fr-FR"/>
              </w:rPr>
              <w:t>P148_a_pour_composant (est_le_composant_de)</w:t>
            </w:r>
          </w:p>
        </w:tc>
        <w:tc>
          <w:tcPr>
            <w:tcW w:w="2620" w:type="dxa"/>
          </w:tcPr>
          <w:p w14:paraId="47CCEFB6" w14:textId="77777777" w:rsidR="00201C99" w:rsidRDefault="00201C99">
            <w:pPr>
              <w:pStyle w:val="Compact"/>
            </w:pPr>
            <w:r>
              <w:rPr>
                <w:rStyle w:val="VerbatimChar"/>
              </w:rPr>
              <w:t>E89_Objet_propositionnel</w:t>
            </w:r>
          </w:p>
        </w:tc>
        <w:tc>
          <w:tcPr>
            <w:tcW w:w="2268" w:type="dxa"/>
          </w:tcPr>
          <w:p w14:paraId="1C1503E4" w14:textId="77777777" w:rsidR="00201C99" w:rsidRDefault="00201C99">
            <w:pPr>
              <w:pStyle w:val="Compact"/>
            </w:pPr>
            <w:r>
              <w:rPr>
                <w:rStyle w:val="VerbatimChar"/>
              </w:rPr>
              <w:t>E89_Objet_propositionnel</w:t>
            </w:r>
          </w:p>
        </w:tc>
      </w:tr>
      <w:tr w:rsidR="00201C99" w14:paraId="102CC549" w14:textId="77777777">
        <w:tc>
          <w:tcPr>
            <w:tcW w:w="800" w:type="dxa"/>
          </w:tcPr>
          <w:p w14:paraId="419AAB87" w14:textId="77777777" w:rsidR="00201C99" w:rsidRDefault="00201C99">
            <w:pPr>
              <w:pStyle w:val="Compact"/>
            </w:pPr>
            <w:r>
              <w:t>P150</w:t>
            </w:r>
          </w:p>
        </w:tc>
        <w:tc>
          <w:tcPr>
            <w:tcW w:w="4508" w:type="dxa"/>
            <w:gridSpan w:val="6"/>
          </w:tcPr>
          <w:p w14:paraId="65B33049" w14:textId="77777777" w:rsidR="00201C99" w:rsidRDefault="00201C99">
            <w:pPr>
              <w:pStyle w:val="Compact"/>
            </w:pPr>
            <w:r w:rsidRPr="6E5D7753">
              <w:rPr>
                <w:rStyle w:val="VerbatimChar"/>
                <w:lang w:val="fr-FR"/>
              </w:rPr>
              <w:t>P150_définit_les_éléments_typiques_de (définit_l’ensemble_typique_pour)</w:t>
            </w:r>
          </w:p>
        </w:tc>
        <w:tc>
          <w:tcPr>
            <w:tcW w:w="2620" w:type="dxa"/>
          </w:tcPr>
          <w:p w14:paraId="26503CFC" w14:textId="77777777" w:rsidR="00201C99" w:rsidRDefault="00201C99">
            <w:pPr>
              <w:pStyle w:val="Compact"/>
            </w:pPr>
            <w:r>
              <w:rPr>
                <w:rStyle w:val="VerbatimChar"/>
              </w:rPr>
              <w:t>E55_Type</w:t>
            </w:r>
          </w:p>
        </w:tc>
        <w:tc>
          <w:tcPr>
            <w:tcW w:w="2268" w:type="dxa"/>
          </w:tcPr>
          <w:p w14:paraId="6F404891" w14:textId="77777777" w:rsidR="00201C99" w:rsidRDefault="00201C99">
            <w:pPr>
              <w:pStyle w:val="Compact"/>
            </w:pPr>
            <w:r>
              <w:rPr>
                <w:rStyle w:val="VerbatimChar"/>
              </w:rPr>
              <w:t>E55_Type</w:t>
            </w:r>
          </w:p>
        </w:tc>
      </w:tr>
      <w:tr w:rsidR="00201C99" w14:paraId="6DABFF42" w14:textId="77777777">
        <w:tc>
          <w:tcPr>
            <w:tcW w:w="800" w:type="dxa"/>
          </w:tcPr>
          <w:p w14:paraId="2099367F" w14:textId="77777777" w:rsidR="00201C99" w:rsidRDefault="00201C99">
            <w:pPr>
              <w:pStyle w:val="Compact"/>
            </w:pPr>
            <w:r>
              <w:t>P152</w:t>
            </w:r>
          </w:p>
        </w:tc>
        <w:tc>
          <w:tcPr>
            <w:tcW w:w="4508" w:type="dxa"/>
            <w:gridSpan w:val="6"/>
          </w:tcPr>
          <w:p w14:paraId="30CC69B9" w14:textId="77777777" w:rsidR="00201C99" w:rsidRDefault="00201C99">
            <w:pPr>
              <w:pStyle w:val="Compact"/>
            </w:pPr>
            <w:r w:rsidRPr="6E5D7753">
              <w:rPr>
                <w:rStyle w:val="VerbatimChar"/>
                <w:lang w:val="fr-FR"/>
              </w:rPr>
              <w:t>P152_a_pour_parent (est_le_parent_de)</w:t>
            </w:r>
          </w:p>
        </w:tc>
        <w:tc>
          <w:tcPr>
            <w:tcW w:w="2620" w:type="dxa"/>
          </w:tcPr>
          <w:p w14:paraId="2D00B1E7" w14:textId="77777777" w:rsidR="00201C99" w:rsidRDefault="00201C99">
            <w:pPr>
              <w:pStyle w:val="Compact"/>
            </w:pPr>
            <w:r>
              <w:rPr>
                <w:rStyle w:val="VerbatimChar"/>
              </w:rPr>
              <w:t>E21_Personne</w:t>
            </w:r>
          </w:p>
        </w:tc>
        <w:tc>
          <w:tcPr>
            <w:tcW w:w="2268" w:type="dxa"/>
          </w:tcPr>
          <w:p w14:paraId="0EB5C0A4" w14:textId="77777777" w:rsidR="00201C99" w:rsidRDefault="00201C99">
            <w:pPr>
              <w:pStyle w:val="Compact"/>
            </w:pPr>
            <w:r>
              <w:rPr>
                <w:rStyle w:val="VerbatimChar"/>
              </w:rPr>
              <w:t>E21_Personne</w:t>
            </w:r>
          </w:p>
        </w:tc>
      </w:tr>
      <w:tr w:rsidR="00201C99" w14:paraId="1FA4A0FF" w14:textId="77777777">
        <w:tc>
          <w:tcPr>
            <w:tcW w:w="800" w:type="dxa"/>
          </w:tcPr>
          <w:p w14:paraId="7A6C8334" w14:textId="77777777" w:rsidR="00201C99" w:rsidRDefault="00201C99">
            <w:pPr>
              <w:pStyle w:val="Compact"/>
            </w:pPr>
            <w:r>
              <w:t>P157</w:t>
            </w:r>
          </w:p>
        </w:tc>
        <w:tc>
          <w:tcPr>
            <w:tcW w:w="4508" w:type="dxa"/>
            <w:gridSpan w:val="6"/>
          </w:tcPr>
          <w:p w14:paraId="2FF26863" w14:textId="77777777" w:rsidR="00201C99" w:rsidRDefault="00201C99">
            <w:pPr>
              <w:pStyle w:val="Compact"/>
            </w:pPr>
            <w:r w:rsidRPr="6E5D7753">
              <w:rPr>
                <w:rStyle w:val="VerbatimChar"/>
                <w:lang w:val="fr-FR"/>
              </w:rPr>
              <w:t>P157_est_à_l’arrêt_par_rapport_à (procure_l’espace_de_référence_pour)</w:t>
            </w:r>
          </w:p>
        </w:tc>
        <w:tc>
          <w:tcPr>
            <w:tcW w:w="2620" w:type="dxa"/>
          </w:tcPr>
          <w:p w14:paraId="019B799B" w14:textId="77777777" w:rsidR="00201C99" w:rsidRDefault="00201C99">
            <w:pPr>
              <w:pStyle w:val="Compact"/>
            </w:pPr>
            <w:r>
              <w:rPr>
                <w:rStyle w:val="VerbatimChar"/>
              </w:rPr>
              <w:t>E53_Lieu</w:t>
            </w:r>
          </w:p>
        </w:tc>
        <w:tc>
          <w:tcPr>
            <w:tcW w:w="2268" w:type="dxa"/>
          </w:tcPr>
          <w:p w14:paraId="4494E867" w14:textId="77777777" w:rsidR="00201C99" w:rsidRDefault="00201C99">
            <w:pPr>
              <w:pStyle w:val="Compact"/>
            </w:pPr>
            <w:r>
              <w:rPr>
                <w:rStyle w:val="VerbatimChar"/>
              </w:rPr>
              <w:t>E18_Chose_matérielle</w:t>
            </w:r>
          </w:p>
        </w:tc>
      </w:tr>
      <w:tr w:rsidR="00201C99" w14:paraId="445E348E" w14:textId="77777777">
        <w:tc>
          <w:tcPr>
            <w:tcW w:w="800" w:type="dxa"/>
          </w:tcPr>
          <w:p w14:paraId="09C112F5" w14:textId="77777777" w:rsidR="00201C99" w:rsidRDefault="00201C99">
            <w:pPr>
              <w:pStyle w:val="Compact"/>
            </w:pPr>
            <w:r>
              <w:lastRenderedPageBreak/>
              <w:t>P59i</w:t>
            </w:r>
          </w:p>
        </w:tc>
        <w:tc>
          <w:tcPr>
            <w:tcW w:w="256" w:type="dxa"/>
          </w:tcPr>
          <w:p w14:paraId="4F00FCF2" w14:textId="77777777" w:rsidR="00201C99" w:rsidRDefault="00201C99">
            <w:pPr>
              <w:pStyle w:val="Compact"/>
            </w:pPr>
            <w:r>
              <w:t>-</w:t>
            </w:r>
          </w:p>
        </w:tc>
        <w:tc>
          <w:tcPr>
            <w:tcW w:w="4252" w:type="dxa"/>
            <w:gridSpan w:val="5"/>
          </w:tcPr>
          <w:p w14:paraId="73F4B5BD" w14:textId="77777777" w:rsidR="00201C99" w:rsidRDefault="00201C99">
            <w:pPr>
              <w:pStyle w:val="Compact"/>
            </w:pPr>
            <w:r>
              <w:rPr>
                <w:rStyle w:val="VerbatimChar"/>
              </w:rPr>
              <w:t>P59i_se_situe_sur_ou_dans</w:t>
            </w:r>
          </w:p>
        </w:tc>
        <w:tc>
          <w:tcPr>
            <w:tcW w:w="2620" w:type="dxa"/>
          </w:tcPr>
          <w:p w14:paraId="0DED0E19" w14:textId="77777777" w:rsidR="00201C99" w:rsidRDefault="00201C99">
            <w:pPr>
              <w:pStyle w:val="Compact"/>
            </w:pPr>
            <w:r>
              <w:rPr>
                <w:rStyle w:val="VerbatimChar"/>
              </w:rPr>
              <w:t>E53_Lieu</w:t>
            </w:r>
          </w:p>
        </w:tc>
        <w:tc>
          <w:tcPr>
            <w:tcW w:w="2268" w:type="dxa"/>
          </w:tcPr>
          <w:p w14:paraId="5A428110" w14:textId="77777777" w:rsidR="00201C99" w:rsidRDefault="00201C99">
            <w:pPr>
              <w:pStyle w:val="Compact"/>
            </w:pPr>
            <w:r>
              <w:rPr>
                <w:rStyle w:val="VerbatimChar"/>
              </w:rPr>
              <w:t>E18_Chose_matérielle</w:t>
            </w:r>
          </w:p>
        </w:tc>
      </w:tr>
      <w:tr w:rsidR="00201C99" w14:paraId="25E9F5D4" w14:textId="77777777">
        <w:tc>
          <w:tcPr>
            <w:tcW w:w="800" w:type="dxa"/>
          </w:tcPr>
          <w:p w14:paraId="6D12FB15" w14:textId="77777777" w:rsidR="00201C99" w:rsidRDefault="00201C99">
            <w:pPr>
              <w:pStyle w:val="Compact"/>
            </w:pPr>
            <w:r>
              <w:t>P156i</w:t>
            </w:r>
          </w:p>
        </w:tc>
        <w:tc>
          <w:tcPr>
            <w:tcW w:w="256" w:type="dxa"/>
          </w:tcPr>
          <w:p w14:paraId="0C374A1F" w14:textId="77777777" w:rsidR="00201C99" w:rsidRDefault="00201C99">
            <w:pPr>
              <w:pStyle w:val="Compact"/>
            </w:pPr>
            <w:r>
              <w:t>-</w:t>
            </w:r>
          </w:p>
        </w:tc>
        <w:tc>
          <w:tcPr>
            <w:tcW w:w="4252" w:type="dxa"/>
            <w:gridSpan w:val="5"/>
          </w:tcPr>
          <w:p w14:paraId="4023338B" w14:textId="77777777" w:rsidR="00201C99" w:rsidRDefault="00201C99">
            <w:pPr>
              <w:pStyle w:val="Compact"/>
            </w:pPr>
            <w:r>
              <w:rPr>
                <w:rStyle w:val="VerbatimChar"/>
              </w:rPr>
              <w:t>P156i_est_occupé_par</w:t>
            </w:r>
          </w:p>
        </w:tc>
        <w:tc>
          <w:tcPr>
            <w:tcW w:w="2620" w:type="dxa"/>
          </w:tcPr>
          <w:p w14:paraId="217D42C0" w14:textId="77777777" w:rsidR="00201C99" w:rsidRDefault="00201C99">
            <w:pPr>
              <w:pStyle w:val="Compact"/>
            </w:pPr>
            <w:r>
              <w:rPr>
                <w:rStyle w:val="VerbatimChar"/>
              </w:rPr>
              <w:t>E53_Lieu</w:t>
            </w:r>
          </w:p>
        </w:tc>
        <w:tc>
          <w:tcPr>
            <w:tcW w:w="2268" w:type="dxa"/>
          </w:tcPr>
          <w:p w14:paraId="5D767EC3" w14:textId="77777777" w:rsidR="00201C99" w:rsidRDefault="00201C99">
            <w:pPr>
              <w:pStyle w:val="Compact"/>
            </w:pPr>
            <w:r>
              <w:rPr>
                <w:rStyle w:val="VerbatimChar"/>
              </w:rPr>
              <w:t>E18_Chose_matérielle</w:t>
            </w:r>
          </w:p>
        </w:tc>
      </w:tr>
      <w:tr w:rsidR="00201C99" w14:paraId="29A100B3" w14:textId="77777777">
        <w:tc>
          <w:tcPr>
            <w:tcW w:w="800" w:type="dxa"/>
          </w:tcPr>
          <w:p w14:paraId="1B888A94" w14:textId="77777777" w:rsidR="00201C99" w:rsidRDefault="00201C99">
            <w:pPr>
              <w:pStyle w:val="Compact"/>
            </w:pPr>
            <w:r>
              <w:t>P160</w:t>
            </w:r>
          </w:p>
        </w:tc>
        <w:tc>
          <w:tcPr>
            <w:tcW w:w="4508" w:type="dxa"/>
            <w:gridSpan w:val="6"/>
          </w:tcPr>
          <w:p w14:paraId="60390AF5" w14:textId="77777777" w:rsidR="00201C99" w:rsidRDefault="00201C99">
            <w:pPr>
              <w:pStyle w:val="Compact"/>
            </w:pPr>
            <w:r w:rsidRPr="6E5D7753">
              <w:rPr>
                <w:rStyle w:val="VerbatimChar"/>
                <w:lang w:val="fr-FR"/>
              </w:rPr>
              <w:t>P160_a_pour_projection_temporelle (est_la_projection_temporelle_de)</w:t>
            </w:r>
          </w:p>
        </w:tc>
        <w:tc>
          <w:tcPr>
            <w:tcW w:w="2620" w:type="dxa"/>
          </w:tcPr>
          <w:p w14:paraId="076645E1" w14:textId="77777777" w:rsidR="00201C99" w:rsidRDefault="00201C99">
            <w:pPr>
              <w:pStyle w:val="Compact"/>
            </w:pPr>
            <w:r>
              <w:rPr>
                <w:rStyle w:val="VerbatimChar"/>
              </w:rPr>
              <w:t>E92_Volume_spatio-temporel</w:t>
            </w:r>
          </w:p>
        </w:tc>
        <w:tc>
          <w:tcPr>
            <w:tcW w:w="2268" w:type="dxa"/>
          </w:tcPr>
          <w:p w14:paraId="7993794A" w14:textId="77777777" w:rsidR="00201C99" w:rsidRDefault="00201C99">
            <w:pPr>
              <w:pStyle w:val="Compact"/>
            </w:pPr>
            <w:r>
              <w:rPr>
                <w:rStyle w:val="VerbatimChar"/>
              </w:rPr>
              <w:t xml:space="preserve">E52_Intervalle_temporel </w:t>
            </w:r>
          </w:p>
        </w:tc>
      </w:tr>
      <w:tr w:rsidR="00201C99" w14:paraId="19E141D3" w14:textId="77777777">
        <w:tc>
          <w:tcPr>
            <w:tcW w:w="800" w:type="dxa"/>
          </w:tcPr>
          <w:p w14:paraId="20A48D66" w14:textId="77777777" w:rsidR="00201C99" w:rsidRDefault="00201C99">
            <w:pPr>
              <w:pStyle w:val="Compact"/>
            </w:pPr>
            <w:r>
              <w:t>P164</w:t>
            </w:r>
          </w:p>
        </w:tc>
        <w:tc>
          <w:tcPr>
            <w:tcW w:w="256" w:type="dxa"/>
          </w:tcPr>
          <w:p w14:paraId="63D148A3" w14:textId="77777777" w:rsidR="00201C99" w:rsidRDefault="00201C99">
            <w:pPr>
              <w:pStyle w:val="Compact"/>
            </w:pPr>
            <w:r>
              <w:t>-</w:t>
            </w:r>
          </w:p>
        </w:tc>
        <w:tc>
          <w:tcPr>
            <w:tcW w:w="4252" w:type="dxa"/>
            <w:gridSpan w:val="5"/>
          </w:tcPr>
          <w:p w14:paraId="6EDC7319" w14:textId="77777777" w:rsidR="00201C99" w:rsidRDefault="00201C99">
            <w:pPr>
              <w:pStyle w:val="Compact"/>
            </w:pPr>
            <w:r w:rsidRPr="6E5D7753">
              <w:rPr>
                <w:rStyle w:val="VerbatimChar"/>
                <w:lang w:val="fr-FR"/>
              </w:rPr>
              <w:t>P164_est_temporellement_spécifié_par (spécifie_temporellement)</w:t>
            </w:r>
          </w:p>
        </w:tc>
        <w:tc>
          <w:tcPr>
            <w:tcW w:w="2620" w:type="dxa"/>
          </w:tcPr>
          <w:p w14:paraId="1A3876C7" w14:textId="77777777" w:rsidR="00201C99" w:rsidRDefault="00201C99">
            <w:pPr>
              <w:pStyle w:val="Compact"/>
            </w:pPr>
            <w:r>
              <w:rPr>
                <w:rStyle w:val="VerbatimChar"/>
              </w:rPr>
              <w:t>E93_Présence</w:t>
            </w:r>
          </w:p>
        </w:tc>
        <w:tc>
          <w:tcPr>
            <w:tcW w:w="2268" w:type="dxa"/>
          </w:tcPr>
          <w:p w14:paraId="03316AF7" w14:textId="77777777" w:rsidR="00201C99" w:rsidRDefault="00201C99">
            <w:pPr>
              <w:pStyle w:val="Compact"/>
            </w:pPr>
            <w:r>
              <w:rPr>
                <w:rStyle w:val="VerbatimChar"/>
              </w:rPr>
              <w:t xml:space="preserve">E52_Intervalle_temporel </w:t>
            </w:r>
          </w:p>
        </w:tc>
      </w:tr>
      <w:tr w:rsidR="00201C99" w14:paraId="78A17D99" w14:textId="77777777">
        <w:tc>
          <w:tcPr>
            <w:tcW w:w="800" w:type="dxa"/>
          </w:tcPr>
          <w:p w14:paraId="71A7090E" w14:textId="77777777" w:rsidR="00201C99" w:rsidRDefault="00201C99">
            <w:pPr>
              <w:pStyle w:val="Compact"/>
            </w:pPr>
            <w:r>
              <w:t>P161</w:t>
            </w:r>
          </w:p>
        </w:tc>
        <w:tc>
          <w:tcPr>
            <w:tcW w:w="4508" w:type="dxa"/>
            <w:gridSpan w:val="6"/>
          </w:tcPr>
          <w:p w14:paraId="301340EB" w14:textId="77777777" w:rsidR="00201C99" w:rsidRDefault="00201C99">
            <w:pPr>
              <w:pStyle w:val="Compact"/>
            </w:pPr>
            <w:r w:rsidRPr="6E5D7753">
              <w:rPr>
                <w:rStyle w:val="VerbatimChar"/>
                <w:lang w:val="fr-FR"/>
              </w:rPr>
              <w:t>P161_a_pour_projection_spatiale (est_la_projection_spatiale_de)</w:t>
            </w:r>
          </w:p>
        </w:tc>
        <w:tc>
          <w:tcPr>
            <w:tcW w:w="2620" w:type="dxa"/>
          </w:tcPr>
          <w:p w14:paraId="6DAE4153" w14:textId="77777777" w:rsidR="00201C99" w:rsidRDefault="00201C99">
            <w:pPr>
              <w:pStyle w:val="Compact"/>
            </w:pPr>
            <w:r>
              <w:rPr>
                <w:rStyle w:val="VerbatimChar"/>
              </w:rPr>
              <w:t>E92_Volume_spatio-temporel</w:t>
            </w:r>
          </w:p>
        </w:tc>
        <w:tc>
          <w:tcPr>
            <w:tcW w:w="2268" w:type="dxa"/>
          </w:tcPr>
          <w:p w14:paraId="510CF1B5" w14:textId="77777777" w:rsidR="00201C99" w:rsidRDefault="00201C99">
            <w:pPr>
              <w:pStyle w:val="Compact"/>
            </w:pPr>
            <w:r>
              <w:rPr>
                <w:rStyle w:val="VerbatimChar"/>
              </w:rPr>
              <w:t>E53_Lieu</w:t>
            </w:r>
          </w:p>
        </w:tc>
      </w:tr>
      <w:tr w:rsidR="00201C99" w14:paraId="53BC3319" w14:textId="77777777">
        <w:tc>
          <w:tcPr>
            <w:tcW w:w="800" w:type="dxa"/>
          </w:tcPr>
          <w:p w14:paraId="665C5668" w14:textId="77777777" w:rsidR="00201C99" w:rsidRDefault="00201C99">
            <w:pPr>
              <w:pStyle w:val="Compact"/>
            </w:pPr>
            <w:r>
              <w:t>P167</w:t>
            </w:r>
          </w:p>
        </w:tc>
        <w:tc>
          <w:tcPr>
            <w:tcW w:w="4508" w:type="dxa"/>
            <w:gridSpan w:val="6"/>
          </w:tcPr>
          <w:p w14:paraId="7F6BCF7C" w14:textId="77777777" w:rsidR="00201C99" w:rsidRDefault="00201C99">
            <w:pPr>
              <w:pStyle w:val="Compact"/>
            </w:pPr>
            <w:r>
              <w:rPr>
                <w:rStyle w:val="VerbatimChar"/>
              </w:rPr>
              <w:t>P167_s’inscrivait_dans (comporte)</w:t>
            </w:r>
          </w:p>
        </w:tc>
        <w:tc>
          <w:tcPr>
            <w:tcW w:w="2620" w:type="dxa"/>
          </w:tcPr>
          <w:p w14:paraId="6603C3FA" w14:textId="77777777" w:rsidR="00201C99" w:rsidRDefault="00201C99">
            <w:pPr>
              <w:pStyle w:val="Compact"/>
            </w:pPr>
            <w:r>
              <w:rPr>
                <w:rStyle w:val="VerbatimChar"/>
              </w:rPr>
              <w:t>E93_Présence</w:t>
            </w:r>
          </w:p>
        </w:tc>
        <w:tc>
          <w:tcPr>
            <w:tcW w:w="2268" w:type="dxa"/>
          </w:tcPr>
          <w:p w14:paraId="39823872" w14:textId="77777777" w:rsidR="00201C99" w:rsidRDefault="00201C99">
            <w:pPr>
              <w:pStyle w:val="Compact"/>
            </w:pPr>
            <w:r>
              <w:rPr>
                <w:rStyle w:val="VerbatimChar"/>
              </w:rPr>
              <w:t>E53_Lieu</w:t>
            </w:r>
          </w:p>
        </w:tc>
      </w:tr>
      <w:tr w:rsidR="00201C99" w14:paraId="02B75A5A" w14:textId="77777777">
        <w:tc>
          <w:tcPr>
            <w:tcW w:w="800" w:type="dxa"/>
          </w:tcPr>
          <w:p w14:paraId="76011D12" w14:textId="77777777" w:rsidR="00201C99" w:rsidRDefault="00201C99">
            <w:pPr>
              <w:pStyle w:val="Compact"/>
            </w:pPr>
            <w:r>
              <w:t>P171</w:t>
            </w:r>
          </w:p>
        </w:tc>
        <w:tc>
          <w:tcPr>
            <w:tcW w:w="4508" w:type="dxa"/>
            <w:gridSpan w:val="6"/>
          </w:tcPr>
          <w:p w14:paraId="23C53753" w14:textId="77777777" w:rsidR="00201C99" w:rsidRDefault="00201C99">
            <w:pPr>
              <w:pStyle w:val="Compact"/>
            </w:pPr>
            <w:r>
              <w:rPr>
                <w:rStyle w:val="VerbatimChar"/>
              </w:rPr>
              <w:t>P171_quelque_part_dans</w:t>
            </w:r>
          </w:p>
        </w:tc>
        <w:tc>
          <w:tcPr>
            <w:tcW w:w="2620" w:type="dxa"/>
          </w:tcPr>
          <w:p w14:paraId="5FE82153" w14:textId="77777777" w:rsidR="00201C99" w:rsidRDefault="00201C99">
            <w:pPr>
              <w:pStyle w:val="Compact"/>
            </w:pPr>
            <w:r>
              <w:rPr>
                <w:rStyle w:val="VerbatimChar"/>
              </w:rPr>
              <w:t>E53_Lieu</w:t>
            </w:r>
          </w:p>
        </w:tc>
        <w:tc>
          <w:tcPr>
            <w:tcW w:w="2268" w:type="dxa"/>
          </w:tcPr>
          <w:p w14:paraId="67535381" w14:textId="77777777" w:rsidR="00201C99" w:rsidRDefault="00201C99">
            <w:pPr>
              <w:pStyle w:val="Compact"/>
            </w:pPr>
            <w:r>
              <w:rPr>
                <w:rStyle w:val="VerbatimChar"/>
              </w:rPr>
              <w:t>E94_Primitive_spatiale</w:t>
            </w:r>
          </w:p>
        </w:tc>
      </w:tr>
      <w:tr w:rsidR="00201C99" w14:paraId="3F968D39" w14:textId="77777777">
        <w:tc>
          <w:tcPr>
            <w:tcW w:w="800" w:type="dxa"/>
          </w:tcPr>
          <w:p w14:paraId="4F11E40B" w14:textId="77777777" w:rsidR="00201C99" w:rsidRDefault="00201C99">
            <w:pPr>
              <w:pStyle w:val="Compact"/>
            </w:pPr>
            <w:r>
              <w:t>P172</w:t>
            </w:r>
          </w:p>
        </w:tc>
        <w:tc>
          <w:tcPr>
            <w:tcW w:w="4508" w:type="dxa"/>
            <w:gridSpan w:val="6"/>
          </w:tcPr>
          <w:p w14:paraId="7C66606C" w14:textId="77777777" w:rsidR="00201C99" w:rsidRDefault="00201C99">
            <w:pPr>
              <w:pStyle w:val="Compact"/>
            </w:pPr>
            <w:r>
              <w:rPr>
                <w:rStyle w:val="VerbatimChar"/>
              </w:rPr>
              <w:t>P172_contient</w:t>
            </w:r>
          </w:p>
        </w:tc>
        <w:tc>
          <w:tcPr>
            <w:tcW w:w="2620" w:type="dxa"/>
          </w:tcPr>
          <w:p w14:paraId="7E8E0BB0" w14:textId="77777777" w:rsidR="00201C99" w:rsidRDefault="00201C99">
            <w:pPr>
              <w:pStyle w:val="Compact"/>
            </w:pPr>
            <w:r>
              <w:rPr>
                <w:rStyle w:val="VerbatimChar"/>
              </w:rPr>
              <w:t>E53_Lieu</w:t>
            </w:r>
          </w:p>
        </w:tc>
        <w:tc>
          <w:tcPr>
            <w:tcW w:w="2268" w:type="dxa"/>
          </w:tcPr>
          <w:p w14:paraId="2A6353E7" w14:textId="77777777" w:rsidR="00201C99" w:rsidRDefault="00201C99">
            <w:pPr>
              <w:pStyle w:val="Compact"/>
            </w:pPr>
            <w:r>
              <w:rPr>
                <w:rStyle w:val="VerbatimChar"/>
              </w:rPr>
              <w:t>E94_Primitive_spatiale</w:t>
            </w:r>
          </w:p>
        </w:tc>
      </w:tr>
      <w:tr w:rsidR="00201C99" w14:paraId="54C63E80" w14:textId="77777777">
        <w:tc>
          <w:tcPr>
            <w:tcW w:w="800" w:type="dxa"/>
          </w:tcPr>
          <w:p w14:paraId="0DB4A86A" w14:textId="77777777" w:rsidR="00201C99" w:rsidRDefault="00201C99">
            <w:pPr>
              <w:pStyle w:val="Compact"/>
            </w:pPr>
            <w:r>
              <w:t>P173</w:t>
            </w:r>
          </w:p>
        </w:tc>
        <w:tc>
          <w:tcPr>
            <w:tcW w:w="4508" w:type="dxa"/>
            <w:gridSpan w:val="6"/>
          </w:tcPr>
          <w:p w14:paraId="66ADA2C7" w14:textId="77777777" w:rsidR="00201C99" w:rsidRDefault="00201C99">
            <w:pPr>
              <w:pStyle w:val="Compact"/>
            </w:pPr>
            <w:r w:rsidRPr="6E5D7753">
              <w:rPr>
                <w:rStyle w:val="VerbatimChar"/>
                <w:lang w:val="fr-FR"/>
              </w:rPr>
              <w:t>P173_commence_avant_ou_au_moment_de_la_fin_de (se_termine_après_ou_au_moment_du_début_de)</w:t>
            </w:r>
          </w:p>
        </w:tc>
        <w:tc>
          <w:tcPr>
            <w:tcW w:w="2620" w:type="dxa"/>
          </w:tcPr>
          <w:p w14:paraId="2E4A95F1" w14:textId="77777777" w:rsidR="00201C99" w:rsidRDefault="00201C99">
            <w:pPr>
              <w:pStyle w:val="Compact"/>
            </w:pPr>
            <w:r>
              <w:rPr>
                <w:rStyle w:val="VerbatimChar"/>
              </w:rPr>
              <w:t>E2_Entité_temporelle</w:t>
            </w:r>
          </w:p>
        </w:tc>
        <w:tc>
          <w:tcPr>
            <w:tcW w:w="2268" w:type="dxa"/>
          </w:tcPr>
          <w:p w14:paraId="7E671CBB" w14:textId="77777777" w:rsidR="00201C99" w:rsidRDefault="00201C99">
            <w:pPr>
              <w:pStyle w:val="Compact"/>
            </w:pPr>
            <w:r>
              <w:rPr>
                <w:rStyle w:val="VerbatimChar"/>
              </w:rPr>
              <w:t>E2_Entité_temporelle</w:t>
            </w:r>
          </w:p>
        </w:tc>
      </w:tr>
      <w:tr w:rsidR="00201C99" w14:paraId="40793739" w14:textId="77777777">
        <w:tc>
          <w:tcPr>
            <w:tcW w:w="800" w:type="dxa"/>
          </w:tcPr>
          <w:p w14:paraId="5458850C" w14:textId="77777777" w:rsidR="00201C99" w:rsidRDefault="00201C99">
            <w:pPr>
              <w:pStyle w:val="Compact"/>
            </w:pPr>
            <w:r>
              <w:t>P174</w:t>
            </w:r>
          </w:p>
        </w:tc>
        <w:tc>
          <w:tcPr>
            <w:tcW w:w="256" w:type="dxa"/>
          </w:tcPr>
          <w:p w14:paraId="62F50150" w14:textId="77777777" w:rsidR="00201C99" w:rsidRDefault="00201C99">
            <w:pPr>
              <w:pStyle w:val="Compact"/>
            </w:pPr>
            <w:r>
              <w:t>-</w:t>
            </w:r>
          </w:p>
        </w:tc>
        <w:tc>
          <w:tcPr>
            <w:tcW w:w="4252" w:type="dxa"/>
            <w:gridSpan w:val="5"/>
          </w:tcPr>
          <w:p w14:paraId="6C403FBD" w14:textId="77777777" w:rsidR="00201C99" w:rsidRDefault="00201C99">
            <w:pPr>
              <w:pStyle w:val="Compact"/>
            </w:pPr>
            <w:r w:rsidRPr="6E5D7753">
              <w:rPr>
                <w:rStyle w:val="VerbatimChar"/>
                <w:lang w:val="fr-FR"/>
              </w:rPr>
              <w:t>P174_commence_avant_la_fin_de (se_termine_après_le_début_de)</w:t>
            </w:r>
          </w:p>
        </w:tc>
        <w:tc>
          <w:tcPr>
            <w:tcW w:w="2620" w:type="dxa"/>
          </w:tcPr>
          <w:p w14:paraId="77DA2227" w14:textId="77777777" w:rsidR="00201C99" w:rsidRDefault="00201C99">
            <w:pPr>
              <w:pStyle w:val="Compact"/>
            </w:pPr>
            <w:r>
              <w:rPr>
                <w:rStyle w:val="VerbatimChar"/>
              </w:rPr>
              <w:t>E2_Entité_temporelle</w:t>
            </w:r>
          </w:p>
        </w:tc>
        <w:tc>
          <w:tcPr>
            <w:tcW w:w="2268" w:type="dxa"/>
          </w:tcPr>
          <w:p w14:paraId="065D32F9" w14:textId="77777777" w:rsidR="00201C99" w:rsidRDefault="00201C99">
            <w:pPr>
              <w:pStyle w:val="Compact"/>
            </w:pPr>
            <w:r>
              <w:rPr>
                <w:rStyle w:val="VerbatimChar"/>
              </w:rPr>
              <w:t>E2_Entité_temporelle</w:t>
            </w:r>
          </w:p>
        </w:tc>
      </w:tr>
      <w:tr w:rsidR="00201C99" w14:paraId="116BDF5F" w14:textId="77777777">
        <w:tc>
          <w:tcPr>
            <w:tcW w:w="800" w:type="dxa"/>
          </w:tcPr>
          <w:p w14:paraId="05486B77" w14:textId="77777777" w:rsidR="00201C99" w:rsidRDefault="00201C99">
            <w:pPr>
              <w:pStyle w:val="Compact"/>
            </w:pPr>
            <w:r>
              <w:t>P184</w:t>
            </w:r>
          </w:p>
        </w:tc>
        <w:tc>
          <w:tcPr>
            <w:tcW w:w="256" w:type="dxa"/>
          </w:tcPr>
          <w:p w14:paraId="464F5AF8" w14:textId="77777777" w:rsidR="00201C99" w:rsidRDefault="00201C99">
            <w:pPr>
              <w:pStyle w:val="Compact"/>
            </w:pPr>
            <w:r>
              <w:t>-</w:t>
            </w:r>
          </w:p>
        </w:tc>
        <w:tc>
          <w:tcPr>
            <w:tcW w:w="267" w:type="dxa"/>
          </w:tcPr>
          <w:p w14:paraId="6D61B269" w14:textId="77777777" w:rsidR="00201C99" w:rsidRDefault="00201C99">
            <w:pPr>
              <w:pStyle w:val="Compact"/>
            </w:pPr>
            <w:r>
              <w:t>-</w:t>
            </w:r>
          </w:p>
        </w:tc>
        <w:tc>
          <w:tcPr>
            <w:tcW w:w="3985" w:type="dxa"/>
            <w:gridSpan w:val="4"/>
          </w:tcPr>
          <w:p w14:paraId="58064993" w14:textId="77777777" w:rsidR="00201C99" w:rsidRDefault="00201C99">
            <w:pPr>
              <w:pStyle w:val="Compact"/>
            </w:pPr>
            <w:r w:rsidRPr="6E5D7753">
              <w:rPr>
                <w:rStyle w:val="VerbatimChar"/>
                <w:lang w:val="fr-FR"/>
              </w:rPr>
              <w:t>P184_se_termine_avant_ou_au_moment_de_la_fin_de (se_termine_au_moment_ou_après_la_fin_de)</w:t>
            </w:r>
          </w:p>
        </w:tc>
        <w:tc>
          <w:tcPr>
            <w:tcW w:w="2620" w:type="dxa"/>
          </w:tcPr>
          <w:p w14:paraId="044167BE" w14:textId="77777777" w:rsidR="00201C99" w:rsidRDefault="00201C99">
            <w:pPr>
              <w:pStyle w:val="Compact"/>
            </w:pPr>
            <w:r>
              <w:rPr>
                <w:rStyle w:val="VerbatimChar"/>
              </w:rPr>
              <w:t>E2_Entité_temporelle</w:t>
            </w:r>
          </w:p>
        </w:tc>
        <w:tc>
          <w:tcPr>
            <w:tcW w:w="2268" w:type="dxa"/>
          </w:tcPr>
          <w:p w14:paraId="5C35A79B" w14:textId="77777777" w:rsidR="00201C99" w:rsidRDefault="00201C99">
            <w:pPr>
              <w:pStyle w:val="Compact"/>
            </w:pPr>
            <w:r>
              <w:rPr>
                <w:rStyle w:val="VerbatimChar"/>
              </w:rPr>
              <w:t>E2_Entité_temporelle</w:t>
            </w:r>
          </w:p>
        </w:tc>
      </w:tr>
      <w:tr w:rsidR="00201C99" w14:paraId="0EBC4B4D" w14:textId="77777777">
        <w:tc>
          <w:tcPr>
            <w:tcW w:w="800" w:type="dxa"/>
          </w:tcPr>
          <w:p w14:paraId="7264EEDD" w14:textId="77777777" w:rsidR="00201C99" w:rsidRDefault="00201C99">
            <w:pPr>
              <w:pStyle w:val="Compact"/>
            </w:pPr>
            <w:r>
              <w:t>P185</w:t>
            </w:r>
          </w:p>
        </w:tc>
        <w:tc>
          <w:tcPr>
            <w:tcW w:w="256" w:type="dxa"/>
          </w:tcPr>
          <w:p w14:paraId="252C8CB2" w14:textId="77777777" w:rsidR="00201C99" w:rsidRDefault="00201C99">
            <w:pPr>
              <w:pStyle w:val="Compact"/>
            </w:pPr>
            <w:r>
              <w:t>-</w:t>
            </w:r>
          </w:p>
        </w:tc>
        <w:tc>
          <w:tcPr>
            <w:tcW w:w="267" w:type="dxa"/>
          </w:tcPr>
          <w:p w14:paraId="391E5E9C" w14:textId="77777777" w:rsidR="00201C99" w:rsidRDefault="00201C99">
            <w:pPr>
              <w:pStyle w:val="Compact"/>
            </w:pPr>
            <w:r>
              <w:t>-</w:t>
            </w:r>
          </w:p>
        </w:tc>
        <w:tc>
          <w:tcPr>
            <w:tcW w:w="293" w:type="dxa"/>
          </w:tcPr>
          <w:p w14:paraId="5D204742" w14:textId="77777777" w:rsidR="00201C99" w:rsidRDefault="00201C99">
            <w:pPr>
              <w:pStyle w:val="Compact"/>
            </w:pPr>
            <w:r>
              <w:t>-</w:t>
            </w:r>
          </w:p>
        </w:tc>
        <w:tc>
          <w:tcPr>
            <w:tcW w:w="3692" w:type="dxa"/>
            <w:gridSpan w:val="3"/>
          </w:tcPr>
          <w:p w14:paraId="3A5A9ED8" w14:textId="77777777" w:rsidR="00201C99" w:rsidRDefault="00201C99">
            <w:pPr>
              <w:pStyle w:val="Compact"/>
            </w:pPr>
            <w:r w:rsidRPr="6E5D7753">
              <w:rPr>
                <w:rStyle w:val="VerbatimChar"/>
                <w:lang w:val="fr-FR"/>
              </w:rPr>
              <w:t xml:space="preserve">P185_se_termine_avant_la_fin_de (se_termine_après_la_fin_de) </w:t>
            </w:r>
          </w:p>
        </w:tc>
        <w:tc>
          <w:tcPr>
            <w:tcW w:w="2620" w:type="dxa"/>
          </w:tcPr>
          <w:p w14:paraId="418CA593" w14:textId="77777777" w:rsidR="00201C99" w:rsidRDefault="00201C99">
            <w:pPr>
              <w:pStyle w:val="Compact"/>
            </w:pPr>
            <w:r>
              <w:rPr>
                <w:rStyle w:val="VerbatimChar"/>
              </w:rPr>
              <w:t>E2_Entité_temporelle</w:t>
            </w:r>
          </w:p>
        </w:tc>
        <w:tc>
          <w:tcPr>
            <w:tcW w:w="2268" w:type="dxa"/>
          </w:tcPr>
          <w:p w14:paraId="4BB8E1D3" w14:textId="77777777" w:rsidR="00201C99" w:rsidRDefault="00201C99">
            <w:pPr>
              <w:pStyle w:val="Compact"/>
            </w:pPr>
            <w:r>
              <w:rPr>
                <w:rStyle w:val="VerbatimChar"/>
              </w:rPr>
              <w:t>E2_Entité_temporelle</w:t>
            </w:r>
          </w:p>
        </w:tc>
      </w:tr>
      <w:tr w:rsidR="00201C99" w14:paraId="5B8AB18B" w14:textId="77777777">
        <w:tc>
          <w:tcPr>
            <w:tcW w:w="800" w:type="dxa"/>
          </w:tcPr>
          <w:p w14:paraId="68A16ECF" w14:textId="77777777" w:rsidR="00201C99" w:rsidRDefault="00201C99">
            <w:pPr>
              <w:pStyle w:val="Compact"/>
            </w:pPr>
            <w:r>
              <w:t>P182</w:t>
            </w:r>
          </w:p>
        </w:tc>
        <w:tc>
          <w:tcPr>
            <w:tcW w:w="256" w:type="dxa"/>
          </w:tcPr>
          <w:p w14:paraId="1424F0FD" w14:textId="77777777" w:rsidR="00201C99" w:rsidRDefault="00201C99">
            <w:pPr>
              <w:pStyle w:val="Compact"/>
            </w:pPr>
            <w:r>
              <w:t>-</w:t>
            </w:r>
          </w:p>
        </w:tc>
        <w:tc>
          <w:tcPr>
            <w:tcW w:w="267" w:type="dxa"/>
          </w:tcPr>
          <w:p w14:paraId="683DE210" w14:textId="77777777" w:rsidR="00201C99" w:rsidRDefault="00201C99">
            <w:pPr>
              <w:pStyle w:val="Compact"/>
            </w:pPr>
            <w:r>
              <w:t>-</w:t>
            </w:r>
          </w:p>
        </w:tc>
        <w:tc>
          <w:tcPr>
            <w:tcW w:w="293" w:type="dxa"/>
          </w:tcPr>
          <w:p w14:paraId="29167CF2" w14:textId="77777777" w:rsidR="00201C99" w:rsidRDefault="00201C99">
            <w:pPr>
              <w:pStyle w:val="Compact"/>
            </w:pPr>
            <w:r>
              <w:t>-</w:t>
            </w:r>
          </w:p>
        </w:tc>
        <w:tc>
          <w:tcPr>
            <w:tcW w:w="309" w:type="dxa"/>
          </w:tcPr>
          <w:p w14:paraId="5EC4106D" w14:textId="77777777" w:rsidR="00201C99" w:rsidRDefault="00201C99">
            <w:pPr>
              <w:pStyle w:val="Compact"/>
            </w:pPr>
            <w:r>
              <w:t>-</w:t>
            </w:r>
          </w:p>
        </w:tc>
        <w:tc>
          <w:tcPr>
            <w:tcW w:w="3383" w:type="dxa"/>
            <w:gridSpan w:val="2"/>
          </w:tcPr>
          <w:p w14:paraId="22B70E80" w14:textId="77777777" w:rsidR="00201C99" w:rsidRDefault="00201C99">
            <w:pPr>
              <w:pStyle w:val="Compact"/>
            </w:pPr>
            <w:r w:rsidRPr="6E5D7753">
              <w:rPr>
                <w:rStyle w:val="VerbatimChar"/>
                <w:lang w:val="fr-FR"/>
              </w:rPr>
              <w:t>P182_se_termine_avant_ou_au_moment_du_début_de (commence_après_ou_au_moment_de_la_fin_de)</w:t>
            </w:r>
          </w:p>
        </w:tc>
        <w:tc>
          <w:tcPr>
            <w:tcW w:w="2620" w:type="dxa"/>
          </w:tcPr>
          <w:p w14:paraId="63B4035D" w14:textId="77777777" w:rsidR="00201C99" w:rsidRDefault="00201C99">
            <w:pPr>
              <w:pStyle w:val="Compact"/>
            </w:pPr>
            <w:r>
              <w:rPr>
                <w:rStyle w:val="VerbatimChar"/>
              </w:rPr>
              <w:t>E2_Entité_temporelle</w:t>
            </w:r>
          </w:p>
        </w:tc>
        <w:tc>
          <w:tcPr>
            <w:tcW w:w="2268" w:type="dxa"/>
          </w:tcPr>
          <w:p w14:paraId="0BF1EFD7" w14:textId="77777777" w:rsidR="00201C99" w:rsidRDefault="00201C99">
            <w:pPr>
              <w:pStyle w:val="Compact"/>
            </w:pPr>
            <w:r>
              <w:rPr>
                <w:rStyle w:val="VerbatimChar"/>
              </w:rPr>
              <w:t>E2_Entité_temporelle</w:t>
            </w:r>
          </w:p>
        </w:tc>
      </w:tr>
      <w:tr w:rsidR="00201C99" w14:paraId="569B1960" w14:textId="77777777">
        <w:tc>
          <w:tcPr>
            <w:tcW w:w="800" w:type="dxa"/>
          </w:tcPr>
          <w:p w14:paraId="72CA024D" w14:textId="77777777" w:rsidR="00201C99" w:rsidRDefault="00201C99">
            <w:pPr>
              <w:pStyle w:val="Compact"/>
            </w:pPr>
            <w:r>
              <w:t>P175</w:t>
            </w:r>
          </w:p>
        </w:tc>
        <w:tc>
          <w:tcPr>
            <w:tcW w:w="256" w:type="dxa"/>
          </w:tcPr>
          <w:p w14:paraId="4AC737E3" w14:textId="77777777" w:rsidR="00201C99" w:rsidRDefault="00201C99">
            <w:pPr>
              <w:pStyle w:val="Compact"/>
            </w:pPr>
            <w:r>
              <w:t>-</w:t>
            </w:r>
          </w:p>
        </w:tc>
        <w:tc>
          <w:tcPr>
            <w:tcW w:w="267" w:type="dxa"/>
          </w:tcPr>
          <w:p w14:paraId="57B7D94E" w14:textId="77777777" w:rsidR="00201C99" w:rsidRDefault="00201C99">
            <w:pPr>
              <w:pStyle w:val="Compact"/>
            </w:pPr>
            <w:r>
              <w:t>-</w:t>
            </w:r>
          </w:p>
        </w:tc>
        <w:tc>
          <w:tcPr>
            <w:tcW w:w="3985" w:type="dxa"/>
            <w:gridSpan w:val="4"/>
          </w:tcPr>
          <w:p w14:paraId="43185702" w14:textId="77777777" w:rsidR="00201C99" w:rsidRDefault="00201C99">
            <w:pPr>
              <w:pStyle w:val="Compact"/>
            </w:pPr>
            <w:r w:rsidRPr="6E5D7753">
              <w:rPr>
                <w:rStyle w:val="VerbatimChar"/>
                <w:lang w:val="fr-FR"/>
              </w:rPr>
              <w:t>P175_commence_avant_ou_au_moment_du_début_de (commence_après_ou_au_moment_du_début_de)</w:t>
            </w:r>
          </w:p>
        </w:tc>
        <w:tc>
          <w:tcPr>
            <w:tcW w:w="2620" w:type="dxa"/>
          </w:tcPr>
          <w:p w14:paraId="17CEC11E" w14:textId="77777777" w:rsidR="00201C99" w:rsidRDefault="00201C99">
            <w:pPr>
              <w:pStyle w:val="Compact"/>
            </w:pPr>
            <w:r>
              <w:rPr>
                <w:rStyle w:val="VerbatimChar"/>
              </w:rPr>
              <w:t>E2_Entité_temporelle</w:t>
            </w:r>
          </w:p>
        </w:tc>
        <w:tc>
          <w:tcPr>
            <w:tcW w:w="2268" w:type="dxa"/>
          </w:tcPr>
          <w:p w14:paraId="71D36A1F" w14:textId="77777777" w:rsidR="00201C99" w:rsidRDefault="00201C99">
            <w:pPr>
              <w:pStyle w:val="Compact"/>
            </w:pPr>
            <w:r>
              <w:rPr>
                <w:rStyle w:val="VerbatimChar"/>
              </w:rPr>
              <w:t>E2_Entité_temporelle</w:t>
            </w:r>
          </w:p>
        </w:tc>
      </w:tr>
      <w:tr w:rsidR="00201C99" w14:paraId="5720E945" w14:textId="77777777">
        <w:tc>
          <w:tcPr>
            <w:tcW w:w="800" w:type="dxa"/>
          </w:tcPr>
          <w:p w14:paraId="17296A4B" w14:textId="77777777" w:rsidR="00201C99" w:rsidRDefault="00201C99">
            <w:pPr>
              <w:pStyle w:val="Compact"/>
            </w:pPr>
            <w:r>
              <w:lastRenderedPageBreak/>
              <w:t>P176</w:t>
            </w:r>
          </w:p>
        </w:tc>
        <w:tc>
          <w:tcPr>
            <w:tcW w:w="256" w:type="dxa"/>
          </w:tcPr>
          <w:p w14:paraId="2ADF80BC" w14:textId="77777777" w:rsidR="00201C99" w:rsidRDefault="00201C99">
            <w:pPr>
              <w:pStyle w:val="Compact"/>
            </w:pPr>
            <w:r>
              <w:t>-</w:t>
            </w:r>
          </w:p>
        </w:tc>
        <w:tc>
          <w:tcPr>
            <w:tcW w:w="267" w:type="dxa"/>
          </w:tcPr>
          <w:p w14:paraId="5B5A7CB2" w14:textId="77777777" w:rsidR="00201C99" w:rsidRDefault="00201C99">
            <w:pPr>
              <w:pStyle w:val="Compact"/>
            </w:pPr>
            <w:r>
              <w:t>-</w:t>
            </w:r>
          </w:p>
        </w:tc>
        <w:tc>
          <w:tcPr>
            <w:tcW w:w="293" w:type="dxa"/>
          </w:tcPr>
          <w:p w14:paraId="396E8EAF" w14:textId="77777777" w:rsidR="00201C99" w:rsidRDefault="00201C99">
            <w:pPr>
              <w:pStyle w:val="Compact"/>
            </w:pPr>
            <w:r>
              <w:t>-</w:t>
            </w:r>
          </w:p>
        </w:tc>
        <w:tc>
          <w:tcPr>
            <w:tcW w:w="3692" w:type="dxa"/>
            <w:gridSpan w:val="3"/>
          </w:tcPr>
          <w:p w14:paraId="61649721" w14:textId="77777777" w:rsidR="00201C99" w:rsidRDefault="00201C99">
            <w:pPr>
              <w:pStyle w:val="Compact"/>
            </w:pPr>
            <w:r w:rsidRPr="6E5D7753">
              <w:rPr>
                <w:rStyle w:val="VerbatimChar"/>
                <w:lang w:val="fr-FR"/>
              </w:rPr>
              <w:t>P176_commence_avant_le_début_de (commence_après_le_début_de)</w:t>
            </w:r>
          </w:p>
        </w:tc>
        <w:tc>
          <w:tcPr>
            <w:tcW w:w="2620" w:type="dxa"/>
          </w:tcPr>
          <w:p w14:paraId="6B06B8BC" w14:textId="77777777" w:rsidR="00201C99" w:rsidRDefault="00201C99">
            <w:pPr>
              <w:pStyle w:val="Compact"/>
            </w:pPr>
            <w:r>
              <w:rPr>
                <w:rStyle w:val="VerbatimChar"/>
              </w:rPr>
              <w:t>E2_Entité_temporelle</w:t>
            </w:r>
          </w:p>
        </w:tc>
        <w:tc>
          <w:tcPr>
            <w:tcW w:w="2268" w:type="dxa"/>
          </w:tcPr>
          <w:p w14:paraId="7BE9E5C6" w14:textId="77777777" w:rsidR="00201C99" w:rsidRDefault="00201C99">
            <w:pPr>
              <w:pStyle w:val="Compact"/>
            </w:pPr>
            <w:r>
              <w:rPr>
                <w:rStyle w:val="VerbatimChar"/>
              </w:rPr>
              <w:t>E2_Entité_temporelle</w:t>
            </w:r>
          </w:p>
        </w:tc>
      </w:tr>
      <w:tr w:rsidR="00201C99" w14:paraId="289055C3" w14:textId="77777777">
        <w:tc>
          <w:tcPr>
            <w:tcW w:w="800" w:type="dxa"/>
          </w:tcPr>
          <w:p w14:paraId="24A1DE26" w14:textId="77777777" w:rsidR="00201C99" w:rsidRDefault="00201C99">
            <w:pPr>
              <w:pStyle w:val="Compact"/>
            </w:pPr>
            <w:r>
              <w:t>P134i</w:t>
            </w:r>
          </w:p>
        </w:tc>
        <w:tc>
          <w:tcPr>
            <w:tcW w:w="256" w:type="dxa"/>
          </w:tcPr>
          <w:p w14:paraId="70D428B9" w14:textId="77777777" w:rsidR="00201C99" w:rsidRDefault="00201C99">
            <w:pPr>
              <w:pStyle w:val="Compact"/>
            </w:pPr>
            <w:r>
              <w:t>-</w:t>
            </w:r>
          </w:p>
        </w:tc>
        <w:tc>
          <w:tcPr>
            <w:tcW w:w="267" w:type="dxa"/>
          </w:tcPr>
          <w:p w14:paraId="162B4802" w14:textId="77777777" w:rsidR="00201C99" w:rsidRDefault="00201C99">
            <w:pPr>
              <w:pStyle w:val="Compact"/>
            </w:pPr>
            <w:r>
              <w:t>-</w:t>
            </w:r>
          </w:p>
        </w:tc>
        <w:tc>
          <w:tcPr>
            <w:tcW w:w="293" w:type="dxa"/>
          </w:tcPr>
          <w:p w14:paraId="15761F83" w14:textId="77777777" w:rsidR="00201C99" w:rsidRDefault="00201C99">
            <w:pPr>
              <w:pStyle w:val="Compact"/>
            </w:pPr>
            <w:r>
              <w:t>-</w:t>
            </w:r>
          </w:p>
        </w:tc>
        <w:tc>
          <w:tcPr>
            <w:tcW w:w="309" w:type="dxa"/>
          </w:tcPr>
          <w:p w14:paraId="6FA3B390" w14:textId="77777777" w:rsidR="00201C99" w:rsidRDefault="00201C99">
            <w:pPr>
              <w:pStyle w:val="Compact"/>
            </w:pPr>
            <w:r>
              <w:t>-</w:t>
            </w:r>
          </w:p>
        </w:tc>
        <w:tc>
          <w:tcPr>
            <w:tcW w:w="3383" w:type="dxa"/>
            <w:gridSpan w:val="2"/>
          </w:tcPr>
          <w:p w14:paraId="762C8662" w14:textId="77777777" w:rsidR="00201C99" w:rsidRDefault="00201C99">
            <w:pPr>
              <w:pStyle w:val="Compact"/>
            </w:pPr>
            <w:r>
              <w:rPr>
                <w:rStyle w:val="VerbatimChar"/>
                <w:i/>
                <w:iCs/>
              </w:rPr>
              <w:t>P134_a_été_continué_par</w:t>
            </w:r>
          </w:p>
        </w:tc>
        <w:tc>
          <w:tcPr>
            <w:tcW w:w="2620" w:type="dxa"/>
          </w:tcPr>
          <w:p w14:paraId="252C4D2C" w14:textId="77777777" w:rsidR="00201C99" w:rsidRDefault="00201C99">
            <w:pPr>
              <w:pStyle w:val="Compact"/>
            </w:pPr>
            <w:r>
              <w:rPr>
                <w:rStyle w:val="VerbatimChar"/>
                <w:i/>
                <w:iCs/>
              </w:rPr>
              <w:t>E7_Activité</w:t>
            </w:r>
          </w:p>
        </w:tc>
        <w:tc>
          <w:tcPr>
            <w:tcW w:w="2268" w:type="dxa"/>
          </w:tcPr>
          <w:p w14:paraId="2F99564B" w14:textId="77777777" w:rsidR="00201C99" w:rsidRDefault="00201C99">
            <w:pPr>
              <w:pStyle w:val="Compact"/>
            </w:pPr>
            <w:r>
              <w:rPr>
                <w:rStyle w:val="VerbatimChar"/>
                <w:i/>
                <w:iCs/>
              </w:rPr>
              <w:t>E7_Activité</w:t>
            </w:r>
          </w:p>
        </w:tc>
      </w:tr>
      <w:tr w:rsidR="00201C99" w14:paraId="504C00A4" w14:textId="77777777">
        <w:tc>
          <w:tcPr>
            <w:tcW w:w="800" w:type="dxa"/>
          </w:tcPr>
          <w:p w14:paraId="4436DD80" w14:textId="77777777" w:rsidR="00201C99" w:rsidRDefault="00201C99">
            <w:pPr>
              <w:pStyle w:val="Compact"/>
            </w:pPr>
            <w:r>
              <w:t>P182</w:t>
            </w:r>
          </w:p>
        </w:tc>
        <w:tc>
          <w:tcPr>
            <w:tcW w:w="256" w:type="dxa"/>
          </w:tcPr>
          <w:p w14:paraId="07DC522B" w14:textId="77777777" w:rsidR="00201C99" w:rsidRDefault="00201C99">
            <w:pPr>
              <w:pStyle w:val="Compact"/>
            </w:pPr>
            <w:r>
              <w:t>-</w:t>
            </w:r>
          </w:p>
        </w:tc>
        <w:tc>
          <w:tcPr>
            <w:tcW w:w="267" w:type="dxa"/>
          </w:tcPr>
          <w:p w14:paraId="2A48E6DB" w14:textId="77777777" w:rsidR="00201C99" w:rsidRDefault="00201C99">
            <w:pPr>
              <w:pStyle w:val="Compact"/>
            </w:pPr>
            <w:r>
              <w:t>-</w:t>
            </w:r>
          </w:p>
        </w:tc>
        <w:tc>
          <w:tcPr>
            <w:tcW w:w="293" w:type="dxa"/>
          </w:tcPr>
          <w:p w14:paraId="49CD31FB" w14:textId="77777777" w:rsidR="00201C99" w:rsidRDefault="00201C99">
            <w:pPr>
              <w:pStyle w:val="Compact"/>
            </w:pPr>
            <w:r>
              <w:t>-</w:t>
            </w:r>
          </w:p>
        </w:tc>
        <w:tc>
          <w:tcPr>
            <w:tcW w:w="309" w:type="dxa"/>
          </w:tcPr>
          <w:p w14:paraId="60033C87" w14:textId="77777777" w:rsidR="00201C99" w:rsidRDefault="00201C99">
            <w:pPr>
              <w:pStyle w:val="Compact"/>
            </w:pPr>
            <w:r>
              <w:t>-</w:t>
            </w:r>
          </w:p>
        </w:tc>
        <w:tc>
          <w:tcPr>
            <w:tcW w:w="3383" w:type="dxa"/>
            <w:gridSpan w:val="2"/>
          </w:tcPr>
          <w:p w14:paraId="7735F8C8" w14:textId="77777777" w:rsidR="00201C99" w:rsidRDefault="00201C99">
            <w:pPr>
              <w:pStyle w:val="Compact"/>
            </w:pPr>
            <w:r w:rsidRPr="6E5D7753">
              <w:rPr>
                <w:rStyle w:val="VerbatimChar"/>
                <w:i/>
                <w:lang w:val="fr-FR"/>
              </w:rPr>
              <w:t>P182_se_termine_avant_ou_au_moment_du_début_de (commence_après_ou_au_moment_de_la_fin_de)</w:t>
            </w:r>
          </w:p>
        </w:tc>
        <w:tc>
          <w:tcPr>
            <w:tcW w:w="2620" w:type="dxa"/>
          </w:tcPr>
          <w:p w14:paraId="6C960684" w14:textId="77777777" w:rsidR="00201C99" w:rsidRDefault="00201C99">
            <w:pPr>
              <w:pStyle w:val="Compact"/>
            </w:pPr>
            <w:r>
              <w:rPr>
                <w:rStyle w:val="VerbatimChar"/>
                <w:i/>
                <w:iCs/>
              </w:rPr>
              <w:t>E2_Entité_temporelle</w:t>
            </w:r>
          </w:p>
        </w:tc>
        <w:tc>
          <w:tcPr>
            <w:tcW w:w="2268" w:type="dxa"/>
          </w:tcPr>
          <w:p w14:paraId="5284EB84" w14:textId="77777777" w:rsidR="00201C99" w:rsidRDefault="00201C99">
            <w:pPr>
              <w:pStyle w:val="Compact"/>
            </w:pPr>
            <w:r>
              <w:rPr>
                <w:rStyle w:val="VerbatimChar"/>
                <w:i/>
                <w:iCs/>
              </w:rPr>
              <w:t>E2_Entité_temporelle</w:t>
            </w:r>
          </w:p>
        </w:tc>
      </w:tr>
      <w:tr w:rsidR="00201C99" w14:paraId="6E5E49E1" w14:textId="77777777">
        <w:tc>
          <w:tcPr>
            <w:tcW w:w="800" w:type="dxa"/>
          </w:tcPr>
          <w:p w14:paraId="0EC17DAE" w14:textId="77777777" w:rsidR="00201C99" w:rsidRDefault="00201C99">
            <w:pPr>
              <w:pStyle w:val="Compact"/>
            </w:pPr>
            <w:r>
              <w:t>P183</w:t>
            </w:r>
          </w:p>
        </w:tc>
        <w:tc>
          <w:tcPr>
            <w:tcW w:w="256" w:type="dxa"/>
          </w:tcPr>
          <w:p w14:paraId="2FFF377B" w14:textId="77777777" w:rsidR="00201C99" w:rsidRDefault="00201C99">
            <w:pPr>
              <w:pStyle w:val="Compact"/>
            </w:pPr>
            <w:r>
              <w:t>-</w:t>
            </w:r>
          </w:p>
        </w:tc>
        <w:tc>
          <w:tcPr>
            <w:tcW w:w="267" w:type="dxa"/>
          </w:tcPr>
          <w:p w14:paraId="6D003728" w14:textId="77777777" w:rsidR="00201C99" w:rsidRDefault="00201C99">
            <w:pPr>
              <w:pStyle w:val="Compact"/>
            </w:pPr>
            <w:r>
              <w:t>-</w:t>
            </w:r>
          </w:p>
        </w:tc>
        <w:tc>
          <w:tcPr>
            <w:tcW w:w="293" w:type="dxa"/>
          </w:tcPr>
          <w:p w14:paraId="3C50F2B1" w14:textId="77777777" w:rsidR="00201C99" w:rsidRDefault="00201C99">
            <w:pPr>
              <w:pStyle w:val="Compact"/>
            </w:pPr>
            <w:r>
              <w:t>-</w:t>
            </w:r>
          </w:p>
        </w:tc>
        <w:tc>
          <w:tcPr>
            <w:tcW w:w="309" w:type="dxa"/>
          </w:tcPr>
          <w:p w14:paraId="087B3F34" w14:textId="77777777" w:rsidR="00201C99" w:rsidRDefault="00201C99">
            <w:pPr>
              <w:pStyle w:val="Compact"/>
            </w:pPr>
            <w:r>
              <w:t>-</w:t>
            </w:r>
          </w:p>
        </w:tc>
        <w:tc>
          <w:tcPr>
            <w:tcW w:w="309" w:type="dxa"/>
          </w:tcPr>
          <w:p w14:paraId="7B346BA1" w14:textId="77777777" w:rsidR="00201C99" w:rsidRDefault="00201C99">
            <w:pPr>
              <w:pStyle w:val="Compact"/>
            </w:pPr>
            <w:r>
              <w:t>-</w:t>
            </w:r>
          </w:p>
        </w:tc>
        <w:tc>
          <w:tcPr>
            <w:tcW w:w="3074" w:type="dxa"/>
          </w:tcPr>
          <w:p w14:paraId="2511F31B" w14:textId="77777777" w:rsidR="00201C99" w:rsidRDefault="00201C99">
            <w:pPr>
              <w:pStyle w:val="Compact"/>
            </w:pPr>
            <w:r w:rsidRPr="6E5D7753">
              <w:rPr>
                <w:rStyle w:val="VerbatimChar"/>
                <w:i/>
                <w:lang w:val="fr-FR"/>
              </w:rPr>
              <w:t>P183_se_termine_avant_le_début_de (commence_après_la_fin_de)</w:t>
            </w:r>
          </w:p>
        </w:tc>
        <w:tc>
          <w:tcPr>
            <w:tcW w:w="2620" w:type="dxa"/>
          </w:tcPr>
          <w:p w14:paraId="3CA810C6" w14:textId="77777777" w:rsidR="00201C99" w:rsidRDefault="00201C99">
            <w:pPr>
              <w:pStyle w:val="Compact"/>
            </w:pPr>
            <w:r>
              <w:rPr>
                <w:rStyle w:val="VerbatimChar"/>
                <w:i/>
                <w:iCs/>
              </w:rPr>
              <w:t>E2_Entité_temporelle</w:t>
            </w:r>
          </w:p>
        </w:tc>
        <w:tc>
          <w:tcPr>
            <w:tcW w:w="2268" w:type="dxa"/>
          </w:tcPr>
          <w:p w14:paraId="16985E17" w14:textId="77777777" w:rsidR="00201C99" w:rsidRDefault="00201C99">
            <w:pPr>
              <w:pStyle w:val="Compact"/>
            </w:pPr>
            <w:r>
              <w:rPr>
                <w:rStyle w:val="VerbatimChar"/>
                <w:i/>
                <w:iCs/>
              </w:rPr>
              <w:t>E2_Entité_temporelle</w:t>
            </w:r>
          </w:p>
        </w:tc>
      </w:tr>
      <w:tr w:rsidR="00201C99" w14:paraId="0FBBC9A2" w14:textId="77777777">
        <w:tc>
          <w:tcPr>
            <w:tcW w:w="800" w:type="dxa"/>
          </w:tcPr>
          <w:p w14:paraId="32453F6A" w14:textId="77777777" w:rsidR="00201C99" w:rsidRDefault="00201C99">
            <w:pPr>
              <w:pStyle w:val="Compact"/>
            </w:pPr>
            <w:r>
              <w:t>P179</w:t>
            </w:r>
          </w:p>
        </w:tc>
        <w:tc>
          <w:tcPr>
            <w:tcW w:w="4508" w:type="dxa"/>
            <w:gridSpan w:val="6"/>
          </w:tcPr>
          <w:p w14:paraId="259E96F5" w14:textId="77777777" w:rsidR="00201C99" w:rsidRDefault="00201C99">
            <w:pPr>
              <w:pStyle w:val="Compact"/>
            </w:pPr>
            <w:r w:rsidRPr="6E5D7753">
              <w:rPr>
                <w:rStyle w:val="VerbatimChar"/>
                <w:lang w:val="fr-FR"/>
              </w:rPr>
              <w:t>P179_a_eu_pour_prix_de_vente (a_été_le_prix_de_vente_de)</w:t>
            </w:r>
          </w:p>
        </w:tc>
        <w:tc>
          <w:tcPr>
            <w:tcW w:w="2620" w:type="dxa"/>
          </w:tcPr>
          <w:p w14:paraId="5011F97D" w14:textId="77777777" w:rsidR="00201C99" w:rsidRDefault="00201C99">
            <w:pPr>
              <w:pStyle w:val="Compact"/>
            </w:pPr>
            <w:r>
              <w:rPr>
                <w:rStyle w:val="VerbatimChar"/>
              </w:rPr>
              <w:t>E96_Achat</w:t>
            </w:r>
          </w:p>
        </w:tc>
        <w:tc>
          <w:tcPr>
            <w:tcW w:w="2268" w:type="dxa"/>
          </w:tcPr>
          <w:p w14:paraId="5C9D0AFF" w14:textId="77777777" w:rsidR="00201C99" w:rsidRDefault="00201C99">
            <w:pPr>
              <w:pStyle w:val="Compact"/>
            </w:pPr>
            <w:r>
              <w:rPr>
                <w:rStyle w:val="VerbatimChar"/>
              </w:rPr>
              <w:t>E97_Valeur_monétaire</w:t>
            </w:r>
          </w:p>
        </w:tc>
      </w:tr>
      <w:tr w:rsidR="00201C99" w14:paraId="718C8A0A" w14:textId="77777777">
        <w:tc>
          <w:tcPr>
            <w:tcW w:w="800" w:type="dxa"/>
          </w:tcPr>
          <w:p w14:paraId="3232FC08" w14:textId="77777777" w:rsidR="00201C99" w:rsidRDefault="00201C99">
            <w:pPr>
              <w:pStyle w:val="Compact"/>
            </w:pPr>
            <w:r>
              <w:t>P186</w:t>
            </w:r>
          </w:p>
        </w:tc>
        <w:tc>
          <w:tcPr>
            <w:tcW w:w="4508" w:type="dxa"/>
            <w:gridSpan w:val="6"/>
          </w:tcPr>
          <w:p w14:paraId="68FB90E0" w14:textId="77777777" w:rsidR="00201C99" w:rsidRDefault="00201C99">
            <w:pPr>
              <w:pStyle w:val="Compact"/>
            </w:pPr>
            <w:r w:rsidRPr="6E5D7753">
              <w:rPr>
                <w:rStyle w:val="VerbatimChar"/>
                <w:lang w:val="fr-FR"/>
              </w:rPr>
              <w:t>P186_a_produit_la_chose_du_type (est_produit_par)</w:t>
            </w:r>
          </w:p>
        </w:tc>
        <w:tc>
          <w:tcPr>
            <w:tcW w:w="2620" w:type="dxa"/>
          </w:tcPr>
          <w:p w14:paraId="15F1D6A4" w14:textId="77777777" w:rsidR="00201C99" w:rsidRDefault="00201C99">
            <w:pPr>
              <w:pStyle w:val="Compact"/>
            </w:pPr>
            <w:r>
              <w:rPr>
                <w:rStyle w:val="VerbatimChar"/>
              </w:rPr>
              <w:t>E12_Production</w:t>
            </w:r>
          </w:p>
        </w:tc>
        <w:tc>
          <w:tcPr>
            <w:tcW w:w="2268" w:type="dxa"/>
          </w:tcPr>
          <w:p w14:paraId="79C40F51" w14:textId="77777777" w:rsidR="00201C99" w:rsidRDefault="00201C99">
            <w:pPr>
              <w:pStyle w:val="Compact"/>
            </w:pPr>
            <w:r>
              <w:rPr>
                <w:rStyle w:val="VerbatimChar"/>
              </w:rPr>
              <w:t>E99_Modèle_de_produit</w:t>
            </w:r>
          </w:p>
        </w:tc>
      </w:tr>
      <w:tr w:rsidR="00201C99" w14:paraId="0466A317" w14:textId="77777777">
        <w:tc>
          <w:tcPr>
            <w:tcW w:w="800" w:type="dxa"/>
          </w:tcPr>
          <w:p w14:paraId="379885F6" w14:textId="77777777" w:rsidR="00201C99" w:rsidRDefault="00201C99">
            <w:pPr>
              <w:pStyle w:val="Compact"/>
            </w:pPr>
            <w:r>
              <w:t>P187</w:t>
            </w:r>
          </w:p>
        </w:tc>
        <w:tc>
          <w:tcPr>
            <w:tcW w:w="4508" w:type="dxa"/>
            <w:gridSpan w:val="6"/>
          </w:tcPr>
          <w:p w14:paraId="71581098" w14:textId="77777777" w:rsidR="00201C99" w:rsidRDefault="00201C99">
            <w:pPr>
              <w:pStyle w:val="Compact"/>
            </w:pPr>
            <w:r w:rsidRPr="6E5D7753">
              <w:rPr>
                <w:rStyle w:val="VerbatimChar"/>
                <w:lang w:val="fr-FR"/>
              </w:rPr>
              <w:t>P187_a_pour_plan_de_production (est_le_plan_de_production_de)</w:t>
            </w:r>
          </w:p>
        </w:tc>
        <w:tc>
          <w:tcPr>
            <w:tcW w:w="2620" w:type="dxa"/>
          </w:tcPr>
          <w:p w14:paraId="5A819C71" w14:textId="77777777" w:rsidR="00201C99" w:rsidRDefault="00201C99">
            <w:pPr>
              <w:pStyle w:val="Compact"/>
            </w:pPr>
            <w:r>
              <w:rPr>
                <w:rStyle w:val="VerbatimChar"/>
              </w:rPr>
              <w:t>E99_Modèle_de_produit</w:t>
            </w:r>
          </w:p>
        </w:tc>
        <w:tc>
          <w:tcPr>
            <w:tcW w:w="2268" w:type="dxa"/>
          </w:tcPr>
          <w:p w14:paraId="395B7364" w14:textId="77777777" w:rsidR="00201C99" w:rsidRDefault="00201C99">
            <w:pPr>
              <w:pStyle w:val="Compact"/>
            </w:pPr>
            <w:r>
              <w:rPr>
                <w:rStyle w:val="VerbatimChar"/>
              </w:rPr>
              <w:t>E29_Conceptualisation_ou_procédure</w:t>
            </w:r>
          </w:p>
        </w:tc>
      </w:tr>
      <w:tr w:rsidR="00201C99" w14:paraId="618FAF6C" w14:textId="77777777">
        <w:tc>
          <w:tcPr>
            <w:tcW w:w="800" w:type="dxa"/>
          </w:tcPr>
          <w:p w14:paraId="708B6213" w14:textId="77777777" w:rsidR="00201C99" w:rsidRDefault="00201C99">
            <w:pPr>
              <w:pStyle w:val="Compact"/>
            </w:pPr>
            <w:r>
              <w:t>P188</w:t>
            </w:r>
          </w:p>
        </w:tc>
        <w:tc>
          <w:tcPr>
            <w:tcW w:w="4508" w:type="dxa"/>
            <w:gridSpan w:val="6"/>
          </w:tcPr>
          <w:p w14:paraId="2E3E6000" w14:textId="77777777" w:rsidR="00201C99" w:rsidRDefault="00201C99">
            <w:pPr>
              <w:pStyle w:val="Compact"/>
            </w:pPr>
            <w:r w:rsidRPr="6E5D7753">
              <w:rPr>
                <w:rStyle w:val="VerbatimChar"/>
                <w:lang w:val="fr-FR"/>
              </w:rPr>
              <w:t xml:space="preserve">P188_nécessite_l’outil (est_l’outil_de_production_de) </w:t>
            </w:r>
          </w:p>
        </w:tc>
        <w:tc>
          <w:tcPr>
            <w:tcW w:w="2620" w:type="dxa"/>
          </w:tcPr>
          <w:p w14:paraId="29F5A576" w14:textId="77777777" w:rsidR="00201C99" w:rsidRDefault="00201C99">
            <w:pPr>
              <w:pStyle w:val="Compact"/>
            </w:pPr>
            <w:r>
              <w:rPr>
                <w:rStyle w:val="VerbatimChar"/>
              </w:rPr>
              <w:t>E99_Modèle_de_produit</w:t>
            </w:r>
          </w:p>
        </w:tc>
        <w:tc>
          <w:tcPr>
            <w:tcW w:w="2268" w:type="dxa"/>
          </w:tcPr>
          <w:p w14:paraId="4FD961F4" w14:textId="77777777" w:rsidR="00201C99" w:rsidRDefault="00201C99">
            <w:pPr>
              <w:pStyle w:val="Compact"/>
            </w:pPr>
            <w:r>
              <w:rPr>
                <w:rStyle w:val="VerbatimChar"/>
              </w:rPr>
              <w:t>E19_Objet_matériel</w:t>
            </w:r>
          </w:p>
        </w:tc>
      </w:tr>
      <w:tr w:rsidR="00201C99" w14:paraId="394A20F6" w14:textId="77777777">
        <w:tc>
          <w:tcPr>
            <w:tcW w:w="800" w:type="dxa"/>
          </w:tcPr>
          <w:p w14:paraId="60499DA5" w14:textId="77777777" w:rsidR="00201C99" w:rsidRDefault="00201C99">
            <w:pPr>
              <w:pStyle w:val="Compact"/>
            </w:pPr>
            <w:r>
              <w:t>P189</w:t>
            </w:r>
          </w:p>
        </w:tc>
        <w:tc>
          <w:tcPr>
            <w:tcW w:w="4508" w:type="dxa"/>
            <w:gridSpan w:val="6"/>
          </w:tcPr>
          <w:p w14:paraId="0331B3DD" w14:textId="77777777" w:rsidR="00201C99" w:rsidRDefault="00201C99">
            <w:pPr>
              <w:pStyle w:val="Compact"/>
            </w:pPr>
            <w:r w:rsidRPr="6E5D7753">
              <w:rPr>
                <w:rStyle w:val="VerbatimChar"/>
                <w:lang w:val="fr-FR"/>
              </w:rPr>
              <w:t>P189_approxime (est_approximé_par)</w:t>
            </w:r>
          </w:p>
        </w:tc>
        <w:tc>
          <w:tcPr>
            <w:tcW w:w="2620" w:type="dxa"/>
          </w:tcPr>
          <w:p w14:paraId="24CDCE7F" w14:textId="77777777" w:rsidR="00201C99" w:rsidRDefault="00201C99">
            <w:pPr>
              <w:pStyle w:val="Compact"/>
            </w:pPr>
            <w:r>
              <w:rPr>
                <w:rStyle w:val="VerbatimChar"/>
              </w:rPr>
              <w:t>E53_Lieu</w:t>
            </w:r>
          </w:p>
        </w:tc>
        <w:tc>
          <w:tcPr>
            <w:tcW w:w="2268" w:type="dxa"/>
          </w:tcPr>
          <w:p w14:paraId="0677B43C" w14:textId="77777777" w:rsidR="00201C99" w:rsidRDefault="00201C99">
            <w:pPr>
              <w:pStyle w:val="Compact"/>
            </w:pPr>
            <w:r>
              <w:rPr>
                <w:rStyle w:val="VerbatimChar"/>
              </w:rPr>
              <w:t>E53_Lieu</w:t>
            </w:r>
          </w:p>
        </w:tc>
      </w:tr>
      <w:tr w:rsidR="00201C99" w14:paraId="16BF1DFA" w14:textId="77777777">
        <w:tc>
          <w:tcPr>
            <w:tcW w:w="800" w:type="dxa"/>
          </w:tcPr>
          <w:p w14:paraId="6BDF5BED" w14:textId="77777777" w:rsidR="00201C99" w:rsidRDefault="00201C99">
            <w:pPr>
              <w:pStyle w:val="Compact"/>
            </w:pPr>
            <w:r>
              <w:t>P191</w:t>
            </w:r>
          </w:p>
        </w:tc>
        <w:tc>
          <w:tcPr>
            <w:tcW w:w="4508" w:type="dxa"/>
            <w:gridSpan w:val="6"/>
          </w:tcPr>
          <w:p w14:paraId="72D675C7" w14:textId="77777777" w:rsidR="00201C99" w:rsidRDefault="00201C99">
            <w:pPr>
              <w:pStyle w:val="Compact"/>
            </w:pPr>
            <w:r w:rsidRPr="6E5D7753">
              <w:rPr>
                <w:rStyle w:val="VerbatimChar"/>
                <w:lang w:val="fr-FR"/>
              </w:rPr>
              <w:t>P191_a_eu_pour_durée (était_la_durée_de)</w:t>
            </w:r>
          </w:p>
        </w:tc>
        <w:tc>
          <w:tcPr>
            <w:tcW w:w="2620" w:type="dxa"/>
          </w:tcPr>
          <w:p w14:paraId="287135AD" w14:textId="77777777" w:rsidR="00201C99" w:rsidRDefault="00201C99">
            <w:pPr>
              <w:pStyle w:val="Compact"/>
            </w:pPr>
            <w:r>
              <w:rPr>
                <w:rStyle w:val="VerbatimChar"/>
              </w:rPr>
              <w:t xml:space="preserve">E52_Intervalle_temporel </w:t>
            </w:r>
          </w:p>
        </w:tc>
        <w:tc>
          <w:tcPr>
            <w:tcW w:w="2268" w:type="dxa"/>
          </w:tcPr>
          <w:p w14:paraId="1A24F45C" w14:textId="77777777" w:rsidR="00201C99" w:rsidRDefault="00201C99">
            <w:pPr>
              <w:pStyle w:val="Compact"/>
            </w:pPr>
            <w:r>
              <w:rPr>
                <w:rStyle w:val="VerbatimChar"/>
              </w:rPr>
              <w:t>E54_Dimension</w:t>
            </w:r>
          </w:p>
        </w:tc>
      </w:tr>
      <w:tr w:rsidR="00201C99" w14:paraId="03362096" w14:textId="77777777">
        <w:tc>
          <w:tcPr>
            <w:tcW w:w="800" w:type="dxa"/>
          </w:tcPr>
          <w:p w14:paraId="3CEDCE45" w14:textId="77777777" w:rsidR="00201C99" w:rsidRDefault="00201C99">
            <w:pPr>
              <w:pStyle w:val="Compact"/>
            </w:pPr>
            <w:r>
              <w:t>P195</w:t>
            </w:r>
          </w:p>
        </w:tc>
        <w:tc>
          <w:tcPr>
            <w:tcW w:w="4508" w:type="dxa"/>
            <w:gridSpan w:val="6"/>
          </w:tcPr>
          <w:p w14:paraId="0A0F0DBA" w14:textId="77777777" w:rsidR="00201C99" w:rsidRDefault="00201C99">
            <w:pPr>
              <w:pStyle w:val="Compact"/>
            </w:pPr>
            <w:r w:rsidRPr="6E5D7753">
              <w:rPr>
                <w:rStyle w:val="VerbatimChar"/>
                <w:lang w:val="fr-FR"/>
              </w:rPr>
              <w:t xml:space="preserve">P195_a_été_une_présence_de (a_eu_pour_présence) </w:t>
            </w:r>
          </w:p>
        </w:tc>
        <w:tc>
          <w:tcPr>
            <w:tcW w:w="2620" w:type="dxa"/>
          </w:tcPr>
          <w:p w14:paraId="7E8E582E" w14:textId="77777777" w:rsidR="00201C99" w:rsidRDefault="00201C99">
            <w:pPr>
              <w:pStyle w:val="Compact"/>
            </w:pPr>
            <w:r>
              <w:rPr>
                <w:rStyle w:val="VerbatimChar"/>
              </w:rPr>
              <w:t>E93_Présence</w:t>
            </w:r>
          </w:p>
        </w:tc>
        <w:tc>
          <w:tcPr>
            <w:tcW w:w="2268" w:type="dxa"/>
          </w:tcPr>
          <w:p w14:paraId="35D9E515" w14:textId="77777777" w:rsidR="00201C99" w:rsidRDefault="00201C99">
            <w:pPr>
              <w:pStyle w:val="Compact"/>
            </w:pPr>
            <w:r>
              <w:rPr>
                <w:rStyle w:val="VerbatimChar"/>
              </w:rPr>
              <w:t>E18_Chose_matérielle</w:t>
            </w:r>
          </w:p>
        </w:tc>
      </w:tr>
      <w:tr w:rsidR="00201C99" w14:paraId="5570885E" w14:textId="77777777">
        <w:tc>
          <w:tcPr>
            <w:tcW w:w="800" w:type="dxa"/>
          </w:tcPr>
          <w:p w14:paraId="4E8CD8AF" w14:textId="77777777" w:rsidR="00201C99" w:rsidRDefault="00201C99">
            <w:pPr>
              <w:pStyle w:val="Compact"/>
            </w:pPr>
            <w:r>
              <w:t>P196</w:t>
            </w:r>
          </w:p>
        </w:tc>
        <w:tc>
          <w:tcPr>
            <w:tcW w:w="4508" w:type="dxa"/>
            <w:gridSpan w:val="6"/>
          </w:tcPr>
          <w:p w14:paraId="0C618247" w14:textId="77777777" w:rsidR="00201C99" w:rsidRDefault="00201C99">
            <w:pPr>
              <w:pStyle w:val="Compact"/>
            </w:pPr>
            <w:r w:rsidRPr="6E5D7753">
              <w:rPr>
                <w:rStyle w:val="VerbatimChar"/>
                <w:lang w:val="fr-FR"/>
              </w:rPr>
              <w:t>P196_définit (est_défini_par)</w:t>
            </w:r>
          </w:p>
        </w:tc>
        <w:tc>
          <w:tcPr>
            <w:tcW w:w="2620" w:type="dxa"/>
          </w:tcPr>
          <w:p w14:paraId="13CF99F7" w14:textId="77777777" w:rsidR="00201C99" w:rsidRDefault="00201C99">
            <w:pPr>
              <w:pStyle w:val="Compact"/>
            </w:pPr>
            <w:r>
              <w:rPr>
                <w:rStyle w:val="VerbatimChar"/>
              </w:rPr>
              <w:t>E18_Chose_matérielle</w:t>
            </w:r>
          </w:p>
        </w:tc>
        <w:tc>
          <w:tcPr>
            <w:tcW w:w="2268" w:type="dxa"/>
          </w:tcPr>
          <w:p w14:paraId="1E5246BD" w14:textId="77777777" w:rsidR="00201C99" w:rsidRDefault="00201C99">
            <w:pPr>
              <w:pStyle w:val="Compact"/>
            </w:pPr>
            <w:r>
              <w:rPr>
                <w:rStyle w:val="VerbatimChar"/>
              </w:rPr>
              <w:t>E92_Volume_spatio-temporel</w:t>
            </w:r>
          </w:p>
        </w:tc>
      </w:tr>
      <w:tr w:rsidR="00201C99" w14:paraId="3A65BE26" w14:textId="77777777">
        <w:tc>
          <w:tcPr>
            <w:tcW w:w="800" w:type="dxa"/>
          </w:tcPr>
          <w:p w14:paraId="592C5178" w14:textId="77777777" w:rsidR="00201C99" w:rsidRDefault="00201C99">
            <w:pPr>
              <w:pStyle w:val="Compact"/>
            </w:pPr>
            <w:r>
              <w:t>P197</w:t>
            </w:r>
          </w:p>
        </w:tc>
        <w:tc>
          <w:tcPr>
            <w:tcW w:w="4508" w:type="dxa"/>
            <w:gridSpan w:val="6"/>
          </w:tcPr>
          <w:p w14:paraId="143E41D6" w14:textId="77777777" w:rsidR="00201C99" w:rsidRDefault="00201C99">
            <w:pPr>
              <w:pStyle w:val="Compact"/>
            </w:pPr>
            <w:r w:rsidRPr="6E5D7753">
              <w:rPr>
                <w:rStyle w:val="VerbatimChar"/>
                <w:lang w:val="fr-FR"/>
              </w:rPr>
              <w:t>197_a_couvert_des_parties_de (a_été_partiellement_couvert_par)</w:t>
            </w:r>
          </w:p>
        </w:tc>
        <w:tc>
          <w:tcPr>
            <w:tcW w:w="2620" w:type="dxa"/>
          </w:tcPr>
          <w:p w14:paraId="33706F08" w14:textId="77777777" w:rsidR="00201C99" w:rsidRDefault="00201C99">
            <w:pPr>
              <w:pStyle w:val="Compact"/>
            </w:pPr>
            <w:r>
              <w:rPr>
                <w:rStyle w:val="VerbatimChar"/>
              </w:rPr>
              <w:t>E93_Présence</w:t>
            </w:r>
          </w:p>
        </w:tc>
        <w:tc>
          <w:tcPr>
            <w:tcW w:w="2268" w:type="dxa"/>
          </w:tcPr>
          <w:p w14:paraId="7B6059E6" w14:textId="77777777" w:rsidR="00201C99" w:rsidRDefault="00201C99">
            <w:pPr>
              <w:pStyle w:val="Compact"/>
            </w:pPr>
            <w:r>
              <w:rPr>
                <w:rStyle w:val="VerbatimChar"/>
              </w:rPr>
              <w:t>E53_Lieu</w:t>
            </w:r>
          </w:p>
        </w:tc>
      </w:tr>
      <w:tr w:rsidR="00201C99" w14:paraId="547CD9A1" w14:textId="77777777">
        <w:tc>
          <w:tcPr>
            <w:tcW w:w="800" w:type="dxa"/>
          </w:tcPr>
          <w:p w14:paraId="6C3C795D" w14:textId="77777777" w:rsidR="00201C99" w:rsidRDefault="00201C99">
            <w:pPr>
              <w:pStyle w:val="Compact"/>
            </w:pPr>
            <w:r>
              <w:t>P198</w:t>
            </w:r>
          </w:p>
        </w:tc>
        <w:tc>
          <w:tcPr>
            <w:tcW w:w="4508" w:type="dxa"/>
            <w:gridSpan w:val="6"/>
          </w:tcPr>
          <w:p w14:paraId="6708E283" w14:textId="77777777" w:rsidR="00201C99" w:rsidRDefault="00201C99">
            <w:pPr>
              <w:pStyle w:val="Compact"/>
            </w:pPr>
            <w:r w:rsidRPr="6E5D7753">
              <w:rPr>
                <w:rStyle w:val="VerbatimChar"/>
                <w:lang w:val="fr-FR"/>
              </w:rPr>
              <w:t>P198_contient_ou_soutient (est_contenu_ou_soutenu_par)</w:t>
            </w:r>
          </w:p>
        </w:tc>
        <w:tc>
          <w:tcPr>
            <w:tcW w:w="2620" w:type="dxa"/>
          </w:tcPr>
          <w:p w14:paraId="5AE6B400" w14:textId="77777777" w:rsidR="00201C99" w:rsidRDefault="00201C99">
            <w:pPr>
              <w:pStyle w:val="Compact"/>
            </w:pPr>
            <w:r>
              <w:rPr>
                <w:rStyle w:val="VerbatimChar"/>
              </w:rPr>
              <w:t>E18_Chose_matérielle</w:t>
            </w:r>
          </w:p>
        </w:tc>
        <w:tc>
          <w:tcPr>
            <w:tcW w:w="2268" w:type="dxa"/>
          </w:tcPr>
          <w:p w14:paraId="5F9439DE" w14:textId="77777777" w:rsidR="00201C99" w:rsidRDefault="00201C99">
            <w:pPr>
              <w:pStyle w:val="Compact"/>
            </w:pPr>
            <w:r>
              <w:rPr>
                <w:rStyle w:val="VerbatimChar"/>
              </w:rPr>
              <w:t>E18_Chose_matérielle</w:t>
            </w:r>
          </w:p>
        </w:tc>
      </w:tr>
      <w:tr w:rsidR="008B3FB9" w14:paraId="5F649FE7" w14:textId="77777777">
        <w:tc>
          <w:tcPr>
            <w:tcW w:w="800" w:type="dxa"/>
          </w:tcPr>
          <w:p w14:paraId="7AC0406A" w14:textId="77777777" w:rsidR="008B3FB9" w:rsidRDefault="008B3FB9">
            <w:pPr>
              <w:pStyle w:val="Compact"/>
            </w:pPr>
          </w:p>
        </w:tc>
        <w:tc>
          <w:tcPr>
            <w:tcW w:w="4508" w:type="dxa"/>
            <w:gridSpan w:val="6"/>
          </w:tcPr>
          <w:p w14:paraId="3C740C28" w14:textId="77777777" w:rsidR="008B3FB9" w:rsidRPr="6E5D7753" w:rsidRDefault="008B3FB9">
            <w:pPr>
              <w:pStyle w:val="Compact"/>
              <w:rPr>
                <w:rStyle w:val="VerbatimChar"/>
                <w:lang w:val="fr-FR"/>
              </w:rPr>
            </w:pPr>
          </w:p>
        </w:tc>
        <w:tc>
          <w:tcPr>
            <w:tcW w:w="2620" w:type="dxa"/>
          </w:tcPr>
          <w:p w14:paraId="4B0338DE" w14:textId="77777777" w:rsidR="008B3FB9" w:rsidRDefault="008B3FB9">
            <w:pPr>
              <w:pStyle w:val="Compact"/>
              <w:rPr>
                <w:rStyle w:val="VerbatimChar"/>
              </w:rPr>
            </w:pPr>
          </w:p>
        </w:tc>
        <w:tc>
          <w:tcPr>
            <w:tcW w:w="2268" w:type="dxa"/>
          </w:tcPr>
          <w:p w14:paraId="55A96A6C" w14:textId="77777777" w:rsidR="008B3FB9" w:rsidRDefault="008B3FB9">
            <w:pPr>
              <w:pStyle w:val="Compact"/>
              <w:rPr>
                <w:rStyle w:val="VerbatimChar"/>
              </w:rPr>
            </w:pPr>
          </w:p>
        </w:tc>
      </w:tr>
    </w:tbl>
    <w:p w14:paraId="371BE4DE" w14:textId="00956962" w:rsidR="0084489F" w:rsidRDefault="00110FE6">
      <w:pPr>
        <w:pStyle w:val="Heading3"/>
      </w:pPr>
      <w:bookmarkStart w:id="101" w:name="_Toc176864433"/>
      <w:bookmarkStart w:id="102" w:name="X76cc04210041e848874eba823e8c375cbf32498"/>
      <w:commentRangeStart w:id="103"/>
      <w:commentRangeStart w:id="104"/>
      <w:r>
        <w:lastRenderedPageBreak/>
        <w:t>Propriétés de propriétés du CIDOC CRM (propriétés .1)</w:t>
      </w:r>
      <w:bookmarkEnd w:id="101"/>
      <w:commentRangeEnd w:id="103"/>
      <w:r w:rsidR="00795FCA">
        <w:rPr>
          <w:rStyle w:val="CommentReference"/>
        </w:rPr>
        <w:commentReference w:id="103"/>
      </w:r>
      <w:commentRangeEnd w:id="104"/>
      <w:r>
        <w:rPr>
          <w:rStyle w:val="CommentReference"/>
        </w:rPr>
        <w:commentReference w:id="104"/>
      </w:r>
    </w:p>
    <w:tbl>
      <w:tblPr>
        <w:tblStyle w:val="Table"/>
        <w:tblW w:w="0" w:type="auto"/>
        <w:tblInd w:w="0" w:type="dxa"/>
        <w:tblLayout w:type="fixed"/>
        <w:tblLook w:val="0000" w:firstRow="0" w:lastRow="0" w:firstColumn="0" w:lastColumn="0" w:noHBand="0" w:noVBand="0"/>
      </w:tblPr>
      <w:tblGrid>
        <w:gridCol w:w="855"/>
        <w:gridCol w:w="308"/>
        <w:gridCol w:w="3590"/>
        <w:gridCol w:w="4309"/>
        <w:gridCol w:w="1718"/>
      </w:tblGrid>
      <w:tr w:rsidR="0086641D" w14:paraId="560B1252" w14:textId="77777777" w:rsidTr="4AB636BE">
        <w:trPr>
          <w:cantSplit/>
          <w:trHeight w:val="2317"/>
        </w:trPr>
        <w:tc>
          <w:tcPr>
            <w:tcW w:w="855" w:type="dxa"/>
            <w:textDirection w:val="btLr"/>
          </w:tcPr>
          <w:p w14:paraId="08C5FE98" w14:textId="77777777" w:rsidR="0086641D" w:rsidRDefault="0086641D" w:rsidP="00564CD1">
            <w:pPr>
              <w:pStyle w:val="Compact"/>
              <w:ind w:left="113" w:right="113"/>
            </w:pPr>
            <w:r>
              <w:rPr>
                <w:b/>
                <w:bCs/>
              </w:rPr>
              <w:t>Identifiant unique de propriété</w:t>
            </w:r>
          </w:p>
        </w:tc>
        <w:tc>
          <w:tcPr>
            <w:tcW w:w="3898" w:type="dxa"/>
            <w:gridSpan w:val="2"/>
            <w:textDirection w:val="btLr"/>
          </w:tcPr>
          <w:p w14:paraId="2EC4C1E5" w14:textId="77777777" w:rsidR="0086641D" w:rsidRDefault="0086641D" w:rsidP="00564CD1">
            <w:pPr>
              <w:pStyle w:val="Compact"/>
              <w:ind w:left="113" w:right="113"/>
            </w:pPr>
            <w:r>
              <w:rPr>
                <w:b/>
                <w:bCs/>
              </w:rPr>
              <w:t>Nom de la propriété</w:t>
            </w:r>
          </w:p>
        </w:tc>
        <w:tc>
          <w:tcPr>
            <w:tcW w:w="4309" w:type="dxa"/>
            <w:textDirection w:val="btLr"/>
          </w:tcPr>
          <w:p w14:paraId="4D4F3C44" w14:textId="77777777" w:rsidR="0086641D" w:rsidRDefault="0086641D" w:rsidP="00564CD1">
            <w:pPr>
              <w:pStyle w:val="Compact"/>
              <w:ind w:left="113" w:right="113"/>
            </w:pPr>
            <w:r>
              <w:rPr>
                <w:b/>
                <w:bCs/>
              </w:rPr>
              <w:t>Domaine</w:t>
            </w:r>
          </w:p>
        </w:tc>
        <w:tc>
          <w:tcPr>
            <w:tcW w:w="1718" w:type="dxa"/>
            <w:textDirection w:val="btLr"/>
          </w:tcPr>
          <w:p w14:paraId="73C7E0E1" w14:textId="77777777" w:rsidR="0086641D" w:rsidRDefault="0086641D" w:rsidP="00564CD1">
            <w:pPr>
              <w:pStyle w:val="Compact"/>
              <w:ind w:left="113" w:right="113"/>
            </w:pPr>
            <w:r>
              <w:rPr>
                <w:b/>
                <w:bCs/>
              </w:rPr>
              <w:t>Portée</w:t>
            </w:r>
          </w:p>
        </w:tc>
      </w:tr>
      <w:tr w:rsidR="0086641D" w14:paraId="6F80F96E" w14:textId="77777777" w:rsidTr="4AB636BE">
        <w:tc>
          <w:tcPr>
            <w:tcW w:w="855" w:type="dxa"/>
          </w:tcPr>
          <w:p w14:paraId="01CAB3ED" w14:textId="77777777" w:rsidR="0086641D" w:rsidRDefault="0086641D" w:rsidP="00564CD1">
            <w:pPr>
              <w:pStyle w:val="Compact"/>
            </w:pPr>
            <w:r>
              <w:t>P3.1</w:t>
            </w:r>
          </w:p>
        </w:tc>
        <w:tc>
          <w:tcPr>
            <w:tcW w:w="3898" w:type="dxa"/>
            <w:gridSpan w:val="2"/>
          </w:tcPr>
          <w:p w14:paraId="5865404C" w14:textId="77777777" w:rsidR="0086641D" w:rsidRDefault="0086641D" w:rsidP="00564CD1">
            <w:pPr>
              <w:pStyle w:val="Compact"/>
            </w:pPr>
            <w:r>
              <w:rPr>
                <w:rStyle w:val="VerbatimChar"/>
              </w:rPr>
              <w:t>P3.1_a_pour_type</w:t>
            </w:r>
          </w:p>
        </w:tc>
        <w:tc>
          <w:tcPr>
            <w:tcW w:w="4309" w:type="dxa"/>
          </w:tcPr>
          <w:p w14:paraId="3F607C1A" w14:textId="77777777" w:rsidR="0086641D" w:rsidRDefault="0086641D" w:rsidP="00564CD1">
            <w:pPr>
              <w:pStyle w:val="Compact"/>
            </w:pPr>
            <w:r>
              <w:rPr>
                <w:rStyle w:val="VerbatimChar"/>
              </w:rPr>
              <w:t>E1_Entité_CRM</w:t>
            </w:r>
            <w:r>
              <w:t xml:space="preserve">. </w:t>
            </w:r>
            <w:r>
              <w:rPr>
                <w:rStyle w:val="VerbatimChar"/>
              </w:rPr>
              <w:t>P3_a_pour_note</w:t>
            </w:r>
            <w:r>
              <w:t xml:space="preserve"> : </w:t>
            </w:r>
            <w:r>
              <w:rPr>
                <w:rStyle w:val="VerbatimChar"/>
              </w:rPr>
              <w:t>E62_Chaîne_de_caractères</w:t>
            </w:r>
          </w:p>
        </w:tc>
        <w:tc>
          <w:tcPr>
            <w:tcW w:w="1718" w:type="dxa"/>
          </w:tcPr>
          <w:p w14:paraId="7385CFC7" w14:textId="77777777" w:rsidR="0086641D" w:rsidRDefault="0086641D" w:rsidP="00564CD1">
            <w:pPr>
              <w:pStyle w:val="Compact"/>
            </w:pPr>
            <w:r>
              <w:rPr>
                <w:rStyle w:val="VerbatimChar"/>
              </w:rPr>
              <w:t>E55_Type</w:t>
            </w:r>
          </w:p>
        </w:tc>
      </w:tr>
      <w:tr w:rsidR="0086641D" w14:paraId="5B673A95" w14:textId="77777777" w:rsidTr="4AB636BE">
        <w:tc>
          <w:tcPr>
            <w:tcW w:w="855" w:type="dxa"/>
          </w:tcPr>
          <w:p w14:paraId="41EDDFC8" w14:textId="77777777" w:rsidR="0086641D" w:rsidRDefault="0086641D" w:rsidP="00564CD1">
            <w:pPr>
              <w:pStyle w:val="Compact"/>
            </w:pPr>
            <w:r>
              <w:t>P14.1</w:t>
            </w:r>
          </w:p>
        </w:tc>
        <w:tc>
          <w:tcPr>
            <w:tcW w:w="3898" w:type="dxa"/>
            <w:gridSpan w:val="2"/>
          </w:tcPr>
          <w:p w14:paraId="5DAEC802" w14:textId="77777777" w:rsidR="0086641D" w:rsidRDefault="0086641D" w:rsidP="00564CD1">
            <w:pPr>
              <w:pStyle w:val="Compact"/>
            </w:pPr>
            <w:r>
              <w:rPr>
                <w:rStyle w:val="VerbatimChar"/>
              </w:rPr>
              <w:t>P14.1_dans_le_rôle_de</w:t>
            </w:r>
          </w:p>
        </w:tc>
        <w:tc>
          <w:tcPr>
            <w:tcW w:w="4309" w:type="dxa"/>
          </w:tcPr>
          <w:p w14:paraId="153BD217" w14:textId="77777777" w:rsidR="0086641D" w:rsidRDefault="0086641D" w:rsidP="00564CD1">
            <w:pPr>
              <w:pStyle w:val="Compact"/>
            </w:pPr>
            <w:r w:rsidRPr="4AB636BE">
              <w:rPr>
                <w:rStyle w:val="VerbatimChar"/>
                <w:lang w:val="fr-FR"/>
              </w:rPr>
              <w:t>E7_Activité</w:t>
            </w:r>
            <w:r w:rsidRPr="4AB636BE">
              <w:rPr>
                <w:lang w:val="fr-FR"/>
              </w:rPr>
              <w:t xml:space="preserve">. </w:t>
            </w:r>
            <w:r w:rsidRPr="4AB636BE">
              <w:rPr>
                <w:rStyle w:val="VerbatimChar"/>
                <w:lang w:val="fr-FR"/>
              </w:rPr>
              <w:t>P14_a_été_effectué_par (a_effectué)</w:t>
            </w:r>
            <w:r w:rsidRPr="4AB636BE">
              <w:rPr>
                <w:lang w:val="fr-FR"/>
              </w:rPr>
              <w:t xml:space="preserve"> : </w:t>
            </w:r>
            <w:r w:rsidRPr="4AB636BE">
              <w:rPr>
                <w:rStyle w:val="VerbatimChar"/>
                <w:lang w:val="fr-FR"/>
              </w:rPr>
              <w:t>E39_Actant</w:t>
            </w:r>
          </w:p>
        </w:tc>
        <w:tc>
          <w:tcPr>
            <w:tcW w:w="1718" w:type="dxa"/>
          </w:tcPr>
          <w:p w14:paraId="32F77C45" w14:textId="77777777" w:rsidR="0086641D" w:rsidRDefault="0086641D" w:rsidP="00564CD1">
            <w:pPr>
              <w:pStyle w:val="Compact"/>
            </w:pPr>
            <w:r>
              <w:rPr>
                <w:rStyle w:val="VerbatimChar"/>
              </w:rPr>
              <w:t>E55_Type</w:t>
            </w:r>
          </w:p>
        </w:tc>
      </w:tr>
      <w:tr w:rsidR="0086641D" w14:paraId="55FA7DA1" w14:textId="77777777" w:rsidTr="4AB636BE">
        <w:tc>
          <w:tcPr>
            <w:tcW w:w="855" w:type="dxa"/>
          </w:tcPr>
          <w:p w14:paraId="223F45F7" w14:textId="77777777" w:rsidR="0086641D" w:rsidRDefault="0086641D" w:rsidP="00564CD1">
            <w:pPr>
              <w:pStyle w:val="Compact"/>
            </w:pPr>
            <w:r>
              <w:t>P16.1</w:t>
            </w:r>
          </w:p>
        </w:tc>
        <w:tc>
          <w:tcPr>
            <w:tcW w:w="3898" w:type="dxa"/>
            <w:gridSpan w:val="2"/>
          </w:tcPr>
          <w:p w14:paraId="706BD46B" w14:textId="77777777" w:rsidR="0086641D" w:rsidRDefault="0086641D" w:rsidP="00564CD1">
            <w:pPr>
              <w:pStyle w:val="Compact"/>
            </w:pPr>
            <w:r>
              <w:rPr>
                <w:rStyle w:val="VerbatimChar"/>
              </w:rPr>
              <w:t>P16.1_mode_d’utilisation</w:t>
            </w:r>
          </w:p>
        </w:tc>
        <w:tc>
          <w:tcPr>
            <w:tcW w:w="4309" w:type="dxa"/>
          </w:tcPr>
          <w:p w14:paraId="73C0F5D8" w14:textId="77777777" w:rsidR="0086641D" w:rsidRDefault="0086641D" w:rsidP="00564CD1">
            <w:pPr>
              <w:pStyle w:val="Compact"/>
            </w:pPr>
            <w:r w:rsidRPr="4AB636BE">
              <w:rPr>
                <w:rStyle w:val="VerbatimChar"/>
                <w:lang w:val="fr-FR"/>
              </w:rPr>
              <w:t>E7_Activité</w:t>
            </w:r>
            <w:r w:rsidRPr="4AB636BE">
              <w:rPr>
                <w:lang w:val="fr-FR"/>
              </w:rPr>
              <w:t xml:space="preserve">. </w:t>
            </w:r>
            <w:r w:rsidRPr="4AB636BE">
              <w:rPr>
                <w:rStyle w:val="VerbatimChar"/>
                <w:lang w:val="fr-FR"/>
              </w:rPr>
              <w:t>P16_a_mobilisé_l’objet_spécifique (a_été_mobilisé_pour)</w:t>
            </w:r>
            <w:r w:rsidRPr="4AB636BE">
              <w:rPr>
                <w:lang w:val="fr-FR"/>
              </w:rPr>
              <w:t xml:space="preserve"> : </w:t>
            </w:r>
            <w:r w:rsidRPr="4AB636BE">
              <w:rPr>
                <w:rStyle w:val="VerbatimChar"/>
                <w:lang w:val="fr-FR"/>
              </w:rPr>
              <w:t>E70_Chose</w:t>
            </w:r>
          </w:p>
        </w:tc>
        <w:tc>
          <w:tcPr>
            <w:tcW w:w="1718" w:type="dxa"/>
          </w:tcPr>
          <w:p w14:paraId="4CA44BBD" w14:textId="77777777" w:rsidR="0086641D" w:rsidRDefault="0086641D" w:rsidP="00564CD1">
            <w:pPr>
              <w:pStyle w:val="Compact"/>
            </w:pPr>
            <w:r>
              <w:rPr>
                <w:rStyle w:val="VerbatimChar"/>
              </w:rPr>
              <w:t>E55_Type</w:t>
            </w:r>
          </w:p>
        </w:tc>
      </w:tr>
      <w:tr w:rsidR="0086641D" w14:paraId="5ECEB9DD" w14:textId="77777777" w:rsidTr="4AB636BE">
        <w:tc>
          <w:tcPr>
            <w:tcW w:w="855" w:type="dxa"/>
          </w:tcPr>
          <w:p w14:paraId="05B27FE1" w14:textId="77777777" w:rsidR="0086641D" w:rsidRDefault="0086641D" w:rsidP="00564CD1">
            <w:pPr>
              <w:pStyle w:val="Compact"/>
            </w:pPr>
            <w:r>
              <w:t>P19.1</w:t>
            </w:r>
          </w:p>
        </w:tc>
        <w:tc>
          <w:tcPr>
            <w:tcW w:w="3898" w:type="dxa"/>
            <w:gridSpan w:val="2"/>
          </w:tcPr>
          <w:p w14:paraId="2BE08DEA" w14:textId="77777777" w:rsidR="0086641D" w:rsidRDefault="0086641D" w:rsidP="00564CD1">
            <w:pPr>
              <w:pStyle w:val="Compact"/>
            </w:pPr>
            <w:r>
              <w:rPr>
                <w:rStyle w:val="VerbatimChar"/>
              </w:rPr>
              <w:t>P19.1_mode_d’utilisation</w:t>
            </w:r>
          </w:p>
        </w:tc>
        <w:tc>
          <w:tcPr>
            <w:tcW w:w="4309" w:type="dxa"/>
          </w:tcPr>
          <w:p w14:paraId="60B1262B" w14:textId="77777777" w:rsidR="0086641D" w:rsidRDefault="0086641D" w:rsidP="00564CD1">
            <w:pPr>
              <w:pStyle w:val="Compact"/>
            </w:pPr>
            <w:r w:rsidRPr="4AB636BE">
              <w:rPr>
                <w:rStyle w:val="VerbatimChar"/>
                <w:lang w:val="fr-FR"/>
              </w:rPr>
              <w:t>E7_Activité</w:t>
            </w:r>
            <w:r w:rsidRPr="4AB636BE">
              <w:rPr>
                <w:lang w:val="fr-FR"/>
              </w:rPr>
              <w:t xml:space="preserve">. </w:t>
            </w:r>
            <w:r w:rsidRPr="4AB636BE">
              <w:rPr>
                <w:rStyle w:val="VerbatimChar"/>
                <w:lang w:val="fr-FR"/>
              </w:rPr>
              <w:t>P19_a_été_l’usage_prévu_de (a_été_élaboré_pour)</w:t>
            </w:r>
            <w:r w:rsidRPr="4AB636BE">
              <w:rPr>
                <w:lang w:val="fr-FR"/>
              </w:rPr>
              <w:t xml:space="preserve"> : </w:t>
            </w:r>
            <w:r w:rsidRPr="4AB636BE">
              <w:rPr>
                <w:rStyle w:val="VerbatimChar"/>
                <w:lang w:val="fr-FR"/>
              </w:rPr>
              <w:t>E71_Chose_élaborée_par_l’humain</w:t>
            </w:r>
          </w:p>
        </w:tc>
        <w:tc>
          <w:tcPr>
            <w:tcW w:w="1718" w:type="dxa"/>
          </w:tcPr>
          <w:p w14:paraId="07122980" w14:textId="77777777" w:rsidR="0086641D" w:rsidRDefault="0086641D" w:rsidP="00564CD1">
            <w:pPr>
              <w:pStyle w:val="Compact"/>
            </w:pPr>
            <w:r>
              <w:rPr>
                <w:rStyle w:val="VerbatimChar"/>
              </w:rPr>
              <w:t>E55_Type</w:t>
            </w:r>
          </w:p>
        </w:tc>
      </w:tr>
      <w:tr w:rsidR="0086641D" w14:paraId="36EE05D3" w14:textId="77777777" w:rsidTr="4AB636BE">
        <w:tc>
          <w:tcPr>
            <w:tcW w:w="855" w:type="dxa"/>
          </w:tcPr>
          <w:p w14:paraId="3BBD2D20" w14:textId="77777777" w:rsidR="0086641D" w:rsidRDefault="0086641D" w:rsidP="00564CD1">
            <w:pPr>
              <w:pStyle w:val="Compact"/>
            </w:pPr>
            <w:r>
              <w:t>P62.1</w:t>
            </w:r>
          </w:p>
        </w:tc>
        <w:tc>
          <w:tcPr>
            <w:tcW w:w="3898" w:type="dxa"/>
            <w:gridSpan w:val="2"/>
          </w:tcPr>
          <w:p w14:paraId="6378F64C" w14:textId="77777777" w:rsidR="0086641D" w:rsidRDefault="0086641D" w:rsidP="00564CD1">
            <w:pPr>
              <w:pStyle w:val="Compact"/>
            </w:pPr>
            <w:r>
              <w:rPr>
                <w:rStyle w:val="VerbatimChar"/>
              </w:rPr>
              <w:t>P3.1_a_pour_type</w:t>
            </w:r>
          </w:p>
        </w:tc>
        <w:tc>
          <w:tcPr>
            <w:tcW w:w="4309" w:type="dxa"/>
          </w:tcPr>
          <w:p w14:paraId="328D9B00" w14:textId="77777777" w:rsidR="0086641D" w:rsidRDefault="0086641D" w:rsidP="00564CD1">
            <w:pPr>
              <w:pStyle w:val="Compact"/>
            </w:pPr>
            <w:r w:rsidRPr="4AB636BE">
              <w:rPr>
                <w:rStyle w:val="VerbatimChar"/>
                <w:lang w:val="fr-FR"/>
              </w:rPr>
              <w:t>E24_Chose_matérielle_élaborée_par_l’humain</w:t>
            </w:r>
            <w:r w:rsidRPr="4AB636BE">
              <w:rPr>
                <w:lang w:val="fr-FR"/>
              </w:rPr>
              <w:t xml:space="preserve">. </w:t>
            </w:r>
            <w:r w:rsidRPr="4AB636BE">
              <w:rPr>
                <w:rStyle w:val="VerbatimChar"/>
                <w:lang w:val="fr-FR"/>
              </w:rPr>
              <w:t>P62_illustre (est_illustré_par)</w:t>
            </w:r>
            <w:r w:rsidRPr="4AB636BE">
              <w:rPr>
                <w:lang w:val="fr-FR"/>
              </w:rPr>
              <w:t xml:space="preserve"> : </w:t>
            </w:r>
            <w:r w:rsidRPr="4AB636BE">
              <w:rPr>
                <w:rStyle w:val="VerbatimChar"/>
                <w:lang w:val="fr-FR"/>
              </w:rPr>
              <w:t>E1_Entité_CRM</w:t>
            </w:r>
          </w:p>
        </w:tc>
        <w:tc>
          <w:tcPr>
            <w:tcW w:w="1718" w:type="dxa"/>
          </w:tcPr>
          <w:p w14:paraId="7D801D39" w14:textId="77777777" w:rsidR="0086641D" w:rsidRDefault="0086641D" w:rsidP="00564CD1">
            <w:pPr>
              <w:pStyle w:val="Compact"/>
            </w:pPr>
            <w:r>
              <w:rPr>
                <w:rStyle w:val="VerbatimChar"/>
              </w:rPr>
              <w:t>E55_Type</w:t>
            </w:r>
          </w:p>
        </w:tc>
      </w:tr>
      <w:tr w:rsidR="0086641D" w14:paraId="1B4934AC" w14:textId="77777777" w:rsidTr="4AB636BE">
        <w:tc>
          <w:tcPr>
            <w:tcW w:w="855" w:type="dxa"/>
          </w:tcPr>
          <w:p w14:paraId="64623BB4" w14:textId="77777777" w:rsidR="0086641D" w:rsidRDefault="0086641D" w:rsidP="00564CD1">
            <w:pPr>
              <w:pStyle w:val="Compact"/>
            </w:pPr>
            <w:r>
              <w:t>P67.1</w:t>
            </w:r>
          </w:p>
        </w:tc>
        <w:tc>
          <w:tcPr>
            <w:tcW w:w="3898" w:type="dxa"/>
            <w:gridSpan w:val="2"/>
          </w:tcPr>
          <w:p w14:paraId="2799503E" w14:textId="77777777" w:rsidR="0086641D" w:rsidRDefault="0086641D" w:rsidP="00564CD1">
            <w:pPr>
              <w:pStyle w:val="Compact"/>
            </w:pPr>
            <w:r>
              <w:rPr>
                <w:rStyle w:val="VerbatimChar"/>
              </w:rPr>
              <w:t>P67.1_a_pour_type</w:t>
            </w:r>
          </w:p>
        </w:tc>
        <w:tc>
          <w:tcPr>
            <w:tcW w:w="4309" w:type="dxa"/>
          </w:tcPr>
          <w:p w14:paraId="3FA82AEC" w14:textId="77777777" w:rsidR="0086641D" w:rsidRDefault="0086641D" w:rsidP="00564CD1">
            <w:pPr>
              <w:pStyle w:val="Compact"/>
            </w:pPr>
            <w:r w:rsidRPr="4AB636BE">
              <w:rPr>
                <w:rStyle w:val="VerbatimChar"/>
                <w:lang w:val="fr-FR"/>
              </w:rPr>
              <w:t>E89_Objet_propositionnel</w:t>
            </w:r>
            <w:r w:rsidRPr="4AB636BE">
              <w:rPr>
                <w:lang w:val="fr-FR"/>
              </w:rPr>
              <w:t xml:space="preserve">. </w:t>
            </w:r>
            <w:r w:rsidRPr="4AB636BE">
              <w:rPr>
                <w:rStyle w:val="VerbatimChar"/>
                <w:lang w:val="fr-FR"/>
              </w:rPr>
              <w:t>P67_renvoie_à (fait_l’objet_d’un_renvoi_par)</w:t>
            </w:r>
            <w:r w:rsidRPr="4AB636BE">
              <w:rPr>
                <w:lang w:val="fr-FR"/>
              </w:rPr>
              <w:t xml:space="preserve"> : </w:t>
            </w:r>
            <w:r w:rsidRPr="4AB636BE">
              <w:rPr>
                <w:rStyle w:val="VerbatimChar"/>
                <w:lang w:val="fr-FR"/>
              </w:rPr>
              <w:t>E1_Entité_CRM</w:t>
            </w:r>
          </w:p>
        </w:tc>
        <w:tc>
          <w:tcPr>
            <w:tcW w:w="1718" w:type="dxa"/>
          </w:tcPr>
          <w:p w14:paraId="318375C1" w14:textId="77777777" w:rsidR="0086641D" w:rsidRDefault="0086641D" w:rsidP="00564CD1">
            <w:pPr>
              <w:pStyle w:val="Compact"/>
            </w:pPr>
            <w:r>
              <w:rPr>
                <w:rStyle w:val="VerbatimChar"/>
              </w:rPr>
              <w:t>E55_Type</w:t>
            </w:r>
          </w:p>
        </w:tc>
      </w:tr>
      <w:tr w:rsidR="0086641D" w14:paraId="5C9E1062" w14:textId="77777777" w:rsidTr="4AB636BE">
        <w:tc>
          <w:tcPr>
            <w:tcW w:w="855" w:type="dxa"/>
          </w:tcPr>
          <w:p w14:paraId="62766FDE" w14:textId="77777777" w:rsidR="0086641D" w:rsidRDefault="0086641D" w:rsidP="00564CD1">
            <w:pPr>
              <w:pStyle w:val="Compact"/>
            </w:pPr>
            <w:r>
              <w:t>P138.1</w:t>
            </w:r>
          </w:p>
        </w:tc>
        <w:tc>
          <w:tcPr>
            <w:tcW w:w="308" w:type="dxa"/>
          </w:tcPr>
          <w:p w14:paraId="74AE7921" w14:textId="77777777" w:rsidR="0086641D" w:rsidRDefault="0086641D" w:rsidP="00564CD1">
            <w:pPr>
              <w:pStyle w:val="Compact"/>
            </w:pPr>
            <w:r>
              <w:t>-</w:t>
            </w:r>
          </w:p>
        </w:tc>
        <w:tc>
          <w:tcPr>
            <w:tcW w:w="3590" w:type="dxa"/>
          </w:tcPr>
          <w:p w14:paraId="6469CCE4" w14:textId="77777777" w:rsidR="0086641D" w:rsidRDefault="0086641D" w:rsidP="00564CD1">
            <w:pPr>
              <w:pStyle w:val="Compact"/>
            </w:pPr>
            <w:r>
              <w:rPr>
                <w:rStyle w:val="VerbatimChar"/>
              </w:rPr>
              <w:t>P138.1_mode_de_représentation</w:t>
            </w:r>
          </w:p>
        </w:tc>
        <w:tc>
          <w:tcPr>
            <w:tcW w:w="4309" w:type="dxa"/>
          </w:tcPr>
          <w:p w14:paraId="49E621DE" w14:textId="77777777" w:rsidR="0086641D" w:rsidRDefault="0086641D" w:rsidP="00564CD1">
            <w:pPr>
              <w:pStyle w:val="Compact"/>
            </w:pPr>
            <w:r w:rsidRPr="4AB636BE">
              <w:rPr>
                <w:rStyle w:val="VerbatimChar"/>
                <w:lang w:val="fr-FR"/>
              </w:rPr>
              <w:t>E36_Entité_visuelle</w:t>
            </w:r>
            <w:r w:rsidRPr="4AB636BE">
              <w:rPr>
                <w:lang w:val="fr-FR"/>
              </w:rPr>
              <w:t xml:space="preserve">. </w:t>
            </w:r>
            <w:r w:rsidRPr="4AB636BE">
              <w:rPr>
                <w:rStyle w:val="VerbatimChar"/>
                <w:lang w:val="fr-FR"/>
              </w:rPr>
              <w:t>P138_représente (est_représenté_par)</w:t>
            </w:r>
            <w:r w:rsidRPr="4AB636BE">
              <w:rPr>
                <w:lang w:val="fr-FR"/>
              </w:rPr>
              <w:t xml:space="preserve"> : </w:t>
            </w:r>
            <w:r w:rsidRPr="4AB636BE">
              <w:rPr>
                <w:rStyle w:val="VerbatimChar"/>
                <w:lang w:val="fr-FR"/>
              </w:rPr>
              <w:t>E1_Entité_CRM</w:t>
            </w:r>
          </w:p>
        </w:tc>
        <w:tc>
          <w:tcPr>
            <w:tcW w:w="1718" w:type="dxa"/>
          </w:tcPr>
          <w:p w14:paraId="1CAE0FBA" w14:textId="77777777" w:rsidR="0086641D" w:rsidRDefault="0086641D" w:rsidP="00564CD1">
            <w:pPr>
              <w:pStyle w:val="Compact"/>
            </w:pPr>
            <w:r>
              <w:rPr>
                <w:rStyle w:val="VerbatimChar"/>
              </w:rPr>
              <w:t>E55_Type</w:t>
            </w:r>
          </w:p>
        </w:tc>
      </w:tr>
      <w:tr w:rsidR="0086641D" w14:paraId="57606F47" w14:textId="77777777" w:rsidTr="4AB636BE">
        <w:tc>
          <w:tcPr>
            <w:tcW w:w="855" w:type="dxa"/>
          </w:tcPr>
          <w:p w14:paraId="36E77A2F" w14:textId="77777777" w:rsidR="0086641D" w:rsidRDefault="0086641D" w:rsidP="00564CD1">
            <w:pPr>
              <w:pStyle w:val="Compact"/>
            </w:pPr>
            <w:r>
              <w:t>P69.1</w:t>
            </w:r>
          </w:p>
        </w:tc>
        <w:tc>
          <w:tcPr>
            <w:tcW w:w="3898" w:type="dxa"/>
            <w:gridSpan w:val="2"/>
          </w:tcPr>
          <w:p w14:paraId="69473D34" w14:textId="77777777" w:rsidR="0086641D" w:rsidRDefault="0086641D" w:rsidP="00564CD1">
            <w:pPr>
              <w:pStyle w:val="Compact"/>
            </w:pPr>
            <w:r>
              <w:rPr>
                <w:rStyle w:val="VerbatimChar"/>
              </w:rPr>
              <w:t>P69.1_a_pour_type</w:t>
            </w:r>
          </w:p>
        </w:tc>
        <w:tc>
          <w:tcPr>
            <w:tcW w:w="4309" w:type="dxa"/>
          </w:tcPr>
          <w:p w14:paraId="6D03F5D0" w14:textId="77777777" w:rsidR="0086641D" w:rsidRDefault="0086641D" w:rsidP="00564CD1">
            <w:pPr>
              <w:pStyle w:val="Compact"/>
            </w:pPr>
            <w:r w:rsidRPr="4AB636BE">
              <w:rPr>
                <w:rStyle w:val="VerbatimChar"/>
                <w:lang w:val="fr-FR"/>
              </w:rPr>
              <w:t>E29_Conceptualisation_ou_procédure</w:t>
            </w:r>
            <w:r w:rsidRPr="4AB636BE">
              <w:rPr>
                <w:lang w:val="fr-FR"/>
              </w:rPr>
              <w:t xml:space="preserve">. </w:t>
            </w:r>
            <w:r w:rsidRPr="4AB636BE">
              <w:rPr>
                <w:rStyle w:val="VerbatimChar"/>
                <w:lang w:val="fr-FR"/>
              </w:rPr>
              <w:t>P69_est_associé_à (est_associé_à)</w:t>
            </w:r>
            <w:r w:rsidRPr="4AB636BE">
              <w:rPr>
                <w:lang w:val="fr-FR"/>
              </w:rPr>
              <w:t xml:space="preserve"> : </w:t>
            </w:r>
            <w:r w:rsidRPr="4AB636BE">
              <w:rPr>
                <w:rStyle w:val="VerbatimChar"/>
                <w:lang w:val="fr-FR"/>
              </w:rPr>
              <w:t>E29_Conceptualisation_ou_procédure</w:t>
            </w:r>
          </w:p>
        </w:tc>
        <w:tc>
          <w:tcPr>
            <w:tcW w:w="1718" w:type="dxa"/>
          </w:tcPr>
          <w:p w14:paraId="4BFA2B6A" w14:textId="77777777" w:rsidR="0086641D" w:rsidRDefault="0086641D" w:rsidP="00564CD1">
            <w:pPr>
              <w:pStyle w:val="Compact"/>
            </w:pPr>
            <w:r>
              <w:rPr>
                <w:rStyle w:val="VerbatimChar"/>
              </w:rPr>
              <w:t>E55_Type</w:t>
            </w:r>
          </w:p>
        </w:tc>
      </w:tr>
      <w:tr w:rsidR="0086641D" w14:paraId="6E656783" w14:textId="77777777" w:rsidTr="4AB636BE">
        <w:tc>
          <w:tcPr>
            <w:tcW w:w="855" w:type="dxa"/>
          </w:tcPr>
          <w:p w14:paraId="2999D49B" w14:textId="77777777" w:rsidR="0086641D" w:rsidRDefault="0086641D" w:rsidP="00564CD1">
            <w:pPr>
              <w:pStyle w:val="Compact"/>
            </w:pPr>
            <w:r>
              <w:t>P102.1</w:t>
            </w:r>
          </w:p>
        </w:tc>
        <w:tc>
          <w:tcPr>
            <w:tcW w:w="3898" w:type="dxa"/>
            <w:gridSpan w:val="2"/>
          </w:tcPr>
          <w:p w14:paraId="0D7E01AC" w14:textId="77777777" w:rsidR="0086641D" w:rsidRDefault="0086641D" w:rsidP="00564CD1">
            <w:pPr>
              <w:pStyle w:val="Compact"/>
            </w:pPr>
            <w:r>
              <w:rPr>
                <w:rStyle w:val="VerbatimChar"/>
              </w:rPr>
              <w:t>P102.1_a_pour_type</w:t>
            </w:r>
          </w:p>
        </w:tc>
        <w:tc>
          <w:tcPr>
            <w:tcW w:w="4309" w:type="dxa"/>
          </w:tcPr>
          <w:p w14:paraId="3612E246" w14:textId="307AD2FD" w:rsidR="0086641D" w:rsidRDefault="0086641D" w:rsidP="00564CD1">
            <w:pPr>
              <w:pStyle w:val="Compact"/>
            </w:pPr>
            <w:r>
              <w:rPr>
                <w:rStyle w:val="VerbatimChar"/>
              </w:rPr>
              <w:t>E71_Chose_élaborée_par_l’humain</w:t>
            </w:r>
            <w:r w:rsidR="00EF594B">
              <w:t xml:space="preserve">. </w:t>
            </w:r>
            <w:r w:rsidR="00EF594B" w:rsidRPr="57888E30">
              <w:rPr>
                <w:rStyle w:val="VerbatimChar"/>
                <w:lang w:val="fr-FR"/>
              </w:rPr>
              <w:t>P102_a_pour_type (est_le_titre_de)</w:t>
            </w:r>
            <w:r w:rsidR="00EF594B">
              <w:t xml:space="preserve"> </w:t>
            </w:r>
            <w:r>
              <w:t xml:space="preserve">: </w:t>
            </w:r>
            <w:r>
              <w:rPr>
                <w:rStyle w:val="VerbatimChar"/>
              </w:rPr>
              <w:t>E35_Titre</w:t>
            </w:r>
          </w:p>
        </w:tc>
        <w:tc>
          <w:tcPr>
            <w:tcW w:w="1718" w:type="dxa"/>
          </w:tcPr>
          <w:p w14:paraId="0D7F7984" w14:textId="77777777" w:rsidR="0086641D" w:rsidRDefault="0086641D" w:rsidP="00564CD1">
            <w:pPr>
              <w:pStyle w:val="Compact"/>
            </w:pPr>
            <w:r>
              <w:rPr>
                <w:rStyle w:val="VerbatimChar"/>
              </w:rPr>
              <w:t>E55_Type</w:t>
            </w:r>
          </w:p>
        </w:tc>
      </w:tr>
      <w:tr w:rsidR="0086641D" w14:paraId="445D092D" w14:textId="77777777" w:rsidTr="4AB636BE">
        <w:tc>
          <w:tcPr>
            <w:tcW w:w="855" w:type="dxa"/>
          </w:tcPr>
          <w:p w14:paraId="4340ED06" w14:textId="77777777" w:rsidR="0086641D" w:rsidRDefault="0086641D" w:rsidP="00564CD1">
            <w:pPr>
              <w:pStyle w:val="Compact"/>
            </w:pPr>
            <w:r>
              <w:lastRenderedPageBreak/>
              <w:t>P107.1</w:t>
            </w:r>
          </w:p>
        </w:tc>
        <w:tc>
          <w:tcPr>
            <w:tcW w:w="3898" w:type="dxa"/>
            <w:gridSpan w:val="2"/>
          </w:tcPr>
          <w:p w14:paraId="2CD1D054" w14:textId="77777777" w:rsidR="0086641D" w:rsidRDefault="0086641D" w:rsidP="00564CD1">
            <w:pPr>
              <w:pStyle w:val="Compact"/>
            </w:pPr>
            <w:r>
              <w:rPr>
                <w:rStyle w:val="VerbatimChar"/>
              </w:rPr>
              <w:t>P107.1_sorte_de_membre</w:t>
            </w:r>
          </w:p>
        </w:tc>
        <w:tc>
          <w:tcPr>
            <w:tcW w:w="4309" w:type="dxa"/>
          </w:tcPr>
          <w:p w14:paraId="0831F57E" w14:textId="77777777" w:rsidR="0086641D" w:rsidRDefault="0086641D" w:rsidP="00564CD1">
            <w:pPr>
              <w:pStyle w:val="Compact"/>
            </w:pPr>
            <w:r w:rsidRPr="4AB636BE">
              <w:rPr>
                <w:rStyle w:val="VerbatimChar"/>
                <w:lang w:val="fr-FR"/>
              </w:rPr>
              <w:t>E74_Groupe</w:t>
            </w:r>
            <w:r w:rsidRPr="4AB636BE">
              <w:rPr>
                <w:lang w:val="fr-FR"/>
              </w:rPr>
              <w:t xml:space="preserve">. </w:t>
            </w:r>
            <w:r w:rsidRPr="4AB636BE">
              <w:rPr>
                <w:rStyle w:val="VerbatimChar"/>
                <w:lang w:val="fr-FR"/>
              </w:rPr>
              <w:t>P107_a_pour_membre_actuel_ou_antérieur (est_le_membre_actuel_ou_antérieur_de)</w:t>
            </w:r>
            <w:r w:rsidRPr="4AB636BE">
              <w:rPr>
                <w:lang w:val="fr-FR"/>
              </w:rPr>
              <w:t xml:space="preserve"> : </w:t>
            </w:r>
            <w:r w:rsidRPr="4AB636BE">
              <w:rPr>
                <w:rStyle w:val="VerbatimChar"/>
                <w:lang w:val="fr-FR"/>
              </w:rPr>
              <w:t>E39_Actant</w:t>
            </w:r>
          </w:p>
        </w:tc>
        <w:tc>
          <w:tcPr>
            <w:tcW w:w="1718" w:type="dxa"/>
          </w:tcPr>
          <w:p w14:paraId="7FA3A77B" w14:textId="77777777" w:rsidR="0086641D" w:rsidRDefault="0086641D" w:rsidP="00564CD1">
            <w:pPr>
              <w:pStyle w:val="Compact"/>
            </w:pPr>
            <w:r>
              <w:rPr>
                <w:rStyle w:val="VerbatimChar"/>
              </w:rPr>
              <w:t>E55_Type</w:t>
            </w:r>
          </w:p>
        </w:tc>
      </w:tr>
      <w:tr w:rsidR="0086641D" w14:paraId="30C837E5" w14:textId="77777777" w:rsidTr="4AB636BE">
        <w:tc>
          <w:tcPr>
            <w:tcW w:w="855" w:type="dxa"/>
          </w:tcPr>
          <w:p w14:paraId="4035E7FA" w14:textId="77777777" w:rsidR="0086641D" w:rsidRDefault="0086641D" w:rsidP="00564CD1">
            <w:pPr>
              <w:pStyle w:val="Compact"/>
            </w:pPr>
            <w:r>
              <w:t>P136.1</w:t>
            </w:r>
          </w:p>
        </w:tc>
        <w:tc>
          <w:tcPr>
            <w:tcW w:w="3898" w:type="dxa"/>
            <w:gridSpan w:val="2"/>
          </w:tcPr>
          <w:p w14:paraId="6F11397C" w14:textId="77777777" w:rsidR="0086641D" w:rsidRDefault="0086641D" w:rsidP="00564CD1">
            <w:pPr>
              <w:pStyle w:val="Compact"/>
            </w:pPr>
            <w:r>
              <w:rPr>
                <w:rStyle w:val="VerbatimChar"/>
              </w:rPr>
              <w:t>P136.1_dans_le_rôle_taxonomique_de</w:t>
            </w:r>
          </w:p>
        </w:tc>
        <w:tc>
          <w:tcPr>
            <w:tcW w:w="4309" w:type="dxa"/>
          </w:tcPr>
          <w:p w14:paraId="02D737D2" w14:textId="77777777" w:rsidR="0086641D" w:rsidRDefault="0086641D" w:rsidP="00564CD1">
            <w:pPr>
              <w:pStyle w:val="Compact"/>
            </w:pPr>
            <w:r w:rsidRPr="4AB636BE">
              <w:rPr>
                <w:rStyle w:val="VerbatimChar"/>
                <w:lang w:val="fr-FR"/>
              </w:rPr>
              <w:t>E83_Création_de_type</w:t>
            </w:r>
            <w:r w:rsidRPr="4AB636BE">
              <w:rPr>
                <w:lang w:val="fr-FR"/>
              </w:rPr>
              <w:t xml:space="preserve">. </w:t>
            </w:r>
            <w:r w:rsidRPr="4AB636BE">
              <w:rPr>
                <w:rStyle w:val="VerbatimChar"/>
                <w:lang w:val="fr-FR"/>
              </w:rPr>
              <w:t>P136_a_été_fondé_sur (a_fondé_la_création_du_type)</w:t>
            </w:r>
            <w:r w:rsidRPr="4AB636BE">
              <w:rPr>
                <w:lang w:val="fr-FR"/>
              </w:rPr>
              <w:t xml:space="preserve"> : </w:t>
            </w:r>
            <w:r w:rsidRPr="4AB636BE">
              <w:rPr>
                <w:rStyle w:val="VerbatimChar"/>
                <w:lang w:val="fr-FR"/>
              </w:rPr>
              <w:t>E1_Entité_CRM</w:t>
            </w:r>
          </w:p>
        </w:tc>
        <w:tc>
          <w:tcPr>
            <w:tcW w:w="1718" w:type="dxa"/>
          </w:tcPr>
          <w:p w14:paraId="15852AD0" w14:textId="77777777" w:rsidR="0086641D" w:rsidRDefault="0086641D" w:rsidP="00564CD1">
            <w:pPr>
              <w:pStyle w:val="Compact"/>
            </w:pPr>
            <w:r>
              <w:rPr>
                <w:rStyle w:val="VerbatimChar"/>
              </w:rPr>
              <w:t>E55_Type</w:t>
            </w:r>
          </w:p>
        </w:tc>
      </w:tr>
      <w:tr w:rsidR="0086641D" w14:paraId="3269E002" w14:textId="77777777" w:rsidTr="4AB636BE">
        <w:tc>
          <w:tcPr>
            <w:tcW w:w="855" w:type="dxa"/>
          </w:tcPr>
          <w:p w14:paraId="0C151DDE" w14:textId="77777777" w:rsidR="0086641D" w:rsidRDefault="0086641D" w:rsidP="00564CD1">
            <w:pPr>
              <w:pStyle w:val="Compact"/>
            </w:pPr>
            <w:r>
              <w:t>P130.1</w:t>
            </w:r>
          </w:p>
        </w:tc>
        <w:tc>
          <w:tcPr>
            <w:tcW w:w="3898" w:type="dxa"/>
            <w:gridSpan w:val="2"/>
          </w:tcPr>
          <w:p w14:paraId="212780AD" w14:textId="77777777" w:rsidR="0086641D" w:rsidRDefault="0086641D" w:rsidP="00564CD1">
            <w:pPr>
              <w:pStyle w:val="Compact"/>
            </w:pPr>
            <w:r>
              <w:rPr>
                <w:rStyle w:val="VerbatimChar"/>
              </w:rPr>
              <w:t>P130.1_sorte_de_similarité</w:t>
            </w:r>
          </w:p>
        </w:tc>
        <w:tc>
          <w:tcPr>
            <w:tcW w:w="4309" w:type="dxa"/>
          </w:tcPr>
          <w:p w14:paraId="03803B14" w14:textId="77777777" w:rsidR="0086641D" w:rsidRDefault="0086641D" w:rsidP="00564CD1">
            <w:pPr>
              <w:pStyle w:val="Compact"/>
            </w:pPr>
            <w:r w:rsidRPr="4AB636BE">
              <w:rPr>
                <w:rStyle w:val="VerbatimChar"/>
                <w:lang w:val="fr-FR"/>
              </w:rPr>
              <w:t>E70_Chose</w:t>
            </w:r>
            <w:r w:rsidRPr="4AB636BE">
              <w:rPr>
                <w:lang w:val="fr-FR"/>
              </w:rPr>
              <w:t xml:space="preserve">. </w:t>
            </w:r>
            <w:r w:rsidRPr="4AB636BE">
              <w:rPr>
                <w:rStyle w:val="VerbatimChar"/>
                <w:lang w:val="fr-FR"/>
              </w:rPr>
              <w:t>P130_présente_les_caractéristiques de (a_les_caractéristiques_aussi_présentes_sur)</w:t>
            </w:r>
            <w:r w:rsidRPr="4AB636BE">
              <w:rPr>
                <w:lang w:val="fr-FR"/>
              </w:rPr>
              <w:t xml:space="preserve"> : </w:t>
            </w:r>
            <w:r w:rsidRPr="4AB636BE">
              <w:rPr>
                <w:rStyle w:val="VerbatimChar"/>
                <w:lang w:val="fr-FR"/>
              </w:rPr>
              <w:t>E70_Chose</w:t>
            </w:r>
          </w:p>
        </w:tc>
        <w:tc>
          <w:tcPr>
            <w:tcW w:w="1718" w:type="dxa"/>
          </w:tcPr>
          <w:p w14:paraId="696713A7" w14:textId="77777777" w:rsidR="0086641D" w:rsidRDefault="0086641D" w:rsidP="00564CD1">
            <w:pPr>
              <w:pStyle w:val="Compact"/>
            </w:pPr>
            <w:r>
              <w:rPr>
                <w:rStyle w:val="VerbatimChar"/>
              </w:rPr>
              <w:t>E55_Type</w:t>
            </w:r>
          </w:p>
        </w:tc>
      </w:tr>
      <w:tr w:rsidR="0086641D" w14:paraId="4EC896C3" w14:textId="77777777" w:rsidTr="4AB636BE">
        <w:tc>
          <w:tcPr>
            <w:tcW w:w="855" w:type="dxa"/>
          </w:tcPr>
          <w:p w14:paraId="22C38D9C" w14:textId="77777777" w:rsidR="0086641D" w:rsidRDefault="0086641D" w:rsidP="00564CD1">
            <w:pPr>
              <w:pStyle w:val="Compact"/>
            </w:pPr>
            <w:r>
              <w:t>P137.1</w:t>
            </w:r>
          </w:p>
        </w:tc>
        <w:tc>
          <w:tcPr>
            <w:tcW w:w="3898" w:type="dxa"/>
            <w:gridSpan w:val="2"/>
          </w:tcPr>
          <w:p w14:paraId="431C6E31" w14:textId="77777777" w:rsidR="0086641D" w:rsidRDefault="0086641D" w:rsidP="00564CD1">
            <w:pPr>
              <w:pStyle w:val="Compact"/>
            </w:pPr>
            <w:r>
              <w:rPr>
                <w:rStyle w:val="VerbatimChar"/>
              </w:rPr>
              <w:t>P137.1_dans_le_rôle_taxonomique_de</w:t>
            </w:r>
          </w:p>
        </w:tc>
        <w:tc>
          <w:tcPr>
            <w:tcW w:w="4309" w:type="dxa"/>
          </w:tcPr>
          <w:p w14:paraId="34BC2372" w14:textId="77777777" w:rsidR="0086641D" w:rsidRDefault="0086641D" w:rsidP="00564CD1">
            <w:pPr>
              <w:pStyle w:val="Compact"/>
            </w:pPr>
            <w:r w:rsidRPr="4AB636BE">
              <w:rPr>
                <w:rStyle w:val="VerbatimChar"/>
                <w:lang w:val="fr-FR"/>
              </w:rPr>
              <w:t>E1_Entité_CRM</w:t>
            </w:r>
            <w:r w:rsidRPr="4AB636BE">
              <w:rPr>
                <w:lang w:val="fr-FR"/>
              </w:rPr>
              <w:t xml:space="preserve">. </w:t>
            </w:r>
            <w:r w:rsidRPr="4AB636BE">
              <w:rPr>
                <w:rStyle w:val="VerbatimChar"/>
                <w:lang w:val="fr-FR"/>
              </w:rPr>
              <w:t>P137_exemplifie (est_exemplifié_par)</w:t>
            </w:r>
            <w:r w:rsidRPr="4AB636BE">
              <w:rPr>
                <w:lang w:val="fr-FR"/>
              </w:rPr>
              <w:t xml:space="preserve"> : </w:t>
            </w:r>
            <w:r w:rsidRPr="4AB636BE">
              <w:rPr>
                <w:rStyle w:val="VerbatimChar"/>
                <w:lang w:val="fr-FR"/>
              </w:rPr>
              <w:t>E55_Type</w:t>
            </w:r>
          </w:p>
        </w:tc>
        <w:tc>
          <w:tcPr>
            <w:tcW w:w="1718" w:type="dxa"/>
          </w:tcPr>
          <w:p w14:paraId="30A8977E" w14:textId="77777777" w:rsidR="0086641D" w:rsidRDefault="0086641D" w:rsidP="00564CD1">
            <w:pPr>
              <w:pStyle w:val="Compact"/>
            </w:pPr>
            <w:r>
              <w:rPr>
                <w:rStyle w:val="VerbatimChar"/>
              </w:rPr>
              <w:t>E55_Type</w:t>
            </w:r>
          </w:p>
        </w:tc>
      </w:tr>
      <w:tr w:rsidR="0086641D" w14:paraId="6A546562" w14:textId="77777777" w:rsidTr="4AB636BE">
        <w:tc>
          <w:tcPr>
            <w:tcW w:w="855" w:type="dxa"/>
          </w:tcPr>
          <w:p w14:paraId="004C9674" w14:textId="77777777" w:rsidR="0086641D" w:rsidRDefault="0086641D" w:rsidP="00564CD1">
            <w:pPr>
              <w:pStyle w:val="Compact"/>
            </w:pPr>
            <w:r>
              <w:t>P139.1</w:t>
            </w:r>
          </w:p>
        </w:tc>
        <w:tc>
          <w:tcPr>
            <w:tcW w:w="3898" w:type="dxa"/>
            <w:gridSpan w:val="2"/>
          </w:tcPr>
          <w:p w14:paraId="15348AED" w14:textId="77777777" w:rsidR="0086641D" w:rsidRDefault="0086641D" w:rsidP="00564CD1">
            <w:pPr>
              <w:pStyle w:val="Compact"/>
            </w:pPr>
            <w:r>
              <w:rPr>
                <w:rStyle w:val="VerbatimChar"/>
              </w:rPr>
              <w:t>P139.1_a_pour_type</w:t>
            </w:r>
          </w:p>
        </w:tc>
        <w:tc>
          <w:tcPr>
            <w:tcW w:w="4309" w:type="dxa"/>
          </w:tcPr>
          <w:p w14:paraId="1BC27513" w14:textId="77777777" w:rsidR="0086641D" w:rsidRDefault="0086641D" w:rsidP="00564CD1">
            <w:pPr>
              <w:pStyle w:val="Compact"/>
            </w:pPr>
            <w:r>
              <w:rPr>
                <w:rStyle w:val="VerbatimChar"/>
              </w:rPr>
              <w:t>E41_Appellation</w:t>
            </w:r>
            <w:r>
              <w:t xml:space="preserve">. </w:t>
            </w:r>
            <w:r>
              <w:rPr>
                <w:rStyle w:val="VerbatimChar"/>
              </w:rPr>
              <w:t>P139_a_pour_forme_alternative</w:t>
            </w:r>
            <w:r>
              <w:t xml:space="preserve"> : </w:t>
            </w:r>
            <w:r>
              <w:rPr>
                <w:rStyle w:val="VerbatimChar"/>
              </w:rPr>
              <w:t>E41_Appellation</w:t>
            </w:r>
          </w:p>
        </w:tc>
        <w:tc>
          <w:tcPr>
            <w:tcW w:w="1718" w:type="dxa"/>
          </w:tcPr>
          <w:p w14:paraId="0E122CFC" w14:textId="77777777" w:rsidR="0086641D" w:rsidRDefault="0086641D" w:rsidP="00564CD1">
            <w:pPr>
              <w:pStyle w:val="Compact"/>
            </w:pPr>
            <w:r>
              <w:rPr>
                <w:rStyle w:val="VerbatimChar"/>
              </w:rPr>
              <w:t>E55_Type</w:t>
            </w:r>
          </w:p>
        </w:tc>
      </w:tr>
      <w:tr w:rsidR="0086641D" w14:paraId="0D634897" w14:textId="77777777" w:rsidTr="4AB636BE">
        <w:tc>
          <w:tcPr>
            <w:tcW w:w="855" w:type="dxa"/>
          </w:tcPr>
          <w:p w14:paraId="42C25664" w14:textId="77777777" w:rsidR="0086641D" w:rsidRDefault="0086641D" w:rsidP="00564CD1">
            <w:pPr>
              <w:pStyle w:val="Compact"/>
            </w:pPr>
            <w:r>
              <w:t>P144.1</w:t>
            </w:r>
          </w:p>
        </w:tc>
        <w:tc>
          <w:tcPr>
            <w:tcW w:w="3898" w:type="dxa"/>
            <w:gridSpan w:val="2"/>
          </w:tcPr>
          <w:p w14:paraId="3479027C" w14:textId="77777777" w:rsidR="0086641D" w:rsidRDefault="0086641D" w:rsidP="00564CD1">
            <w:pPr>
              <w:pStyle w:val="Compact"/>
            </w:pPr>
            <w:r>
              <w:rPr>
                <w:rStyle w:val="VerbatimChar"/>
              </w:rPr>
              <w:t>P144.1_sorte_de_membre</w:t>
            </w:r>
          </w:p>
        </w:tc>
        <w:tc>
          <w:tcPr>
            <w:tcW w:w="4309" w:type="dxa"/>
          </w:tcPr>
          <w:p w14:paraId="216125D1" w14:textId="77777777" w:rsidR="0086641D" w:rsidRDefault="0086641D" w:rsidP="00564CD1">
            <w:pPr>
              <w:pStyle w:val="Compact"/>
            </w:pPr>
            <w:r w:rsidRPr="4AB636BE">
              <w:rPr>
                <w:rStyle w:val="VerbatimChar"/>
                <w:lang w:val="fr-FR"/>
              </w:rPr>
              <w:t>E85_Adhésion</w:t>
            </w:r>
            <w:r w:rsidRPr="4AB636BE">
              <w:rPr>
                <w:lang w:val="fr-FR"/>
              </w:rPr>
              <w:t xml:space="preserve">. </w:t>
            </w:r>
            <w:r w:rsidRPr="4AB636BE">
              <w:rPr>
                <w:rStyle w:val="VerbatimChar"/>
                <w:lang w:val="fr-FR"/>
              </w:rPr>
              <w:t>P144_a_fait_adhérer_à (a_accueilli_le_membre_par)</w:t>
            </w:r>
            <w:r w:rsidRPr="4AB636BE">
              <w:rPr>
                <w:lang w:val="fr-FR"/>
              </w:rPr>
              <w:t xml:space="preserve"> : </w:t>
            </w:r>
            <w:r w:rsidRPr="4AB636BE">
              <w:rPr>
                <w:rStyle w:val="VerbatimChar"/>
                <w:lang w:val="fr-FR"/>
              </w:rPr>
              <w:t>E74_Groupe</w:t>
            </w:r>
          </w:p>
        </w:tc>
        <w:tc>
          <w:tcPr>
            <w:tcW w:w="1718" w:type="dxa"/>
          </w:tcPr>
          <w:p w14:paraId="26F48371" w14:textId="77777777" w:rsidR="0086641D" w:rsidRDefault="0086641D" w:rsidP="00564CD1">
            <w:pPr>
              <w:pStyle w:val="Compact"/>
            </w:pPr>
            <w:r>
              <w:rPr>
                <w:rStyle w:val="VerbatimChar"/>
              </w:rPr>
              <w:t>E55_Type</w:t>
            </w:r>
          </w:p>
        </w:tc>
      </w:tr>
      <w:tr w:rsidR="0086641D" w14:paraId="5983E32E" w14:textId="77777777" w:rsidTr="4AB636BE">
        <w:tc>
          <w:tcPr>
            <w:tcW w:w="855" w:type="dxa"/>
          </w:tcPr>
          <w:p w14:paraId="34E487B9" w14:textId="77777777" w:rsidR="0086641D" w:rsidRDefault="0086641D" w:rsidP="00564CD1">
            <w:pPr>
              <w:pStyle w:val="Compact"/>
            </w:pPr>
            <w:r>
              <w:t>P189.1</w:t>
            </w:r>
          </w:p>
        </w:tc>
        <w:tc>
          <w:tcPr>
            <w:tcW w:w="3898" w:type="dxa"/>
            <w:gridSpan w:val="2"/>
          </w:tcPr>
          <w:p w14:paraId="3E3786E5" w14:textId="77777777" w:rsidR="0086641D" w:rsidRDefault="0086641D" w:rsidP="00564CD1">
            <w:pPr>
              <w:pStyle w:val="Compact"/>
            </w:pPr>
            <w:r>
              <w:rPr>
                <w:rStyle w:val="VerbatimChar"/>
              </w:rPr>
              <w:t>P189.1_a_pour_type</w:t>
            </w:r>
          </w:p>
        </w:tc>
        <w:tc>
          <w:tcPr>
            <w:tcW w:w="4309" w:type="dxa"/>
          </w:tcPr>
          <w:p w14:paraId="733ECBFD" w14:textId="77777777" w:rsidR="0086641D" w:rsidRDefault="0086641D" w:rsidP="00564CD1">
            <w:pPr>
              <w:pStyle w:val="Compact"/>
            </w:pPr>
            <w:r w:rsidRPr="4AB636BE">
              <w:rPr>
                <w:rStyle w:val="VerbatimChar"/>
                <w:lang w:val="fr-FR"/>
              </w:rPr>
              <w:t>E53_Lieu</w:t>
            </w:r>
            <w:r w:rsidRPr="4AB636BE">
              <w:rPr>
                <w:lang w:val="fr-FR"/>
              </w:rPr>
              <w:t xml:space="preserve">. </w:t>
            </w:r>
            <w:r w:rsidRPr="4AB636BE">
              <w:rPr>
                <w:rStyle w:val="VerbatimChar"/>
                <w:lang w:val="fr-FR"/>
              </w:rPr>
              <w:t>P189_approxime (est_approximé_par)</w:t>
            </w:r>
            <w:r w:rsidRPr="4AB636BE">
              <w:rPr>
                <w:lang w:val="fr-FR"/>
              </w:rPr>
              <w:t xml:space="preserve"> : </w:t>
            </w:r>
            <w:r w:rsidRPr="4AB636BE">
              <w:rPr>
                <w:rStyle w:val="VerbatimChar"/>
                <w:lang w:val="fr-FR"/>
              </w:rPr>
              <w:t>E53_Lieu</w:t>
            </w:r>
          </w:p>
        </w:tc>
        <w:tc>
          <w:tcPr>
            <w:tcW w:w="1718" w:type="dxa"/>
          </w:tcPr>
          <w:p w14:paraId="4B24B015" w14:textId="77777777" w:rsidR="0086641D" w:rsidRDefault="0086641D" w:rsidP="00564CD1">
            <w:pPr>
              <w:pStyle w:val="Compact"/>
            </w:pPr>
            <w:r>
              <w:rPr>
                <w:rStyle w:val="VerbatimChar"/>
              </w:rPr>
              <w:t>E55_Type</w:t>
            </w:r>
          </w:p>
        </w:tc>
      </w:tr>
    </w:tbl>
    <w:p w14:paraId="5C5E8BE0" w14:textId="77777777" w:rsidR="000B56E7" w:rsidRDefault="000B56E7" w:rsidP="001B7C5E">
      <w:bookmarkStart w:id="105" w:name="_Toc176864434"/>
      <w:bookmarkStart w:id="106" w:name="declaration-des-classes-du-cidoc-crm"/>
      <w:bookmarkEnd w:id="96"/>
      <w:bookmarkEnd w:id="100"/>
      <w:bookmarkEnd w:id="102"/>
    </w:p>
    <w:p w14:paraId="6ACA2251" w14:textId="77777777" w:rsidR="000B56E7" w:rsidRDefault="000B56E7">
      <w:pPr>
        <w:spacing w:after="0"/>
        <w:rPr>
          <w:rFonts w:eastAsiaTheme="majorEastAsia" w:cstheme="majorBidi"/>
          <w:b/>
          <w:bCs/>
          <w:color w:val="000000"/>
          <w:sz w:val="36"/>
          <w:szCs w:val="36"/>
        </w:rPr>
      </w:pPr>
      <w:r>
        <w:br w:type="page"/>
      </w:r>
    </w:p>
    <w:p w14:paraId="740E561B" w14:textId="322905A4" w:rsidR="0084489F" w:rsidRDefault="00110FE6">
      <w:pPr>
        <w:pStyle w:val="Heading1"/>
      </w:pPr>
      <w:r>
        <w:lastRenderedPageBreak/>
        <w:t>Déclaration des classes du CIDOC CRM</w:t>
      </w:r>
      <w:bookmarkEnd w:id="105"/>
    </w:p>
    <w:p w14:paraId="650A30AF" w14:textId="77777777" w:rsidR="0084489F" w:rsidRDefault="00110FE6">
      <w:pPr>
        <w:pStyle w:val="FirstParagraph"/>
      </w:pPr>
      <w:r>
        <w:t>Les classes du CIDOC CRM sont déclarées ici selon la forme suivante :</w:t>
      </w:r>
    </w:p>
    <w:p w14:paraId="52FA928C" w14:textId="77777777" w:rsidR="0084489F" w:rsidRDefault="00110FE6" w:rsidP="00806324">
      <w:pPr>
        <w:numPr>
          <w:ilvl w:val="0"/>
          <w:numId w:val="49"/>
        </w:numPr>
      </w:pPr>
      <w:r>
        <w:t>Les noms de classe sont présentés comme des titres en gras précédés de l’identifiant unique de la classe.</w:t>
      </w:r>
    </w:p>
    <w:p w14:paraId="71D4F10E" w14:textId="77777777" w:rsidR="0084489F" w:rsidRDefault="00110FE6" w:rsidP="00806324">
      <w:pPr>
        <w:numPr>
          <w:ilvl w:val="0"/>
          <w:numId w:val="49"/>
        </w:numPr>
      </w:pPr>
      <w:r>
        <w:t>La ligne « Sous-classe de : » déclare la super-classe dont la classe hérite les propriétés.</w:t>
      </w:r>
    </w:p>
    <w:p w14:paraId="11308B04" w14:textId="77777777" w:rsidR="0084489F" w:rsidRDefault="00110FE6" w:rsidP="00806324">
      <w:pPr>
        <w:numPr>
          <w:ilvl w:val="0"/>
          <w:numId w:val="49"/>
        </w:numPr>
      </w:pPr>
      <w:r w:rsidRPr="246FBB6F">
        <w:rPr>
          <w:lang w:val="fr-FR"/>
        </w:rPr>
        <w:t>La ligne « Sous-classe de : » est un coréférencement des sous-classes de la classe.</w:t>
      </w:r>
    </w:p>
    <w:p w14:paraId="0E51E5B5" w14:textId="77777777" w:rsidR="0084489F" w:rsidRDefault="00110FE6" w:rsidP="00806324">
      <w:pPr>
        <w:numPr>
          <w:ilvl w:val="0"/>
          <w:numId w:val="49"/>
        </w:numPr>
      </w:pPr>
      <w:r>
        <w:t>La ligne « Note d’application : » contient la définition textuelle du concept que représente la classe.</w:t>
      </w:r>
    </w:p>
    <w:p w14:paraId="76E60EA4" w14:textId="77777777" w:rsidR="0084489F" w:rsidRDefault="00110FE6" w:rsidP="00806324">
      <w:pPr>
        <w:numPr>
          <w:ilvl w:val="0"/>
          <w:numId w:val="49"/>
        </w:numPr>
      </w:pPr>
      <w:r>
        <w:t>La ligne « Exemples : » contient une liste d’exemples d’instances de la classe :</w:t>
      </w:r>
    </w:p>
    <w:p w14:paraId="72CCAB20" w14:textId="77777777" w:rsidR="0084489F" w:rsidRDefault="00110FE6" w:rsidP="00806324">
      <w:pPr>
        <w:numPr>
          <w:ilvl w:val="0"/>
          <w:numId w:val="49"/>
        </w:numPr>
      </w:pPr>
      <w:r>
        <w:t>Si l’exemple illustre aussi l’instance d’une sous-classe de la classe, l’identifiant unique de cette sous-classe [n.d.t. ainsi que sa dénomination] sont indiqués entre parenthèses.</w:t>
      </w:r>
    </w:p>
    <w:p w14:paraId="30CDED14" w14:textId="77777777" w:rsidR="0084489F" w:rsidRDefault="00110FE6" w:rsidP="00806324">
      <w:pPr>
        <w:numPr>
          <w:ilvl w:val="0"/>
          <w:numId w:val="49"/>
        </w:numPr>
      </w:pPr>
      <w:r>
        <w:t>Si l’exemple illustre l’instanciation de deux classes, l’identifiant unique de chacune est indiqué entre parenthèses.</w:t>
      </w:r>
    </w:p>
    <w:p w14:paraId="670CD4E1" w14:textId="77777777" w:rsidR="0084489F" w:rsidRDefault="00110FE6" w:rsidP="00806324">
      <w:pPr>
        <w:numPr>
          <w:ilvl w:val="0"/>
          <w:numId w:val="49"/>
        </w:numPr>
      </w:pPr>
      <w:r>
        <w:t>Des exemples qui ne sont pas de nature fictionnelle sont parfois suivis d’une explication entre crochets.</w:t>
      </w:r>
    </w:p>
    <w:p w14:paraId="724FB9EA" w14:textId="77777777" w:rsidR="0084489F" w:rsidRDefault="00110FE6" w:rsidP="00806324">
      <w:pPr>
        <w:numPr>
          <w:ilvl w:val="0"/>
          <w:numId w:val="49"/>
        </w:numPr>
      </w:pPr>
      <w:r>
        <w:t>La ligne « Logique » exprime les contraintes formelles d'une classe par des axiomes logiques en utilisant la notation de la logique du premier ordre.</w:t>
      </w:r>
    </w:p>
    <w:p w14:paraId="779C41B6" w14:textId="77777777" w:rsidR="0084489F" w:rsidRDefault="00110FE6" w:rsidP="00806324">
      <w:pPr>
        <w:numPr>
          <w:ilvl w:val="0"/>
          <w:numId w:val="49"/>
        </w:numPr>
      </w:pPr>
      <w:r>
        <w:t>La ligne « Propriétés : » liste les propriétés de la classe.</w:t>
      </w:r>
    </w:p>
    <w:p w14:paraId="4091DF20" w14:textId="77777777" w:rsidR="0084489F" w:rsidRDefault="00110FE6" w:rsidP="00806324">
      <w:pPr>
        <w:numPr>
          <w:ilvl w:val="0"/>
          <w:numId w:val="49"/>
        </w:numPr>
      </w:pPr>
      <w:r w:rsidRPr="246FBB6F">
        <w:rPr>
          <w:lang w:val="fr-FR"/>
        </w:rPr>
        <w:t>Chaque propriété est représentée par son identifiant unique, son nom suivi de son nom « inverse », ainsi que la classe de portée vers laquelle pointe la propriété (tous séparés de : ).</w:t>
      </w:r>
    </w:p>
    <w:p w14:paraId="372999C7" w14:textId="77777777" w:rsidR="0084489F" w:rsidRDefault="00110FE6" w:rsidP="00806324">
      <w:pPr>
        <w:numPr>
          <w:ilvl w:val="0"/>
          <w:numId w:val="49"/>
        </w:numPr>
      </w:pPr>
      <w:r>
        <w:t>Les propriétés héritées ne sont pas représentées.</w:t>
      </w:r>
    </w:p>
    <w:p w14:paraId="51FD4840" w14:textId="77777777" w:rsidR="0084489F" w:rsidRDefault="00110FE6" w:rsidP="00806324">
      <w:pPr>
        <w:numPr>
          <w:ilvl w:val="0"/>
          <w:numId w:val="49"/>
        </w:numPr>
      </w:pPr>
      <w:r>
        <w:t>Les propriétés de propriétés sont entre parenthèses et mises en retrait sous leur propriété de domaine respective.</w:t>
      </w:r>
    </w:p>
    <w:p w14:paraId="7CC99ABC" w14:textId="77777777" w:rsidR="0084489F" w:rsidRDefault="00110FE6">
      <w:pPr>
        <w:pStyle w:val="BlockText"/>
      </w:pPr>
      <w:r>
        <w:rPr>
          <w:b/>
          <w:bCs/>
          <w:i/>
          <w:iCs/>
        </w:rPr>
        <w:t>Note de traduction</w:t>
      </w:r>
    </w:p>
    <w:p w14:paraId="5D42162E" w14:textId="77777777" w:rsidR="0084489F" w:rsidRDefault="00110FE6">
      <w:pPr>
        <w:pStyle w:val="BlockText"/>
      </w:pPr>
      <w:r>
        <w:rPr>
          <w:b/>
          <w:bCs/>
          <w:i/>
          <w:iCs/>
        </w:rPr>
        <w:t>Références</w:t>
      </w:r>
    </w:p>
    <w:p w14:paraId="4B59D487" w14:textId="77777777" w:rsidR="0084489F" w:rsidRDefault="0084489F">
      <w:pPr>
        <w:pStyle w:val="BlockText"/>
      </w:pPr>
    </w:p>
    <w:p w14:paraId="503B1582" w14:textId="77777777" w:rsidR="0084489F" w:rsidRDefault="00110FE6">
      <w:pPr>
        <w:pStyle w:val="Heading2"/>
      </w:pPr>
      <w:bookmarkStart w:id="107" w:name="_Toc176864435"/>
      <w:bookmarkStart w:id="108" w:name="e1-entite-crm"/>
      <w:r>
        <w:t>E1 Entité CRM</w:t>
      </w:r>
      <w:bookmarkEnd w:id="107"/>
    </w:p>
    <w:p w14:paraId="05B50D99" w14:textId="77777777" w:rsidR="0084489F" w:rsidRDefault="00110FE6">
      <w:pPr>
        <w:pStyle w:val="FirstParagraph"/>
      </w:pPr>
      <w:r>
        <w:rPr>
          <w:b/>
          <w:bCs/>
        </w:rPr>
        <w:t>Sous-classe de</w:t>
      </w:r>
    </w:p>
    <w:p w14:paraId="0DD7533E" w14:textId="77777777" w:rsidR="0084489F" w:rsidRDefault="00110FE6">
      <w:pPr>
        <w:pStyle w:val="BodyText"/>
      </w:pPr>
      <w:r>
        <w:rPr>
          <w:b/>
          <w:bCs/>
        </w:rPr>
        <w:t>Super-classe de</w:t>
      </w:r>
    </w:p>
    <w:p w14:paraId="18A12EE4" w14:textId="77777777" w:rsidR="0084489F" w:rsidRDefault="00110FE6">
      <w:pPr>
        <w:pStyle w:val="BodyText"/>
      </w:pPr>
      <w:r>
        <w:rPr>
          <w:rStyle w:val="VerbatimChar"/>
        </w:rPr>
        <w:t>E2_Entité_temporelle</w:t>
      </w:r>
    </w:p>
    <w:p w14:paraId="7A90B199" w14:textId="77777777" w:rsidR="0084489F" w:rsidRDefault="00110FE6">
      <w:pPr>
        <w:pStyle w:val="BodyText"/>
      </w:pPr>
      <w:r>
        <w:rPr>
          <w:rStyle w:val="VerbatimChar"/>
        </w:rPr>
        <w:t>E52_Intervalle_temporel</w:t>
      </w:r>
    </w:p>
    <w:p w14:paraId="1BFA3372" w14:textId="77777777" w:rsidR="0084489F" w:rsidRDefault="00110FE6">
      <w:pPr>
        <w:pStyle w:val="BodyText"/>
      </w:pPr>
      <w:r>
        <w:rPr>
          <w:rStyle w:val="VerbatimChar"/>
        </w:rPr>
        <w:t>E53_Lieu</w:t>
      </w:r>
    </w:p>
    <w:p w14:paraId="68944F70" w14:textId="77777777" w:rsidR="0084489F" w:rsidRDefault="00110FE6">
      <w:pPr>
        <w:pStyle w:val="BodyText"/>
      </w:pPr>
      <w:r>
        <w:rPr>
          <w:rStyle w:val="VerbatimChar"/>
        </w:rPr>
        <w:t>E54_Dimension</w:t>
      </w:r>
    </w:p>
    <w:p w14:paraId="1CB87047" w14:textId="77777777" w:rsidR="0084489F" w:rsidRDefault="00110FE6">
      <w:pPr>
        <w:pStyle w:val="BodyText"/>
      </w:pPr>
      <w:r>
        <w:rPr>
          <w:rStyle w:val="VerbatimChar"/>
        </w:rPr>
        <w:t>E59_Valeur_primitive</w:t>
      </w:r>
    </w:p>
    <w:p w14:paraId="6AB81F8B" w14:textId="77777777" w:rsidR="0084489F" w:rsidRDefault="00110FE6">
      <w:pPr>
        <w:pStyle w:val="BodyText"/>
      </w:pPr>
      <w:r>
        <w:rPr>
          <w:rStyle w:val="VerbatimChar"/>
        </w:rPr>
        <w:t>E77_Entité_persistante</w:t>
      </w:r>
    </w:p>
    <w:p w14:paraId="349F09D6" w14:textId="77777777" w:rsidR="0084489F" w:rsidRDefault="00110FE6">
      <w:pPr>
        <w:pStyle w:val="BodyText"/>
      </w:pPr>
      <w:r>
        <w:rPr>
          <w:rStyle w:val="VerbatimChar"/>
        </w:rPr>
        <w:lastRenderedPageBreak/>
        <w:t>E92_Volume_spatio-temporel</w:t>
      </w:r>
    </w:p>
    <w:p w14:paraId="544937A0" w14:textId="77777777" w:rsidR="0084489F" w:rsidRDefault="00110FE6">
      <w:pPr>
        <w:pStyle w:val="BodyText"/>
      </w:pPr>
      <w:r>
        <w:rPr>
          <w:b/>
          <w:bCs/>
        </w:rPr>
        <w:t>Note d’application</w:t>
      </w:r>
    </w:p>
    <w:p w14:paraId="17E7C9A6" w14:textId="77777777" w:rsidR="0084489F" w:rsidRDefault="00110FE6">
      <w:pPr>
        <w:pStyle w:val="BodyText"/>
      </w:pPr>
      <w:r>
        <w:t>Cette classe comprend toutes les choses de l’univers du discours du CIDOC CRM.</w:t>
      </w:r>
    </w:p>
    <w:p w14:paraId="322F9496" w14:textId="77777777" w:rsidR="0084489F" w:rsidRDefault="00110FE6">
      <w:pPr>
        <w:pStyle w:val="BodyText"/>
      </w:pPr>
      <w:r>
        <w:t>Il s’agit d’un concept abstrait prévoyant trois propriétés générales :</w:t>
      </w:r>
    </w:p>
    <w:p w14:paraId="66640991" w14:textId="77777777" w:rsidR="0084489F" w:rsidRDefault="00110FE6" w:rsidP="00806324">
      <w:pPr>
        <w:numPr>
          <w:ilvl w:val="0"/>
          <w:numId w:val="50"/>
        </w:numPr>
      </w:pPr>
      <w:r w:rsidRPr="246FBB6F">
        <w:rPr>
          <w:lang w:val="fr-FR"/>
        </w:rPr>
        <w:t>l’identification par nom ou par appellation, en particulier par un identifiant préférentiel;</w:t>
      </w:r>
    </w:p>
    <w:p w14:paraId="26D00008" w14:textId="77777777" w:rsidR="0084489F" w:rsidRDefault="00110FE6" w:rsidP="00806324">
      <w:pPr>
        <w:numPr>
          <w:ilvl w:val="0"/>
          <w:numId w:val="50"/>
        </w:numPr>
      </w:pPr>
      <w:r w:rsidRPr="246FBB6F">
        <w:rPr>
          <w:lang w:val="fr-FR"/>
        </w:rPr>
        <w:t>la classification par type qui permet d’affiner la sous-classe spécifique à laquelle une instance appartient;</w:t>
      </w:r>
    </w:p>
    <w:p w14:paraId="149DEC28" w14:textId="77777777" w:rsidR="0084489F" w:rsidRDefault="00110FE6" w:rsidP="00806324">
      <w:pPr>
        <w:numPr>
          <w:ilvl w:val="0"/>
          <w:numId w:val="50"/>
        </w:numPr>
      </w:pPr>
      <w:r w:rsidRPr="246FBB6F">
        <w:rPr>
          <w:lang w:val="fr-FR"/>
        </w:rPr>
        <w:t>l’association de texte libre ou de toute autre donnée non structurée pour exprimer tout ce qui ne peut l’être au moyen des propriétés formelles déclarées.</w:t>
      </w:r>
    </w:p>
    <w:p w14:paraId="09796552" w14:textId="77777777" w:rsidR="0084489F" w:rsidRDefault="00110FE6">
      <w:pPr>
        <w:pStyle w:val="FirstParagraph"/>
      </w:pPr>
      <w:r>
        <w:t xml:space="preserve">Toutes les autres classes comprises dans le CIDOC CRM sont directement ou indirectement des sous-classes de </w:t>
      </w:r>
      <w:r>
        <w:rPr>
          <w:rStyle w:val="VerbatimChar"/>
        </w:rPr>
        <w:t>E1_Entité_CRM</w:t>
      </w:r>
      <w:r>
        <w:t>.</w:t>
      </w:r>
    </w:p>
    <w:p w14:paraId="1130A367" w14:textId="77777777" w:rsidR="0084489F" w:rsidRDefault="00110FE6">
      <w:pPr>
        <w:pStyle w:val="BodyText"/>
      </w:pPr>
      <w:r>
        <w:rPr>
          <w:b/>
          <w:bCs/>
        </w:rPr>
        <w:t>Exemples</w:t>
      </w:r>
    </w:p>
    <w:p w14:paraId="11F96B21" w14:textId="77777777" w:rsidR="0084489F" w:rsidRDefault="00110FE6" w:rsidP="00806324">
      <w:pPr>
        <w:numPr>
          <w:ilvl w:val="0"/>
          <w:numId w:val="51"/>
        </w:numPr>
      </w:pPr>
      <w:r>
        <w:t>Le tremblement de terre de Lisbonne en 1755 (</w:t>
      </w:r>
      <w:r>
        <w:rPr>
          <w:rStyle w:val="VerbatimChar"/>
        </w:rPr>
        <w:t>E5_Évènement</w:t>
      </w:r>
      <w:r>
        <w:t>) (Chester, 2001)</w:t>
      </w:r>
    </w:p>
    <w:p w14:paraId="288F9A1F" w14:textId="77777777" w:rsidR="0084489F" w:rsidRDefault="00110FE6">
      <w:pPr>
        <w:pStyle w:val="FirstParagraph"/>
      </w:pPr>
      <w:r>
        <w:rPr>
          <w:b/>
          <w:bCs/>
        </w:rPr>
        <w:t>Logique</w:t>
      </w:r>
    </w:p>
    <w:p w14:paraId="28185587" w14:textId="77777777" w:rsidR="0084489F" w:rsidRDefault="00110FE6">
      <w:pPr>
        <w:pStyle w:val="BodyText"/>
      </w:pPr>
      <w:r>
        <w:t>E1(x)</w:t>
      </w:r>
    </w:p>
    <w:p w14:paraId="4895F3B5" w14:textId="77777777" w:rsidR="0084489F" w:rsidRDefault="00110FE6">
      <w:pPr>
        <w:pStyle w:val="BodyText"/>
      </w:pPr>
      <w:r>
        <w:rPr>
          <w:b/>
          <w:bCs/>
        </w:rPr>
        <w:t>Propriétés</w:t>
      </w:r>
    </w:p>
    <w:p w14:paraId="3BB35486" w14:textId="77777777" w:rsidR="0084489F" w:rsidRDefault="00110FE6">
      <w:pPr>
        <w:pStyle w:val="BodyText"/>
      </w:pPr>
      <w:r>
        <w:rPr>
          <w:rStyle w:val="VerbatimChar"/>
        </w:rPr>
        <w:t>P1_est_identifié_par (identifie)</w:t>
      </w:r>
      <w:r>
        <w:t xml:space="preserve"> : </w:t>
      </w:r>
      <w:r>
        <w:rPr>
          <w:rStyle w:val="VerbatimChar"/>
        </w:rPr>
        <w:t>E41_Appellation</w:t>
      </w:r>
    </w:p>
    <w:p w14:paraId="69BE767D" w14:textId="77777777" w:rsidR="0084489F" w:rsidRDefault="00110FE6">
      <w:pPr>
        <w:pStyle w:val="BodyText"/>
      </w:pPr>
      <w:r w:rsidRPr="246FBB6F">
        <w:rPr>
          <w:rStyle w:val="VerbatimChar"/>
          <w:lang w:val="fr-FR"/>
        </w:rPr>
        <w:t>P2_a_pour_type (est_le_type_de)</w:t>
      </w:r>
      <w:r w:rsidRPr="246FBB6F">
        <w:rPr>
          <w:lang w:val="fr-FR"/>
        </w:rPr>
        <w:t xml:space="preserve"> : </w:t>
      </w:r>
      <w:r w:rsidRPr="246FBB6F">
        <w:rPr>
          <w:rStyle w:val="VerbatimChar"/>
          <w:lang w:val="fr-FR"/>
        </w:rPr>
        <w:t>E55_Type</w:t>
      </w:r>
    </w:p>
    <w:p w14:paraId="4AD48322" w14:textId="77777777" w:rsidR="0084489F" w:rsidRDefault="00110FE6">
      <w:pPr>
        <w:pStyle w:val="BodyText"/>
      </w:pPr>
      <w:r>
        <w:rPr>
          <w:rStyle w:val="VerbatimChar"/>
        </w:rPr>
        <w:t>P3_a_pour_note</w:t>
      </w:r>
      <w:r>
        <w:t xml:space="preserve"> : </w:t>
      </w:r>
      <w:r>
        <w:rPr>
          <w:rStyle w:val="VerbatimChar"/>
        </w:rPr>
        <w:t xml:space="preserve">E62_Chaîne_de_caractères </w:t>
      </w:r>
      <w:r>
        <w:t>(</w:t>
      </w:r>
      <w:r>
        <w:rPr>
          <w:rStyle w:val="VerbatimChar"/>
        </w:rPr>
        <w:t>P3.1_a_pour_type</w:t>
      </w:r>
      <w:r>
        <w:t xml:space="preserve"> : </w:t>
      </w:r>
      <w:r>
        <w:rPr>
          <w:rStyle w:val="VerbatimChar"/>
        </w:rPr>
        <w:t>E55_Type</w:t>
      </w:r>
      <w:r>
        <w:t>)</w:t>
      </w:r>
    </w:p>
    <w:p w14:paraId="55B79481" w14:textId="77777777" w:rsidR="0084489F" w:rsidRDefault="00110FE6">
      <w:pPr>
        <w:pStyle w:val="BodyText"/>
      </w:pPr>
      <w:r w:rsidRPr="246FBB6F">
        <w:rPr>
          <w:rStyle w:val="VerbatimChar"/>
          <w:lang w:val="fr-FR"/>
        </w:rPr>
        <w:t>P48_a_pour_identifiant_préférentiel (est_l'identifiant_préférentiel_de)</w:t>
      </w:r>
      <w:r w:rsidRPr="246FBB6F">
        <w:rPr>
          <w:lang w:val="fr-FR"/>
        </w:rPr>
        <w:t xml:space="preserve"> : </w:t>
      </w:r>
      <w:r w:rsidRPr="246FBB6F">
        <w:rPr>
          <w:rStyle w:val="VerbatimChar"/>
          <w:lang w:val="fr-FR"/>
        </w:rPr>
        <w:t>E42_Identifiant</w:t>
      </w:r>
    </w:p>
    <w:p w14:paraId="7EC8FAF1" w14:textId="77777777" w:rsidR="0084489F" w:rsidRDefault="00110FE6">
      <w:pPr>
        <w:pStyle w:val="BodyText"/>
      </w:pPr>
      <w:r w:rsidRPr="246FBB6F">
        <w:rPr>
          <w:rStyle w:val="VerbatimChar"/>
          <w:lang w:val="fr-FR"/>
        </w:rPr>
        <w:t>P137_exemplifie (est_exemplifié_par)</w:t>
      </w:r>
      <w:r w:rsidRPr="246FBB6F">
        <w:rPr>
          <w:lang w:val="fr-FR"/>
        </w:rPr>
        <w:t xml:space="preserve"> : </w:t>
      </w:r>
      <w:r w:rsidRPr="246FBB6F">
        <w:rPr>
          <w:rStyle w:val="VerbatimChar"/>
          <w:lang w:val="fr-FR"/>
        </w:rPr>
        <w:t>E55_Type</w:t>
      </w:r>
      <w:r w:rsidRPr="246FBB6F">
        <w:rPr>
          <w:lang w:val="fr-FR"/>
        </w:rPr>
        <w:t xml:space="preserve"> (</w:t>
      </w:r>
      <w:r w:rsidRPr="246FBB6F">
        <w:rPr>
          <w:rStyle w:val="VerbatimChar"/>
          <w:lang w:val="fr-FR"/>
        </w:rPr>
        <w:t>P137.1_dans_le_rôle_taxonomique_de</w:t>
      </w:r>
      <w:r w:rsidRPr="246FBB6F">
        <w:rPr>
          <w:lang w:val="fr-FR"/>
        </w:rPr>
        <w:t xml:space="preserve"> : </w:t>
      </w:r>
      <w:r w:rsidRPr="246FBB6F">
        <w:rPr>
          <w:rStyle w:val="VerbatimChar"/>
          <w:lang w:val="fr-FR"/>
        </w:rPr>
        <w:t>E55_Type</w:t>
      </w:r>
      <w:r w:rsidRPr="246FBB6F">
        <w:rPr>
          <w:lang w:val="fr-FR"/>
        </w:rPr>
        <w:t>)</w:t>
      </w:r>
    </w:p>
    <w:p w14:paraId="7F4FE6D5" w14:textId="77777777" w:rsidR="0084489F" w:rsidRDefault="00110FE6">
      <w:pPr>
        <w:pStyle w:val="BlockText"/>
      </w:pPr>
      <w:r>
        <w:rPr>
          <w:b/>
          <w:bCs/>
          <w:i/>
          <w:iCs/>
        </w:rPr>
        <w:t>Note de traduction</w:t>
      </w:r>
    </w:p>
    <w:p w14:paraId="3757802D" w14:textId="77777777" w:rsidR="0084489F" w:rsidRDefault="00110FE6">
      <w:pPr>
        <w:pStyle w:val="BlockText"/>
      </w:pPr>
      <w:r w:rsidRPr="246FBB6F">
        <w:rPr>
          <w:lang w:val="fr-FR"/>
        </w:rPr>
        <w:t>« Universe of discourse » fait probablement référence à l’univers du discours du domaine de la logique.</w:t>
      </w:r>
    </w:p>
    <w:p w14:paraId="32DD0F7F" w14:textId="77777777" w:rsidR="0084489F" w:rsidRDefault="00110FE6">
      <w:pPr>
        <w:pStyle w:val="BlockText"/>
      </w:pPr>
      <w:r>
        <w:rPr>
          <w:b/>
          <w:bCs/>
          <w:i/>
          <w:iCs/>
        </w:rPr>
        <w:t>Références</w:t>
      </w:r>
    </w:p>
    <w:p w14:paraId="65A84A1C" w14:textId="77777777" w:rsidR="0084489F" w:rsidRDefault="00110FE6">
      <w:pPr>
        <w:pStyle w:val="BlockText"/>
      </w:pPr>
      <w:r>
        <w:t xml:space="preserve">Wikipédia. « Univers du discours ». Dans </w:t>
      </w:r>
      <w:r>
        <w:rPr>
          <w:i/>
          <w:iCs/>
        </w:rPr>
        <w:t>Wikipédia</w:t>
      </w:r>
      <w:r>
        <w:t xml:space="preserve">. </w:t>
      </w:r>
      <w:r w:rsidRPr="007F7F4E">
        <w:rPr>
          <w:lang w:val="fr-CA"/>
        </w:rPr>
        <w:t>San Francisco, US-CA: Wikipédia, 28 janvier 2021.</w:t>
      </w:r>
      <w:hyperlink r:id="rId158">
        <w:r w:rsidRPr="007F7F4E">
          <w:rPr>
            <w:rStyle w:val="Hyperlink"/>
            <w:lang w:val="fr-CA"/>
          </w:rPr>
          <w:t xml:space="preserve"> </w:t>
        </w:r>
      </w:hyperlink>
      <w:hyperlink r:id="rId159">
        <w:r>
          <w:rPr>
            <w:rStyle w:val="Hyperlink"/>
          </w:rPr>
          <w:t>https://fr.wikipedia.org/wiki/Univers_du_discours</w:t>
        </w:r>
      </w:hyperlink>
      <w:r>
        <w:t>.</w:t>
      </w:r>
    </w:p>
    <w:p w14:paraId="042FFF40" w14:textId="77777777" w:rsidR="0084489F" w:rsidRDefault="00110FE6">
      <w:pPr>
        <w:pStyle w:val="Heading2"/>
      </w:pPr>
      <w:bookmarkStart w:id="109" w:name="_Toc176864436"/>
      <w:bookmarkStart w:id="110" w:name="e2-entite-temporelle"/>
      <w:bookmarkEnd w:id="108"/>
      <w:r>
        <w:t>E2 Entité temporelle</w:t>
      </w:r>
      <w:bookmarkEnd w:id="109"/>
    </w:p>
    <w:p w14:paraId="405FDD04" w14:textId="77777777" w:rsidR="0084489F" w:rsidRDefault="00110FE6">
      <w:pPr>
        <w:pStyle w:val="FirstParagraph"/>
      </w:pPr>
      <w:r>
        <w:rPr>
          <w:b/>
          <w:bCs/>
        </w:rPr>
        <w:t>Sous-classe de</w:t>
      </w:r>
    </w:p>
    <w:p w14:paraId="38AEC715" w14:textId="77777777" w:rsidR="0084489F" w:rsidRDefault="00110FE6">
      <w:pPr>
        <w:pStyle w:val="BodyText"/>
      </w:pPr>
      <w:r>
        <w:rPr>
          <w:rStyle w:val="VerbatimChar"/>
        </w:rPr>
        <w:t>E1_Entité_CRM</w:t>
      </w:r>
    </w:p>
    <w:p w14:paraId="2418484C" w14:textId="77777777" w:rsidR="0084489F" w:rsidRDefault="00110FE6">
      <w:pPr>
        <w:pStyle w:val="BodyText"/>
      </w:pPr>
      <w:r>
        <w:rPr>
          <w:b/>
          <w:bCs/>
        </w:rPr>
        <w:t>Super-classe de</w:t>
      </w:r>
    </w:p>
    <w:p w14:paraId="529A5304" w14:textId="77777777" w:rsidR="0084489F" w:rsidRDefault="00110FE6">
      <w:pPr>
        <w:pStyle w:val="BodyText"/>
      </w:pPr>
      <w:r>
        <w:rPr>
          <w:rStyle w:val="VerbatimChar"/>
        </w:rPr>
        <w:t>E3_État_matériel</w:t>
      </w:r>
    </w:p>
    <w:p w14:paraId="056F9E44" w14:textId="77777777" w:rsidR="0084489F" w:rsidRDefault="00110FE6">
      <w:pPr>
        <w:pStyle w:val="BodyText"/>
      </w:pPr>
      <w:r>
        <w:rPr>
          <w:rStyle w:val="VerbatimChar"/>
        </w:rPr>
        <w:t>E4_Période</w:t>
      </w:r>
      <w:r>
        <w:t xml:space="preserve"> </w:t>
      </w:r>
    </w:p>
    <w:p w14:paraId="26175A11" w14:textId="77777777" w:rsidR="0084489F" w:rsidRDefault="00110FE6" w:rsidP="00F361B3">
      <w:pPr>
        <w:pStyle w:val="BodyText"/>
        <w:keepNext/>
      </w:pPr>
      <w:r>
        <w:rPr>
          <w:b/>
          <w:bCs/>
        </w:rPr>
        <w:lastRenderedPageBreak/>
        <w:t>Note d’application</w:t>
      </w:r>
    </w:p>
    <w:p w14:paraId="68E6FCF7" w14:textId="77777777" w:rsidR="0084489F" w:rsidRDefault="00110FE6" w:rsidP="00F361B3">
      <w:pPr>
        <w:pStyle w:val="BodyText"/>
        <w:keepNext/>
      </w:pPr>
      <w:r>
        <w:t xml:space="preserve">Cette classe comprend tous les phénomènes, tels que les instances de </w:t>
      </w:r>
      <w:r>
        <w:rPr>
          <w:rStyle w:val="VerbatimChar"/>
        </w:rPr>
        <w:t>E4_Période</w:t>
      </w:r>
      <w:r>
        <w:t xml:space="preserve"> et de </w:t>
      </w:r>
      <w:r>
        <w:rPr>
          <w:rStyle w:val="VerbatimChar"/>
        </w:rPr>
        <w:t>E5_Évènement</w:t>
      </w:r>
      <w:r>
        <w:t>, qui se produisent sur une étendue de temps limitée.</w:t>
      </w:r>
    </w:p>
    <w:p w14:paraId="008371D1" w14:textId="77777777" w:rsidR="0084489F" w:rsidRDefault="00110FE6">
      <w:pPr>
        <w:pStyle w:val="BodyText"/>
      </w:pPr>
      <w:r w:rsidRPr="246FBB6F">
        <w:rPr>
          <w:lang w:val="fr-FR"/>
        </w:rPr>
        <w:t xml:space="preserve">Cette étendue de temps doit être continue, c.-à-d. sans interruption. Dans le cas où les types de phénomènes qui définissent une instance de </w:t>
      </w:r>
      <w:r w:rsidRPr="246FBB6F">
        <w:rPr>
          <w:rStyle w:val="VerbatimChar"/>
          <w:lang w:val="fr-FR"/>
        </w:rPr>
        <w:t>E2_Entité_temporelle</w:t>
      </w:r>
      <w:r w:rsidRPr="246FBB6F">
        <w:rPr>
          <w:lang w:val="fr-FR"/>
        </w:rPr>
        <w:t xml:space="preserve"> cessent de se produire, puis se produisent de nouveau à un autre moment, il est considéré que l’instance initiale de </w:t>
      </w:r>
      <w:r w:rsidRPr="246FBB6F">
        <w:rPr>
          <w:rStyle w:val="VerbatimChar"/>
          <w:lang w:val="fr-FR"/>
        </w:rPr>
        <w:t>E2_Entité_temporelle</w:t>
      </w:r>
      <w:r w:rsidRPr="246FBB6F">
        <w:rPr>
          <w:lang w:val="fr-FR"/>
        </w:rPr>
        <w:t xml:space="preserve"> est terminée et qu’une nouvelle instance a vu le jour. En des termes plus intuitifs, le même évènement ne peut se produire deux fois. Dans certains contextes, de tels phénomènes sont aussi appelés « perdurants » [n.d.t. en philosophie].</w:t>
      </w:r>
    </w:p>
    <w:p w14:paraId="4DB2097C" w14:textId="77777777" w:rsidR="0084489F" w:rsidRDefault="00110FE6">
      <w:pPr>
        <w:pStyle w:val="BodyText"/>
      </w:pPr>
      <w:r>
        <w:t xml:space="preserve">Cette classe est disjointe de la classe </w:t>
      </w:r>
      <w:r>
        <w:rPr>
          <w:rStyle w:val="VerbatimChar"/>
        </w:rPr>
        <w:t>E77_Entité_persistante</w:t>
      </w:r>
      <w:r>
        <w:t xml:space="preserve"> et elle est une classe abstraite qui, typiquement, ne contient pas d’instances directes. La classe </w:t>
      </w:r>
      <w:r>
        <w:rPr>
          <w:rStyle w:val="VerbatimChar"/>
        </w:rPr>
        <w:t>E2_Entité_temporelle</w:t>
      </w:r>
      <w:r>
        <w:t xml:space="preserve"> est précisée dans les classes :</w:t>
      </w:r>
    </w:p>
    <w:p w14:paraId="4222BA7B" w14:textId="77777777" w:rsidR="0084489F" w:rsidRDefault="00110FE6" w:rsidP="00806324">
      <w:pPr>
        <w:numPr>
          <w:ilvl w:val="0"/>
          <w:numId w:val="52"/>
        </w:numPr>
      </w:pPr>
      <w:r w:rsidRPr="246FBB6F">
        <w:rPr>
          <w:rStyle w:val="VerbatimChar"/>
          <w:lang w:val="fr-FR"/>
        </w:rPr>
        <w:t>E4_Période</w:t>
      </w:r>
      <w:r w:rsidRPr="246FBB6F">
        <w:rPr>
          <w:lang w:val="fr-FR"/>
        </w:rPr>
        <w:t>, qui s’applique à une zone géographique spécifique (définie avec un degré de précision plus ou moins grand);</w:t>
      </w:r>
    </w:p>
    <w:p w14:paraId="4958DD38" w14:textId="77777777" w:rsidR="0084489F" w:rsidRDefault="00110FE6" w:rsidP="00806324">
      <w:pPr>
        <w:numPr>
          <w:ilvl w:val="0"/>
          <w:numId w:val="52"/>
        </w:numPr>
      </w:pPr>
      <w:r>
        <w:rPr>
          <w:rStyle w:val="VerbatimChar"/>
        </w:rPr>
        <w:t>E3_État_matériel</w:t>
      </w:r>
      <w:r>
        <w:t xml:space="preserve">, qui s’applique aux instances de </w:t>
      </w:r>
      <w:r>
        <w:rPr>
          <w:rStyle w:val="VerbatimChar"/>
        </w:rPr>
        <w:t>E18_Chose_matérielle</w:t>
      </w:r>
      <w:r>
        <w:t>.</w:t>
      </w:r>
    </w:p>
    <w:p w14:paraId="712B93B1" w14:textId="77777777" w:rsidR="0084489F" w:rsidRDefault="00110FE6">
      <w:pPr>
        <w:pStyle w:val="FirstParagraph"/>
      </w:pPr>
      <w:r>
        <w:rPr>
          <w:b/>
          <w:bCs/>
        </w:rPr>
        <w:t>Exemples</w:t>
      </w:r>
    </w:p>
    <w:p w14:paraId="2FCDF226" w14:textId="77777777" w:rsidR="0084489F" w:rsidRDefault="00110FE6" w:rsidP="00806324">
      <w:pPr>
        <w:numPr>
          <w:ilvl w:val="0"/>
          <w:numId w:val="53"/>
        </w:numPr>
      </w:pPr>
      <w:r>
        <w:t>L’Âge du bronze (</w:t>
      </w:r>
      <w:r>
        <w:rPr>
          <w:rStyle w:val="VerbatimChar"/>
        </w:rPr>
        <w:t>E4_Période</w:t>
      </w:r>
      <w:r>
        <w:t>) (Childe, 1963)</w:t>
      </w:r>
    </w:p>
    <w:p w14:paraId="0ACF7798" w14:textId="77777777" w:rsidR="0084489F" w:rsidRDefault="00110FE6" w:rsidP="00806324">
      <w:pPr>
        <w:numPr>
          <w:ilvl w:val="0"/>
          <w:numId w:val="53"/>
        </w:numPr>
      </w:pPr>
      <w:r>
        <w:t>Le tremblement de terre de 1755 à Lisbonne (</w:t>
      </w:r>
      <w:r>
        <w:rPr>
          <w:rStyle w:val="VerbatimChar"/>
        </w:rPr>
        <w:t>E5_Évènement</w:t>
      </w:r>
      <w:r>
        <w:t>) (Chester, 2001)</w:t>
      </w:r>
    </w:p>
    <w:p w14:paraId="542BC940" w14:textId="77777777" w:rsidR="0084489F" w:rsidRDefault="00110FE6" w:rsidP="00806324">
      <w:pPr>
        <w:numPr>
          <w:ilvl w:val="0"/>
          <w:numId w:val="53"/>
        </w:numPr>
      </w:pPr>
      <w:r>
        <w:t>Le Palais de Peterhof près de Saint-Pétersbourg, en ruines de 1944 à 1946 (</w:t>
      </w:r>
      <w:r>
        <w:rPr>
          <w:rStyle w:val="VerbatimChar"/>
        </w:rPr>
        <w:t>E3_État_matériel</w:t>
      </w:r>
      <w:r>
        <w:t>) (Maddox, 2015)</w:t>
      </w:r>
    </w:p>
    <w:p w14:paraId="2ED47D95" w14:textId="77777777" w:rsidR="0084489F" w:rsidRDefault="00110FE6">
      <w:pPr>
        <w:pStyle w:val="FirstParagraph"/>
      </w:pPr>
      <w:r>
        <w:rPr>
          <w:b/>
          <w:bCs/>
        </w:rPr>
        <w:t>Logique</w:t>
      </w:r>
    </w:p>
    <w:p w14:paraId="28E29519" w14:textId="77777777" w:rsidR="0084489F" w:rsidRDefault="00110FE6">
      <w:pPr>
        <w:pStyle w:val="BodyText"/>
      </w:pPr>
      <w:r>
        <w:t>E2(x) ⇒ E1(x)</w:t>
      </w:r>
    </w:p>
    <w:p w14:paraId="177E9D00" w14:textId="77777777" w:rsidR="0084489F" w:rsidRDefault="00110FE6">
      <w:pPr>
        <w:pStyle w:val="BodyText"/>
      </w:pPr>
      <w:r>
        <w:rPr>
          <w:b/>
          <w:bCs/>
        </w:rPr>
        <w:t>Propriétés</w:t>
      </w:r>
    </w:p>
    <w:p w14:paraId="6F59D653" w14:textId="77777777" w:rsidR="0084489F" w:rsidRDefault="00110FE6">
      <w:pPr>
        <w:pStyle w:val="BodyText"/>
      </w:pPr>
      <w:r w:rsidRPr="246FBB6F">
        <w:rPr>
          <w:rStyle w:val="VerbatimChar"/>
          <w:lang w:val="fr-FR"/>
        </w:rPr>
        <w:t>P4_a_pour_intervalle_temporel (est_l’intervalle_temporel_de)</w:t>
      </w:r>
      <w:r w:rsidRPr="246FBB6F">
        <w:rPr>
          <w:lang w:val="fr-FR"/>
        </w:rPr>
        <w:t xml:space="preserve"> : </w:t>
      </w:r>
      <w:r w:rsidRPr="246FBB6F">
        <w:rPr>
          <w:rStyle w:val="VerbatimChar"/>
          <w:lang w:val="fr-FR"/>
        </w:rPr>
        <w:t>E52_Intervalle_temporel</w:t>
      </w:r>
    </w:p>
    <w:p w14:paraId="6480195F" w14:textId="77777777" w:rsidR="0084489F" w:rsidRDefault="00110FE6">
      <w:pPr>
        <w:pStyle w:val="BodyText"/>
      </w:pPr>
      <w:r w:rsidRPr="246FBB6F">
        <w:rPr>
          <w:rStyle w:val="VerbatimChar"/>
          <w:lang w:val="fr-FR"/>
        </w:rPr>
        <w:t>P173_commence_avant_ou_au_moment_de_la_fin_de (se_termine_après_ou_au_moment_du_début_de)</w:t>
      </w:r>
      <w:r w:rsidRPr="246FBB6F">
        <w:rPr>
          <w:lang w:val="fr-FR"/>
        </w:rPr>
        <w:t xml:space="preserve"> : </w:t>
      </w:r>
      <w:r w:rsidRPr="246FBB6F">
        <w:rPr>
          <w:rStyle w:val="VerbatimChar"/>
          <w:lang w:val="fr-FR"/>
        </w:rPr>
        <w:t>E2_Entité_temporelle</w:t>
      </w:r>
    </w:p>
    <w:p w14:paraId="215A4F05" w14:textId="77777777" w:rsidR="0084489F" w:rsidRDefault="00110FE6">
      <w:pPr>
        <w:pStyle w:val="BodyText"/>
      </w:pPr>
      <w:r w:rsidRPr="246FBB6F">
        <w:rPr>
          <w:rStyle w:val="VerbatimChar"/>
          <w:lang w:val="fr-FR"/>
        </w:rPr>
        <w:t>P174_commence_avant_la_fin_de (se_termine_après_le_début_de)</w:t>
      </w:r>
      <w:r w:rsidRPr="246FBB6F">
        <w:rPr>
          <w:lang w:val="fr-FR"/>
        </w:rPr>
        <w:t xml:space="preserve"> : </w:t>
      </w:r>
      <w:r w:rsidRPr="246FBB6F">
        <w:rPr>
          <w:rStyle w:val="VerbatimChar"/>
          <w:lang w:val="fr-FR"/>
        </w:rPr>
        <w:t>E2_Entité_temporelle</w:t>
      </w:r>
    </w:p>
    <w:p w14:paraId="20962FCF" w14:textId="77777777" w:rsidR="0084489F" w:rsidRDefault="00110FE6">
      <w:pPr>
        <w:pStyle w:val="BodyText"/>
      </w:pPr>
      <w:r w:rsidRPr="246FBB6F">
        <w:rPr>
          <w:rStyle w:val="VerbatimChar"/>
          <w:lang w:val="fr-FR"/>
        </w:rPr>
        <w:t>P175_commence_avant_ou_au_moment_du_début_de (commence_après_ou_au_moment_du_début_de)</w:t>
      </w:r>
      <w:r w:rsidRPr="246FBB6F">
        <w:rPr>
          <w:lang w:val="fr-FR"/>
        </w:rPr>
        <w:t xml:space="preserve"> : </w:t>
      </w:r>
      <w:r w:rsidRPr="246FBB6F">
        <w:rPr>
          <w:rStyle w:val="VerbatimChar"/>
          <w:lang w:val="fr-FR"/>
        </w:rPr>
        <w:t>E2_Entité_temporelle</w:t>
      </w:r>
    </w:p>
    <w:p w14:paraId="3CB4EC7E" w14:textId="77777777" w:rsidR="0084489F" w:rsidRDefault="00110FE6">
      <w:pPr>
        <w:pStyle w:val="BodyText"/>
      </w:pPr>
      <w:r w:rsidRPr="246FBB6F">
        <w:rPr>
          <w:rStyle w:val="VerbatimChar"/>
          <w:lang w:val="fr-FR"/>
        </w:rPr>
        <w:t>P176_commence_avant_le_début_de (commence_après_le_début_de)</w:t>
      </w:r>
      <w:r w:rsidRPr="246FBB6F">
        <w:rPr>
          <w:lang w:val="fr-FR"/>
        </w:rPr>
        <w:t xml:space="preserve"> : </w:t>
      </w:r>
      <w:r w:rsidRPr="246FBB6F">
        <w:rPr>
          <w:rStyle w:val="VerbatimChar"/>
          <w:lang w:val="fr-FR"/>
        </w:rPr>
        <w:t>E2_Entité_temporelle</w:t>
      </w:r>
    </w:p>
    <w:p w14:paraId="03E184E1" w14:textId="77777777" w:rsidR="0084489F" w:rsidRDefault="00110FE6">
      <w:pPr>
        <w:pStyle w:val="BodyText"/>
      </w:pPr>
      <w:r w:rsidRPr="246FBB6F">
        <w:rPr>
          <w:rStyle w:val="VerbatimChar"/>
          <w:lang w:val="fr-FR"/>
        </w:rPr>
        <w:t>P182_se_termine_avant_ou_au_moment_du_début_de (commence_après_ou_au_moment_de_la_fin_de)</w:t>
      </w:r>
      <w:r w:rsidRPr="246FBB6F">
        <w:rPr>
          <w:lang w:val="fr-FR"/>
        </w:rPr>
        <w:t xml:space="preserve"> : </w:t>
      </w:r>
      <w:r w:rsidRPr="246FBB6F">
        <w:rPr>
          <w:rStyle w:val="VerbatimChar"/>
          <w:lang w:val="fr-FR"/>
        </w:rPr>
        <w:t>E2_Entité_temporelle</w:t>
      </w:r>
    </w:p>
    <w:p w14:paraId="7DB35CD0" w14:textId="77777777" w:rsidR="0084489F" w:rsidRDefault="00110FE6">
      <w:pPr>
        <w:pStyle w:val="BodyText"/>
      </w:pPr>
      <w:r w:rsidRPr="246FBB6F">
        <w:rPr>
          <w:rStyle w:val="VerbatimChar"/>
          <w:lang w:val="fr-FR"/>
        </w:rPr>
        <w:t>P183_se_termine_avant_le_début_de (commence_après_la_fin_de)</w:t>
      </w:r>
      <w:r w:rsidRPr="246FBB6F">
        <w:rPr>
          <w:lang w:val="fr-FR"/>
        </w:rPr>
        <w:t xml:space="preserve"> : </w:t>
      </w:r>
      <w:r w:rsidRPr="246FBB6F">
        <w:rPr>
          <w:rStyle w:val="VerbatimChar"/>
          <w:lang w:val="fr-FR"/>
        </w:rPr>
        <w:t>E2_Entité_temporelle</w:t>
      </w:r>
    </w:p>
    <w:p w14:paraId="64FC96CA" w14:textId="77777777" w:rsidR="0084489F" w:rsidRDefault="00110FE6">
      <w:pPr>
        <w:pStyle w:val="BodyText"/>
      </w:pPr>
      <w:r w:rsidRPr="246FBB6F">
        <w:rPr>
          <w:rStyle w:val="VerbatimChar"/>
          <w:lang w:val="fr-FR"/>
        </w:rPr>
        <w:t>P184_se_termine_avant_ou_au_moment_de_la_fin_de (se_termine_au_moment_ou_après_la_fin_de)</w:t>
      </w:r>
      <w:r w:rsidRPr="246FBB6F">
        <w:rPr>
          <w:lang w:val="fr-FR"/>
        </w:rPr>
        <w:t xml:space="preserve"> : </w:t>
      </w:r>
      <w:r w:rsidRPr="246FBB6F">
        <w:rPr>
          <w:rStyle w:val="VerbatimChar"/>
          <w:lang w:val="fr-FR"/>
        </w:rPr>
        <w:t>E2_Entité_temporelle</w:t>
      </w:r>
    </w:p>
    <w:p w14:paraId="4931ADB5" w14:textId="77777777" w:rsidR="0084489F" w:rsidRDefault="00110FE6">
      <w:pPr>
        <w:pStyle w:val="BodyText"/>
      </w:pPr>
      <w:r w:rsidRPr="246FBB6F">
        <w:rPr>
          <w:rStyle w:val="VerbatimChar"/>
          <w:lang w:val="fr-FR"/>
        </w:rPr>
        <w:t>P185_se_termine_avant_la_fin_de (se_termine_après_la_fin_de)</w:t>
      </w:r>
      <w:r w:rsidRPr="246FBB6F">
        <w:rPr>
          <w:lang w:val="fr-FR"/>
        </w:rPr>
        <w:t xml:space="preserve"> : </w:t>
      </w:r>
      <w:r w:rsidRPr="246FBB6F">
        <w:rPr>
          <w:rStyle w:val="VerbatimChar"/>
          <w:lang w:val="fr-FR"/>
        </w:rPr>
        <w:t>E2_Entité_temporelle</w:t>
      </w:r>
    </w:p>
    <w:p w14:paraId="11E1C8EE" w14:textId="77777777" w:rsidR="0084489F" w:rsidRDefault="00110FE6">
      <w:pPr>
        <w:pStyle w:val="BlockText"/>
      </w:pPr>
      <w:r>
        <w:rPr>
          <w:b/>
          <w:bCs/>
          <w:i/>
          <w:iCs/>
        </w:rPr>
        <w:t>Note de traduction</w:t>
      </w:r>
    </w:p>
    <w:p w14:paraId="1DE61393" w14:textId="77777777" w:rsidR="0084489F" w:rsidRDefault="00110FE6">
      <w:pPr>
        <w:pStyle w:val="BlockText"/>
      </w:pPr>
      <w:r w:rsidRPr="246FBB6F">
        <w:rPr>
          <w:lang w:val="fr-FR"/>
        </w:rPr>
        <w:lastRenderedPageBreak/>
        <w:t>Le terme « continue » plutôt que « contiguë » a été retenu pour référer à la période de temps, car le terme « contigu » doit plutôt être utilisé pour parler de deux choses distinctes qui sont rapprochées par le sens ou par le temps.</w:t>
      </w:r>
    </w:p>
    <w:p w14:paraId="1E89C253" w14:textId="77777777" w:rsidR="0084489F" w:rsidRDefault="00110FE6">
      <w:pPr>
        <w:pStyle w:val="BlockText"/>
      </w:pPr>
      <w:r>
        <w:t xml:space="preserve">La précision par rapport au domaine d’utilisation du terme « perdurant » (la philosophie) vise à le clarifier et est déduite de la description du terme « endurant » à la classe </w:t>
      </w:r>
      <w:r>
        <w:rPr>
          <w:rStyle w:val="VerbatimChar"/>
        </w:rPr>
        <w:t>E77_Entité_persistante</w:t>
      </w:r>
      <w:r>
        <w:t>.</w:t>
      </w:r>
    </w:p>
    <w:p w14:paraId="25F0AE6A" w14:textId="77777777" w:rsidR="0084489F" w:rsidRDefault="00110FE6">
      <w:pPr>
        <w:pStyle w:val="BlockText"/>
      </w:pPr>
      <w:r>
        <w:rPr>
          <w:b/>
          <w:bCs/>
          <w:i/>
          <w:iCs/>
        </w:rPr>
        <w:t>Références</w:t>
      </w:r>
    </w:p>
    <w:p w14:paraId="1D5FDE32" w14:textId="77777777" w:rsidR="0084489F" w:rsidRDefault="0084489F">
      <w:pPr>
        <w:pStyle w:val="BlockText"/>
      </w:pPr>
    </w:p>
    <w:p w14:paraId="01DBD4CC" w14:textId="77777777" w:rsidR="0084489F" w:rsidRDefault="00110FE6">
      <w:pPr>
        <w:pStyle w:val="Heading2"/>
      </w:pPr>
      <w:bookmarkStart w:id="111" w:name="_Toc176864437"/>
      <w:bookmarkStart w:id="112" w:name="e3-etat-materiel"/>
      <w:bookmarkEnd w:id="110"/>
      <w:r>
        <w:t>E3 État matériel</w:t>
      </w:r>
      <w:bookmarkEnd w:id="111"/>
    </w:p>
    <w:p w14:paraId="697F452A" w14:textId="77777777" w:rsidR="0084489F" w:rsidRDefault="00110FE6">
      <w:pPr>
        <w:pStyle w:val="FirstParagraph"/>
      </w:pPr>
      <w:r>
        <w:rPr>
          <w:b/>
          <w:bCs/>
        </w:rPr>
        <w:t>Sous-classe de</w:t>
      </w:r>
    </w:p>
    <w:p w14:paraId="528D38CC" w14:textId="77777777" w:rsidR="0084489F" w:rsidRDefault="00110FE6">
      <w:pPr>
        <w:pStyle w:val="BodyText"/>
      </w:pPr>
      <w:r>
        <w:rPr>
          <w:rStyle w:val="VerbatimChar"/>
        </w:rPr>
        <w:t>E2_Entité_temporelle</w:t>
      </w:r>
    </w:p>
    <w:p w14:paraId="0EC8C11B" w14:textId="77777777" w:rsidR="0084489F" w:rsidRDefault="00110FE6">
      <w:pPr>
        <w:pStyle w:val="BodyText"/>
      </w:pPr>
      <w:r>
        <w:rPr>
          <w:b/>
          <w:bCs/>
        </w:rPr>
        <w:t>Super-classe de</w:t>
      </w:r>
    </w:p>
    <w:p w14:paraId="46A4D7DD" w14:textId="77777777" w:rsidR="0084489F" w:rsidRDefault="00110FE6">
      <w:pPr>
        <w:pStyle w:val="BodyText"/>
      </w:pPr>
      <w:r>
        <w:rPr>
          <w:b/>
          <w:bCs/>
        </w:rPr>
        <w:t>Note d’application</w:t>
      </w:r>
    </w:p>
    <w:p w14:paraId="3CFA15D2" w14:textId="77777777" w:rsidR="0084489F" w:rsidRDefault="00110FE6">
      <w:pPr>
        <w:pStyle w:val="BodyText"/>
      </w:pPr>
      <w:r>
        <w:t>Cette classe comprend les états d'objets caractérisés par une condition donnée sur un intervalle de temps.</w:t>
      </w:r>
    </w:p>
    <w:p w14:paraId="6123FFA4" w14:textId="77777777" w:rsidR="0084489F" w:rsidRDefault="00110FE6">
      <w:pPr>
        <w:pStyle w:val="BodyText"/>
      </w:pPr>
      <w:r w:rsidRPr="246FBB6F">
        <w:rPr>
          <w:lang w:val="fr-FR"/>
        </w:rPr>
        <w:t xml:space="preserve">Une instance de </w:t>
      </w:r>
      <w:r w:rsidRPr="246FBB6F">
        <w:rPr>
          <w:rStyle w:val="VerbatimChar"/>
          <w:lang w:val="fr-FR"/>
        </w:rPr>
        <w:t>E3_État_matériel</w:t>
      </w:r>
      <w:r w:rsidRPr="246FBB6F">
        <w:rPr>
          <w:lang w:val="fr-FR"/>
        </w:rPr>
        <w:t xml:space="preserve"> décrit l'état physique dominant de tout objet matériel ou caractéristique au cours d'une instance spécifique de </w:t>
      </w:r>
      <w:r w:rsidRPr="246FBB6F">
        <w:rPr>
          <w:rStyle w:val="VerbatimChar"/>
          <w:lang w:val="fr-FR"/>
        </w:rPr>
        <w:t>E52_Intervalle_temporel</w:t>
      </w:r>
      <w:r w:rsidRPr="246FBB6F">
        <w:rPr>
          <w:lang w:val="fr-FR"/>
        </w:rPr>
        <w:t>. En général, l'intervalle temporel pour lequel une condition donnée peut être affirmée peut être plus court que l'intervalle temporel réel pour lequel cette condition a été valide.</w:t>
      </w:r>
    </w:p>
    <w:p w14:paraId="3D131510" w14:textId="77777777" w:rsidR="0084489F" w:rsidRDefault="00110FE6">
      <w:pPr>
        <w:pStyle w:val="BodyText"/>
      </w:pPr>
      <w:r w:rsidRPr="246FBB6F">
        <w:rPr>
          <w:lang w:val="fr-FR"/>
        </w:rPr>
        <w:t xml:space="preserve">La nature de cette condition peut être décrite en utilisant </w:t>
      </w:r>
      <w:r w:rsidRPr="246FBB6F">
        <w:rPr>
          <w:rStyle w:val="VerbatimChar"/>
          <w:lang w:val="fr-FR"/>
        </w:rPr>
        <w:t>P2_a_pour_type</w:t>
      </w:r>
      <w:r w:rsidRPr="246FBB6F">
        <w:rPr>
          <w:lang w:val="fr-FR"/>
        </w:rPr>
        <w:t xml:space="preserve">. Par exemple, l'instance de </w:t>
      </w:r>
      <w:r w:rsidRPr="246FBB6F">
        <w:rPr>
          <w:rStyle w:val="VerbatimChar"/>
          <w:lang w:val="fr-FR"/>
        </w:rPr>
        <w:t>E3_État_matériel</w:t>
      </w:r>
      <w:r w:rsidRPr="246FBB6F">
        <w:rPr>
          <w:lang w:val="fr-FR"/>
        </w:rPr>
        <w:t xml:space="preserve"> « état du SS Great Britain entre le 22 septembre 1846 et le 27 août 1847 » peut être caractérisée comme une instance de </w:t>
      </w:r>
      <w:r w:rsidRPr="246FBB6F">
        <w:rPr>
          <w:rStyle w:val="VerbatimChar"/>
          <w:lang w:val="fr-FR"/>
        </w:rPr>
        <w:t>E55_Type</w:t>
      </w:r>
      <w:r w:rsidRPr="246FBB6F">
        <w:rPr>
          <w:lang w:val="fr-FR"/>
        </w:rPr>
        <w:t xml:space="preserve"> « épave ».</w:t>
      </w:r>
    </w:p>
    <w:p w14:paraId="201BE287" w14:textId="77777777" w:rsidR="0084489F" w:rsidRDefault="00110FE6">
      <w:pPr>
        <w:pStyle w:val="BodyText"/>
      </w:pPr>
      <w:r>
        <w:rPr>
          <w:b/>
          <w:bCs/>
        </w:rPr>
        <w:t>Exemples</w:t>
      </w:r>
    </w:p>
    <w:p w14:paraId="68CE151B" w14:textId="77777777" w:rsidR="0084489F" w:rsidRDefault="00110FE6" w:rsidP="00806324">
      <w:pPr>
        <w:numPr>
          <w:ilvl w:val="0"/>
          <w:numId w:val="54"/>
        </w:numPr>
      </w:pPr>
      <w:r w:rsidRPr="246FBB6F">
        <w:rPr>
          <w:lang w:val="fr-FR"/>
        </w:rPr>
        <w:t>L'état « reconstruit » de la Chambre d'ambre à Tsarskoïe Selo de l'été 2003 à aujourd'hui (Owen, 2009)</w:t>
      </w:r>
    </w:p>
    <w:p w14:paraId="450C9243" w14:textId="77777777" w:rsidR="0084489F" w:rsidRDefault="00110FE6" w:rsidP="00806324">
      <w:pPr>
        <w:numPr>
          <w:ilvl w:val="0"/>
          <w:numId w:val="54"/>
        </w:numPr>
      </w:pPr>
      <w:r>
        <w:t>L'état « en ruine » du palais de Peterhof près de Saint-Pétersbourg de 1944 à 1946 (Maddox, 2015)</w:t>
      </w:r>
    </w:p>
    <w:p w14:paraId="0E53EBEF" w14:textId="77777777" w:rsidR="0084489F" w:rsidRDefault="00110FE6" w:rsidP="00806324">
      <w:pPr>
        <w:numPr>
          <w:ilvl w:val="0"/>
          <w:numId w:val="54"/>
        </w:numPr>
      </w:pPr>
      <w:r>
        <w:t>L'état de ma dinde au four à 14h30 le 25 décembre 2002 [</w:t>
      </w:r>
      <w:r>
        <w:rPr>
          <w:rStyle w:val="VerbatimChar"/>
        </w:rPr>
        <w:t>P2_a_pour_type</w:t>
      </w:r>
      <w:r>
        <w:t xml:space="preserve"> : </w:t>
      </w:r>
      <w:r>
        <w:rPr>
          <w:rStyle w:val="VerbatimChar"/>
        </w:rPr>
        <w:t>E55_Type</w:t>
      </w:r>
      <w:r>
        <w:t xml:space="preserve"> « pas encore cuite »] (fictif)</w:t>
      </w:r>
    </w:p>
    <w:p w14:paraId="448EF043" w14:textId="77777777" w:rsidR="0084489F" w:rsidRDefault="00110FE6" w:rsidP="00806324">
      <w:pPr>
        <w:numPr>
          <w:ilvl w:val="0"/>
          <w:numId w:val="54"/>
        </w:numPr>
      </w:pPr>
      <w:r>
        <w:t>La topographie des feuilles du livre imprimé du Mont Sinaï 3234.2361 le 10 juillet 2007 [</w:t>
      </w:r>
      <w:r>
        <w:rPr>
          <w:rStyle w:val="VerbatimChar"/>
        </w:rPr>
        <w:t>P2_a_pour_type</w:t>
      </w:r>
      <w:r>
        <w:t xml:space="preserve"> : </w:t>
      </w:r>
      <w:r>
        <w:rPr>
          <w:rStyle w:val="VerbatimChar"/>
        </w:rPr>
        <w:t>E55_Type</w:t>
      </w:r>
      <w:r>
        <w:t xml:space="preserve"> « gondolé »] (fictif)</w:t>
      </w:r>
    </w:p>
    <w:p w14:paraId="3AA41C46" w14:textId="77777777" w:rsidR="0084489F" w:rsidRDefault="00110FE6">
      <w:pPr>
        <w:pStyle w:val="FirstParagraph"/>
      </w:pPr>
      <w:r>
        <w:rPr>
          <w:b/>
          <w:bCs/>
        </w:rPr>
        <w:t>Logique</w:t>
      </w:r>
    </w:p>
    <w:p w14:paraId="44DD6C6A" w14:textId="77777777" w:rsidR="0084489F" w:rsidRDefault="00110FE6">
      <w:pPr>
        <w:pStyle w:val="BodyText"/>
      </w:pPr>
      <w:r>
        <w:t>E3(x) ⇒ E2(x)</w:t>
      </w:r>
    </w:p>
    <w:p w14:paraId="7D95072E" w14:textId="77777777" w:rsidR="0084489F" w:rsidRDefault="00110FE6" w:rsidP="00655687">
      <w:pPr>
        <w:pStyle w:val="BodyText"/>
        <w:keepNext/>
      </w:pPr>
      <w:r>
        <w:rPr>
          <w:b/>
          <w:bCs/>
        </w:rPr>
        <w:t>Propriétés</w:t>
      </w:r>
    </w:p>
    <w:p w14:paraId="59416665" w14:textId="77777777" w:rsidR="0084489F" w:rsidRDefault="00110FE6" w:rsidP="00655687">
      <w:pPr>
        <w:pStyle w:val="BodyText"/>
        <w:keepNext/>
      </w:pPr>
      <w:r w:rsidRPr="246FBB6F">
        <w:rPr>
          <w:rStyle w:val="VerbatimChar"/>
          <w:lang w:val="fr-FR"/>
        </w:rPr>
        <w:t>P5_comprend (fait_partie_de)</w:t>
      </w:r>
      <w:r w:rsidRPr="246FBB6F">
        <w:rPr>
          <w:lang w:val="fr-FR"/>
        </w:rPr>
        <w:t xml:space="preserve"> : </w:t>
      </w:r>
      <w:r w:rsidRPr="246FBB6F">
        <w:rPr>
          <w:rStyle w:val="VerbatimChar"/>
          <w:lang w:val="fr-FR"/>
        </w:rPr>
        <w:t>E3_État_matériel</w:t>
      </w:r>
    </w:p>
    <w:p w14:paraId="3D02261B" w14:textId="77777777" w:rsidR="0084489F" w:rsidRDefault="00110FE6">
      <w:pPr>
        <w:pStyle w:val="BlockText"/>
      </w:pPr>
      <w:r>
        <w:rPr>
          <w:b/>
          <w:bCs/>
          <w:i/>
          <w:iCs/>
        </w:rPr>
        <w:t>Note de traduction</w:t>
      </w:r>
    </w:p>
    <w:p w14:paraId="167CA57D" w14:textId="77777777" w:rsidR="0084489F" w:rsidRDefault="00110FE6">
      <w:pPr>
        <w:pStyle w:val="BlockText"/>
      </w:pPr>
      <w:r>
        <w:rPr>
          <w:b/>
          <w:bCs/>
          <w:i/>
          <w:iCs/>
        </w:rPr>
        <w:t>Références</w:t>
      </w:r>
    </w:p>
    <w:p w14:paraId="46E5716B" w14:textId="77777777" w:rsidR="0084489F" w:rsidRDefault="0084489F">
      <w:pPr>
        <w:pStyle w:val="BlockText"/>
      </w:pPr>
    </w:p>
    <w:p w14:paraId="6B3CFADF" w14:textId="77777777" w:rsidR="0084489F" w:rsidRDefault="00110FE6">
      <w:pPr>
        <w:pStyle w:val="Heading2"/>
      </w:pPr>
      <w:bookmarkStart w:id="113" w:name="_Toc176864438"/>
      <w:bookmarkStart w:id="114" w:name="e4-periode"/>
      <w:bookmarkEnd w:id="112"/>
      <w:r>
        <w:lastRenderedPageBreak/>
        <w:t>E4 Période</w:t>
      </w:r>
      <w:bookmarkEnd w:id="113"/>
    </w:p>
    <w:p w14:paraId="1D713786" w14:textId="77777777" w:rsidR="0084489F" w:rsidRDefault="00110FE6">
      <w:pPr>
        <w:pStyle w:val="FirstParagraph"/>
      </w:pPr>
      <w:r>
        <w:rPr>
          <w:b/>
          <w:bCs/>
        </w:rPr>
        <w:t>Sous-classe de</w:t>
      </w:r>
    </w:p>
    <w:p w14:paraId="1B6BC28F" w14:textId="77777777" w:rsidR="0084489F" w:rsidRDefault="00110FE6">
      <w:pPr>
        <w:pStyle w:val="BodyText"/>
      </w:pPr>
      <w:r>
        <w:rPr>
          <w:rStyle w:val="VerbatimChar"/>
        </w:rPr>
        <w:t>E2_Entité_temporelle</w:t>
      </w:r>
    </w:p>
    <w:p w14:paraId="1013A83E" w14:textId="77777777" w:rsidR="0084489F" w:rsidRDefault="00110FE6">
      <w:pPr>
        <w:pStyle w:val="BodyText"/>
      </w:pPr>
      <w:r>
        <w:rPr>
          <w:rStyle w:val="VerbatimChar"/>
        </w:rPr>
        <w:t>E92_Volume_spatio-temporel</w:t>
      </w:r>
    </w:p>
    <w:p w14:paraId="5D2A0027" w14:textId="77777777" w:rsidR="0084489F" w:rsidRDefault="00110FE6">
      <w:pPr>
        <w:pStyle w:val="BodyText"/>
      </w:pPr>
      <w:r>
        <w:rPr>
          <w:b/>
          <w:bCs/>
        </w:rPr>
        <w:t>Super-classe de</w:t>
      </w:r>
    </w:p>
    <w:p w14:paraId="2F54C9C3" w14:textId="77777777" w:rsidR="0084489F" w:rsidRDefault="00110FE6">
      <w:pPr>
        <w:pStyle w:val="BodyText"/>
      </w:pPr>
      <w:r>
        <w:rPr>
          <w:rStyle w:val="VerbatimChar"/>
        </w:rPr>
        <w:t>E5_Évènement</w:t>
      </w:r>
    </w:p>
    <w:p w14:paraId="62CCFF66" w14:textId="77777777" w:rsidR="0084489F" w:rsidRDefault="00110FE6">
      <w:pPr>
        <w:pStyle w:val="BodyText"/>
      </w:pPr>
      <w:r>
        <w:rPr>
          <w:b/>
          <w:bCs/>
        </w:rPr>
        <w:t>Note d’application</w:t>
      </w:r>
    </w:p>
    <w:p w14:paraId="6D6EE9C8" w14:textId="77777777" w:rsidR="0084489F" w:rsidRDefault="00110FE6">
      <w:pPr>
        <w:pStyle w:val="BodyText"/>
      </w:pPr>
      <w:r>
        <w:t>Cette classe comprend des ensembles de phénomènes cohérents ou de manifestations culturelles se produisant dans l’espace et dans le temps.</w:t>
      </w:r>
    </w:p>
    <w:p w14:paraId="530B95EA" w14:textId="77777777" w:rsidR="0084489F" w:rsidRDefault="00110FE6">
      <w:pPr>
        <w:pStyle w:val="BodyText"/>
      </w:pPr>
      <w:r w:rsidRPr="246FBB6F">
        <w:rPr>
          <w:lang w:val="fr-FR"/>
        </w:rPr>
        <w:t xml:space="preserve">C’est la cohérence sociale ou physique de [n.d.t. cet ensemble de] phénomènes qui établit l’identité d’une instance de </w:t>
      </w:r>
      <w:r w:rsidRPr="246FBB6F">
        <w:rPr>
          <w:rStyle w:val="VerbatimChar"/>
          <w:lang w:val="fr-FR"/>
        </w:rPr>
        <w:t>E4_Période</w:t>
      </w:r>
      <w:r w:rsidRPr="246FBB6F">
        <w:rPr>
          <w:lang w:val="fr-FR"/>
        </w:rPr>
        <w:t xml:space="preserve">, et non son étendue spatio-temporelle. Cette dernière n’est que le « terreau » ou l’espace dans lequel, au sens physique abstrait, le processus de croissance, de déploiement ou de retrait [n.d.t. du phénomène qu’encapsule la </w:t>
      </w:r>
      <w:r w:rsidRPr="246FBB6F">
        <w:rPr>
          <w:rStyle w:val="VerbatimChar"/>
          <w:lang w:val="fr-FR"/>
        </w:rPr>
        <w:t>E4_Période</w:t>
      </w:r>
      <w:r w:rsidRPr="246FBB6F">
        <w:rPr>
          <w:lang w:val="fr-FR"/>
        </w:rPr>
        <w:t>] a lieu. Plusieurs périodes peuvent donc se chevaucher et cœxister dans le temps et dans l’espace, par exemple lorsqu’une culture nomade existe dans le même espace et en même temps qu’une culture sédentaire. Cela implique que les droits d’utilisation relatifs à des terres qui se chevauchent – une situation fréquente chez les Premières Nations – équivalent à des périodes se chevauchant elles aussi.</w:t>
      </w:r>
    </w:p>
    <w:p w14:paraId="7E832060" w14:textId="77777777" w:rsidR="0084489F" w:rsidRDefault="00110FE6">
      <w:pPr>
        <w:pStyle w:val="BodyText"/>
      </w:pPr>
      <w:r>
        <w:t xml:space="preserve">Cette classe est fréquemment utilisée pour décrire des périodes préhistoriques ou historiques comme la « période néolithique », la « dynastie Ming » ou « l’ère McCarthy », mais aussi pour des éléments géopolitiques et des activités d’occupation considérés comme des cas spéciaux de </w:t>
      </w:r>
      <w:r>
        <w:rPr>
          <w:rStyle w:val="VerbatimChar"/>
        </w:rPr>
        <w:t>E4_Période</w:t>
      </w:r>
      <w:r>
        <w:t>.</w:t>
      </w:r>
    </w:p>
    <w:p w14:paraId="077DF213" w14:textId="77777777" w:rsidR="0084489F" w:rsidRDefault="00110FE6">
      <w:pPr>
        <w:pStyle w:val="BodyText"/>
      </w:pPr>
      <w:r w:rsidRPr="246FBB6F">
        <w:rPr>
          <w:lang w:val="fr-FR"/>
        </w:rPr>
        <w:t xml:space="preserve">[n.d.t. L’utilisation de cette classe pour décrire des phénomènes précis] n’implique pas de postulats quant à l’échelle des phénomènes en question : tous les évènements sont considérés comme des processus synthétiques composés de phénomènes cohérents [n.d.t. c.-à-d. des phénomènes qui peuvent raisonnablement être perçus comme dotés d’une complétude interne]. Ainsi, </w:t>
      </w:r>
      <w:r w:rsidRPr="246FBB6F">
        <w:rPr>
          <w:rStyle w:val="VerbatimChar"/>
          <w:lang w:val="fr-FR"/>
        </w:rPr>
        <w:t>E4_Période</w:t>
      </w:r>
      <w:r w:rsidRPr="246FBB6F">
        <w:rPr>
          <w:lang w:val="fr-FR"/>
        </w:rPr>
        <w:t xml:space="preserve"> est une super-classe de </w:t>
      </w:r>
      <w:r w:rsidRPr="246FBB6F">
        <w:rPr>
          <w:rStyle w:val="VerbatimChar"/>
          <w:lang w:val="fr-FR"/>
        </w:rPr>
        <w:t>E5_Évènement</w:t>
      </w:r>
      <w:r w:rsidRPr="246FBB6F">
        <w:rPr>
          <w:lang w:val="fr-FR"/>
        </w:rPr>
        <w:t xml:space="preserve">. Par exemple, une naissance ayant eu lieu dans un milieu clinique moderne – une instance de </w:t>
      </w:r>
      <w:r w:rsidRPr="246FBB6F">
        <w:rPr>
          <w:rStyle w:val="VerbatimChar"/>
          <w:lang w:val="fr-FR"/>
        </w:rPr>
        <w:t>E67_Naissance</w:t>
      </w:r>
      <w:r w:rsidRPr="246FBB6F">
        <w:rPr>
          <w:lang w:val="fr-FR"/>
        </w:rPr>
        <w:t xml:space="preserve"> – peut être considérée à la fois comme un évènement unique (c.-à-d. une instance de </w:t>
      </w:r>
      <w:r w:rsidRPr="246FBB6F">
        <w:rPr>
          <w:rStyle w:val="VerbatimChar"/>
          <w:lang w:val="fr-FR"/>
        </w:rPr>
        <w:t>E5_Évènement</w:t>
      </w:r>
      <w:r w:rsidRPr="246FBB6F">
        <w:rPr>
          <w:lang w:val="fr-FR"/>
        </w:rPr>
        <w:t xml:space="preserve">) et comme une période étendue (c.-à-d. une instance de </w:t>
      </w:r>
      <w:r w:rsidRPr="246FBB6F">
        <w:rPr>
          <w:rStyle w:val="VerbatimChar"/>
          <w:lang w:val="fr-FR"/>
        </w:rPr>
        <w:t>E4_Période</w:t>
      </w:r>
      <w:r w:rsidRPr="246FBB6F">
        <w:rPr>
          <w:lang w:val="fr-FR"/>
        </w:rPr>
        <w:t xml:space="preserve">) qui consiste en de multiples processus physiques et activités complémentaires accomplies par diverses instances de </w:t>
      </w:r>
      <w:r w:rsidRPr="246FBB6F">
        <w:rPr>
          <w:rStyle w:val="VerbatimChar"/>
          <w:lang w:val="fr-FR"/>
        </w:rPr>
        <w:t>E39_Actant</w:t>
      </w:r>
      <w:r w:rsidRPr="246FBB6F">
        <w:rPr>
          <w:lang w:val="fr-FR"/>
        </w:rPr>
        <w:t>.</w:t>
      </w:r>
    </w:p>
    <w:p w14:paraId="05BC654C" w14:textId="77777777" w:rsidR="0084489F" w:rsidRDefault="00110FE6">
      <w:pPr>
        <w:pStyle w:val="BodyText"/>
      </w:pPr>
      <w:r w:rsidRPr="246FBB6F">
        <w:rPr>
          <w:lang w:val="fr-FR"/>
        </w:rPr>
        <w:t xml:space="preserve">Le CIDOC CRM définit </w:t>
      </w:r>
      <w:r w:rsidRPr="246FBB6F">
        <w:rPr>
          <w:rStyle w:val="VerbatimChar"/>
          <w:lang w:val="fr-FR"/>
        </w:rPr>
        <w:t>E4_Période</w:t>
      </w:r>
      <w:r w:rsidRPr="246FBB6F">
        <w:rPr>
          <w:lang w:val="fr-FR"/>
        </w:rPr>
        <w:t xml:space="preserve"> comme une sous-classe de </w:t>
      </w:r>
      <w:r w:rsidRPr="246FBB6F">
        <w:rPr>
          <w:rStyle w:val="VerbatimChar"/>
          <w:lang w:val="fr-FR"/>
        </w:rPr>
        <w:t>E2_Entité_temporelle</w:t>
      </w:r>
      <w:r w:rsidRPr="246FBB6F">
        <w:rPr>
          <w:lang w:val="fr-FR"/>
        </w:rPr>
        <w:t xml:space="preserve"> ainsi que de </w:t>
      </w:r>
      <w:r w:rsidRPr="246FBB6F">
        <w:rPr>
          <w:rStyle w:val="VerbatimChar"/>
          <w:lang w:val="fr-FR"/>
        </w:rPr>
        <w:t>E92_Volume_spatio-temporel</w:t>
      </w:r>
      <w:r w:rsidRPr="246FBB6F">
        <w:rPr>
          <w:lang w:val="fr-FR"/>
        </w:rPr>
        <w:t xml:space="preserve"> – considéré comme un volume spatio-temporel tel que défini dans </w:t>
      </w:r>
      <w:hyperlink r:id="rId160">
        <w:r w:rsidRPr="246FBB6F">
          <w:rPr>
            <w:rStyle w:val="Hyperlink"/>
            <w:lang w:val="fr-FR"/>
          </w:rPr>
          <w:t>CIDOC CRMgeo</w:t>
        </w:r>
      </w:hyperlink>
      <w:r w:rsidRPr="246FBB6F">
        <w:rPr>
          <w:lang w:val="fr-FR"/>
        </w:rPr>
        <w:t xml:space="preserve"> (Doerr &amp; Hiebel, 2013). Du fait de cet héritage multiple, l’étendue physique d’une instance de </w:t>
      </w:r>
      <w:r w:rsidRPr="246FBB6F">
        <w:rPr>
          <w:rStyle w:val="VerbatimChar"/>
          <w:lang w:val="fr-FR"/>
        </w:rPr>
        <w:t>E4_Période</w:t>
      </w:r>
      <w:r w:rsidRPr="246FBB6F">
        <w:rPr>
          <w:lang w:val="fr-FR"/>
        </w:rPr>
        <w:t xml:space="preserve"> peut être discutée sans la représenter à chaque fois avec une instance de son volume spatio-temporel. Ce modèle [n.d.t. le CIDOC CRM] comprend deux types de choses bien différentes : une instance de </w:t>
      </w:r>
      <w:r w:rsidRPr="246FBB6F">
        <w:rPr>
          <w:rStyle w:val="VerbatimChar"/>
          <w:lang w:val="fr-FR"/>
        </w:rPr>
        <w:t>E4_Période</w:t>
      </w:r>
      <w:r w:rsidRPr="246FBB6F">
        <w:rPr>
          <w:lang w:val="fr-FR"/>
        </w:rPr>
        <w:t xml:space="preserve"> est un phénomène alors qu’une instance de </w:t>
      </w:r>
      <w:r w:rsidRPr="246FBB6F">
        <w:rPr>
          <w:rStyle w:val="VerbatimChar"/>
          <w:lang w:val="fr-FR"/>
        </w:rPr>
        <w:t>E92_Volume_spatio-temporel</w:t>
      </w:r>
      <w:r w:rsidRPr="246FBB6F">
        <w:rPr>
          <w:lang w:val="fr-FR"/>
        </w:rPr>
        <w:t xml:space="preserve"> est une agrégation de points dans un espace-temps. Cependant, la réelle étendue spatio-temporelle d’une instance de </w:t>
      </w:r>
      <w:r w:rsidRPr="246FBB6F">
        <w:rPr>
          <w:rStyle w:val="VerbatimChar"/>
          <w:lang w:val="fr-FR"/>
        </w:rPr>
        <w:t>E4_Période</w:t>
      </w:r>
      <w:r w:rsidRPr="246FBB6F">
        <w:rPr>
          <w:lang w:val="fr-FR"/>
        </w:rPr>
        <w:t xml:space="preserve"> est considérée comme unique en raison du flou et des nombreux détails qui la caractérisent; l’identité et l’existence de cette étendue spatio-temporelle se reposent donc uniquement sur l’identité de l’instance de </w:t>
      </w:r>
      <w:r w:rsidRPr="246FBB6F">
        <w:rPr>
          <w:rStyle w:val="VerbatimChar"/>
          <w:lang w:val="fr-FR"/>
        </w:rPr>
        <w:t>E4_Période</w:t>
      </w:r>
      <w:r w:rsidRPr="246FBB6F">
        <w:rPr>
          <w:lang w:val="fr-FR"/>
        </w:rPr>
        <w:t xml:space="preserve">. Cet héritage multiple est donc effectif, dénué d'ambiguïté et correspond aux intuitions du langage naturel [n.d.t. c.-à-d. que, au quotidien, il n’est généralement pas question du volume spatio-temporel aux fins de simplification et de compréhension intuitive du monde; d’encapsuler </w:t>
      </w:r>
      <w:r w:rsidRPr="246FBB6F">
        <w:rPr>
          <w:rStyle w:val="VerbatimChar"/>
          <w:lang w:val="fr-FR"/>
        </w:rPr>
        <w:t>E92_Volume_spatio-temporel</w:t>
      </w:r>
      <w:r w:rsidRPr="246FBB6F">
        <w:rPr>
          <w:lang w:val="fr-FR"/>
        </w:rPr>
        <w:t xml:space="preserve"> dans </w:t>
      </w:r>
      <w:r w:rsidRPr="246FBB6F">
        <w:rPr>
          <w:rStyle w:val="VerbatimChar"/>
          <w:lang w:val="fr-FR"/>
        </w:rPr>
        <w:t>E4_Période</w:t>
      </w:r>
      <w:r w:rsidRPr="246FBB6F">
        <w:rPr>
          <w:lang w:val="fr-FR"/>
        </w:rPr>
        <w:t xml:space="preserve"> se rapproche de l’utilisation courante de ces concepts et en simplifie de ce fait l’utilisation].</w:t>
      </w:r>
    </w:p>
    <w:p w14:paraId="2786D666" w14:textId="77777777" w:rsidR="0084489F" w:rsidRDefault="00110FE6">
      <w:pPr>
        <w:pStyle w:val="BodyText"/>
      </w:pPr>
      <w:r>
        <w:lastRenderedPageBreak/>
        <w:t xml:space="preserve">Un usage typique de cette classe dans le milieu patrimonial est celui de la documentation des périodes culturelles et artistiques. Le style artistique peut être conceptualisé de deux manières : selon un contexte historique ou selon des caractéristiques physiques. Par exemple, « l’Impressionnisme » peut être vu comme une période de la sphère d’influence européenne s’étendant approximativement de 1870 à 1905 durant laquelle des peintures ayant des caractéristiques spécifiques ont été produites par des artistes tels que Monet, Renoir, Pissarro, Sisley et Degas. Mais l’impressionnisme peut être considéré aussi comme un style désignant toute peinture qui partage les caractéristiques des œuvres produites par les peintres impressionnistes, indépendamment de tout contexte historique. La première interprétation [n.d.t. selon un contexte historique] est une instance de </w:t>
      </w:r>
      <w:r>
        <w:rPr>
          <w:rStyle w:val="VerbatimChar"/>
        </w:rPr>
        <w:t>E4_Période</w:t>
      </w:r>
      <w:r>
        <w:t xml:space="preserve"> alors que la seconde [n.d.t. selon des caractéristiques physiques] définit une catégorie morphologique d’objet qui relève de la classe </w:t>
      </w:r>
      <w:r>
        <w:rPr>
          <w:rStyle w:val="VerbatimChar"/>
        </w:rPr>
        <w:t>E55_Type</w:t>
      </w:r>
      <w:r>
        <w:t>.</w:t>
      </w:r>
    </w:p>
    <w:p w14:paraId="7ADBCCF6" w14:textId="77777777" w:rsidR="0084489F" w:rsidRDefault="00110FE6">
      <w:pPr>
        <w:pStyle w:val="BodyText"/>
      </w:pPr>
      <w:r>
        <w:t xml:space="preserve">Un élément géopolitique en tant que cas spécial d’une instance de </w:t>
      </w:r>
      <w:r>
        <w:rPr>
          <w:rStyle w:val="VerbatimChar"/>
        </w:rPr>
        <w:t>E4_Période</w:t>
      </w:r>
      <w:r>
        <w:t xml:space="preserve"> est un ensemble d’activités et de phénomènes concernant une revendication du pouvoir, des conséquences de l’appartenance à une région juridique et un système administratif établissant un élément géopolitique. Des exemples modernes d’éléments géopolitiques étant des instances possibles de </w:t>
      </w:r>
      <w:r>
        <w:rPr>
          <w:rStyle w:val="VerbatimChar"/>
        </w:rPr>
        <w:t>E4_Période</w:t>
      </w:r>
      <w:r>
        <w:t xml:space="preserve"> sont des pays ou des régions administratives de pays tels que des districts, dont les structures et les actions définissent des activités et des phénomènes sur le territoire dont la gouvernance leur revient. Les frontières d’éléments géopolitiques sont souvent définies par des ententes contractuelles ou des traités qui peuvent néanmoins différer de l’usage réel qui est fait du territoire. Les propriétés spatio-temporelles d’éléments géopolitiques peuvent être modélisées grâce aux propriétés héritées de </w:t>
      </w:r>
      <w:r>
        <w:rPr>
          <w:rStyle w:val="VerbatimChar"/>
        </w:rPr>
        <w:t>E92_Volume_spatio-temporel</w:t>
      </w:r>
      <w:r>
        <w:t>.</w:t>
      </w:r>
    </w:p>
    <w:p w14:paraId="5D52E543" w14:textId="77777777" w:rsidR="0084489F" w:rsidRDefault="00110FE6">
      <w:pPr>
        <w:pStyle w:val="BodyText"/>
      </w:pPr>
      <w:r>
        <w:t xml:space="preserve">Un autre cas spécial d’une instance de </w:t>
      </w:r>
      <w:r>
        <w:rPr>
          <w:rStyle w:val="VerbatimChar"/>
        </w:rPr>
        <w:t>E4_Période</w:t>
      </w:r>
      <w:r>
        <w:t xml:space="preserve"> est l’étendue réelle d’un ensemble d’activités et de phénomènes telle qu’elle est avérée par des traces physiques caractérisant l’occupation [n.d.t. sur un territoire], comme dans le cas de la période où la ville de Ninive était peuplée.</w:t>
      </w:r>
    </w:p>
    <w:p w14:paraId="50322AC2" w14:textId="77777777" w:rsidR="0084489F" w:rsidRDefault="00110FE6">
      <w:pPr>
        <w:pStyle w:val="BodyText"/>
      </w:pPr>
      <w:r>
        <w:rPr>
          <w:b/>
          <w:bCs/>
        </w:rPr>
        <w:t>Exemples</w:t>
      </w:r>
    </w:p>
    <w:p w14:paraId="2F9F3223" w14:textId="77777777" w:rsidR="0084489F" w:rsidRDefault="00110FE6" w:rsidP="00806324">
      <w:pPr>
        <w:numPr>
          <w:ilvl w:val="0"/>
          <w:numId w:val="55"/>
        </w:numPr>
      </w:pPr>
      <w:r w:rsidRPr="246FBB6F">
        <w:rPr>
          <w:lang w:val="fr-FR"/>
        </w:rPr>
        <w:t>Le Jurassique (Hallam, 1975)</w:t>
      </w:r>
    </w:p>
    <w:p w14:paraId="09534481" w14:textId="77777777" w:rsidR="0084489F" w:rsidRDefault="00110FE6" w:rsidP="00806324">
      <w:pPr>
        <w:numPr>
          <w:ilvl w:val="0"/>
          <w:numId w:val="55"/>
        </w:numPr>
      </w:pPr>
      <w:r>
        <w:t>La période où Ninive était peuplée</w:t>
      </w:r>
    </w:p>
    <w:p w14:paraId="5A77CFE5" w14:textId="77777777" w:rsidR="0084489F" w:rsidRDefault="00110FE6" w:rsidP="00806324">
      <w:pPr>
        <w:numPr>
          <w:ilvl w:val="0"/>
          <w:numId w:val="55"/>
        </w:numPr>
      </w:pPr>
      <w:r>
        <w:t>L’Empire romain sous Marc Aurèle</w:t>
      </w:r>
    </w:p>
    <w:p w14:paraId="416F6586" w14:textId="77777777" w:rsidR="0084489F" w:rsidRDefault="00110FE6" w:rsidP="00806324">
      <w:pPr>
        <w:numPr>
          <w:ilvl w:val="0"/>
          <w:numId w:val="55"/>
        </w:numPr>
      </w:pPr>
      <w:r>
        <w:t>L’Âge du bronze en Europe (Harrison, 2004)</w:t>
      </w:r>
    </w:p>
    <w:p w14:paraId="69969DA5" w14:textId="77777777" w:rsidR="0084489F" w:rsidRDefault="00110FE6" w:rsidP="00806324">
      <w:pPr>
        <w:numPr>
          <w:ilvl w:val="0"/>
          <w:numId w:val="55"/>
        </w:numPr>
      </w:pPr>
      <w:r>
        <w:t>La Renaissance italienne (Macdonald, 1992)</w:t>
      </w:r>
    </w:p>
    <w:p w14:paraId="522AA638" w14:textId="77777777" w:rsidR="0084489F" w:rsidRDefault="00110FE6" w:rsidP="00806324">
      <w:pPr>
        <w:numPr>
          <w:ilvl w:val="0"/>
          <w:numId w:val="55"/>
        </w:numPr>
      </w:pPr>
      <w:r>
        <w:t>La guerre de Trente ans (Lee, 1991)</w:t>
      </w:r>
    </w:p>
    <w:p w14:paraId="4937A608" w14:textId="77777777" w:rsidR="0084489F" w:rsidRDefault="00110FE6" w:rsidP="00806324">
      <w:pPr>
        <w:numPr>
          <w:ilvl w:val="0"/>
          <w:numId w:val="55"/>
        </w:numPr>
      </w:pPr>
      <w:r w:rsidRPr="246FBB6F">
        <w:rPr>
          <w:lang w:val="fr-FR"/>
        </w:rPr>
        <w:t xml:space="preserve">Le mouvement </w:t>
      </w:r>
      <w:r w:rsidRPr="246FBB6F">
        <w:rPr>
          <w:i/>
          <w:iCs/>
          <w:lang w:val="fr-FR"/>
        </w:rPr>
        <w:t>Sturm und Drang</w:t>
      </w:r>
      <w:r w:rsidRPr="246FBB6F">
        <w:rPr>
          <w:lang w:val="fr-FR"/>
        </w:rPr>
        <w:t xml:space="preserve"> (Berkoff, 2013)</w:t>
      </w:r>
    </w:p>
    <w:p w14:paraId="76E96C20" w14:textId="77777777" w:rsidR="0084489F" w:rsidRDefault="00110FE6" w:rsidP="00806324">
      <w:pPr>
        <w:numPr>
          <w:ilvl w:val="0"/>
          <w:numId w:val="55"/>
        </w:numPr>
      </w:pPr>
      <w:r>
        <w:t>Le Cubisme (Cox, 2000)</w:t>
      </w:r>
    </w:p>
    <w:p w14:paraId="73E6050D" w14:textId="77777777" w:rsidR="0084489F" w:rsidRDefault="00110FE6" w:rsidP="00806324">
      <w:pPr>
        <w:numPr>
          <w:ilvl w:val="0"/>
          <w:numId w:val="55"/>
        </w:numPr>
      </w:pPr>
      <w:r>
        <w:t>La capitale de la Russie (</w:t>
      </w:r>
      <w:r>
        <w:rPr>
          <w:rStyle w:val="VerbatimChar"/>
        </w:rPr>
        <w:t>E4_Période</w:t>
      </w:r>
      <w:r>
        <w:t>) [la capitale de la Russie dans le sens d'une unité administrative déplacée dans les temps historiques de Moscou à Saint-Pétersbourg, puis déplacée à nouveau à Moscou. Cela illustre une unité administrative changeant de lieu dans le temps sans discontinuité temporelle]</w:t>
      </w:r>
    </w:p>
    <w:p w14:paraId="5A5CC69F" w14:textId="77777777" w:rsidR="0084489F" w:rsidRDefault="00110FE6" w:rsidP="00806324">
      <w:pPr>
        <w:numPr>
          <w:ilvl w:val="0"/>
          <w:numId w:val="55"/>
        </w:numPr>
      </w:pPr>
      <w:r w:rsidRPr="246FBB6F">
        <w:rPr>
          <w:lang w:val="fr-FR"/>
        </w:rPr>
        <w:t>L'activité de colonisation de la communauté d'Helsinki (alias Helsingfors) (</w:t>
      </w:r>
      <w:r w:rsidRPr="246FBB6F">
        <w:rPr>
          <w:rStyle w:val="VerbatimChar"/>
          <w:lang w:val="fr-FR"/>
        </w:rPr>
        <w:t>E7_Activité</w:t>
      </w:r>
      <w:r w:rsidRPr="246FBB6F">
        <w:rPr>
          <w:lang w:val="fr-FR"/>
        </w:rPr>
        <w:t>) [la colonie d'origine appelée Helsinki était située dans la zone de l'aéroport moderne. La communauté a déménagé plus tard pour s'installer sur la côte. Cela illustre une activité continue changeant de lieu dans le temps sans discontinuité temporelle]</w:t>
      </w:r>
    </w:p>
    <w:p w14:paraId="343CA831" w14:textId="77777777" w:rsidR="0084489F" w:rsidRDefault="00110FE6" w:rsidP="00806324">
      <w:pPr>
        <w:numPr>
          <w:ilvl w:val="0"/>
          <w:numId w:val="55"/>
        </w:numPr>
      </w:pPr>
      <w:r>
        <w:lastRenderedPageBreak/>
        <w:t>L'âge du Bronze (</w:t>
      </w:r>
      <w:r>
        <w:rPr>
          <w:rStyle w:val="VerbatimChar"/>
        </w:rPr>
        <w:t>E4_Période</w:t>
      </w:r>
      <w:r>
        <w:t>) [l'âge du Bronze, au sens de l'adoption technologique, s'étendant sur des zones disjointes comprenant des îles, telles que les Îles Britanniques, sans discontinuité temporelle]</w:t>
      </w:r>
    </w:p>
    <w:p w14:paraId="160D1EE5" w14:textId="77777777" w:rsidR="0084489F" w:rsidRDefault="00110FE6" w:rsidP="00806324">
      <w:pPr>
        <w:numPr>
          <w:ilvl w:val="0"/>
          <w:numId w:val="55"/>
        </w:numPr>
      </w:pPr>
      <w:r>
        <w:t>Japon, l'État (</w:t>
      </w:r>
      <w:r>
        <w:rPr>
          <w:rStyle w:val="VerbatimChar"/>
        </w:rPr>
        <w:t>E4_Période</w:t>
      </w:r>
      <w:r>
        <w:t>) [en 2021, l'État japonais en tant qu'unité politique comprise dans 6 852 îles s'étendant le long de la côte pacifique de l'Asie]</w:t>
      </w:r>
    </w:p>
    <w:p w14:paraId="1066E86C" w14:textId="77777777" w:rsidR="0084489F" w:rsidRDefault="00110FE6">
      <w:pPr>
        <w:pStyle w:val="FirstParagraph"/>
      </w:pPr>
      <w:r>
        <w:rPr>
          <w:b/>
          <w:bCs/>
        </w:rPr>
        <w:t>Logique</w:t>
      </w:r>
    </w:p>
    <w:p w14:paraId="56EF37AC" w14:textId="77777777" w:rsidR="0084489F" w:rsidRDefault="00110FE6">
      <w:pPr>
        <w:pStyle w:val="BodyText"/>
      </w:pPr>
      <w:r>
        <w:t>E4(x) ⇒ E2(x)</w:t>
      </w:r>
    </w:p>
    <w:p w14:paraId="3237A36B" w14:textId="77777777" w:rsidR="0084489F" w:rsidRDefault="00110FE6">
      <w:pPr>
        <w:pStyle w:val="BodyText"/>
      </w:pPr>
      <w:r>
        <w:t>E4(x) ⇒ E92(x)</w:t>
      </w:r>
    </w:p>
    <w:p w14:paraId="1B8502DC" w14:textId="77777777" w:rsidR="0084489F" w:rsidRDefault="00110FE6">
      <w:pPr>
        <w:pStyle w:val="BodyText"/>
      </w:pPr>
      <w:r>
        <w:rPr>
          <w:b/>
          <w:bCs/>
        </w:rPr>
        <w:t>Propriétés</w:t>
      </w:r>
    </w:p>
    <w:p w14:paraId="58CB743B" w14:textId="77777777" w:rsidR="0084489F" w:rsidRDefault="00110FE6">
      <w:pPr>
        <w:pStyle w:val="BodyText"/>
      </w:pPr>
      <w:r w:rsidRPr="246FBB6F">
        <w:rPr>
          <w:rStyle w:val="VerbatimChar"/>
          <w:lang w:val="fr-FR"/>
        </w:rPr>
        <w:t>P7_a_eu_lieu_dans (a_été_témoin_de)</w:t>
      </w:r>
      <w:r w:rsidRPr="246FBB6F">
        <w:rPr>
          <w:lang w:val="fr-FR"/>
        </w:rPr>
        <w:t xml:space="preserve"> : </w:t>
      </w:r>
      <w:r w:rsidRPr="246FBB6F">
        <w:rPr>
          <w:rStyle w:val="VerbatimChar"/>
          <w:lang w:val="fr-FR"/>
        </w:rPr>
        <w:t>E53_Lieu</w:t>
      </w:r>
    </w:p>
    <w:p w14:paraId="1036F220" w14:textId="77777777" w:rsidR="0084489F" w:rsidRDefault="00110FE6">
      <w:pPr>
        <w:pStyle w:val="BodyText"/>
      </w:pPr>
      <w:r w:rsidRPr="246FBB6F">
        <w:rPr>
          <w:rStyle w:val="VerbatimChar"/>
          <w:lang w:val="fr-FR"/>
        </w:rPr>
        <w:t>P8_a_eu_lieu (a_été_témoin_de)</w:t>
      </w:r>
      <w:r w:rsidRPr="246FBB6F">
        <w:rPr>
          <w:lang w:val="fr-FR"/>
        </w:rPr>
        <w:t xml:space="preserve"> : </w:t>
      </w:r>
      <w:r w:rsidRPr="246FBB6F">
        <w:rPr>
          <w:rStyle w:val="VerbatimChar"/>
          <w:lang w:val="fr-FR"/>
        </w:rPr>
        <w:t>E18_Chose_matérielle</w:t>
      </w:r>
    </w:p>
    <w:p w14:paraId="26F35E50" w14:textId="77777777" w:rsidR="0084489F" w:rsidRDefault="00110FE6">
      <w:pPr>
        <w:pStyle w:val="BodyText"/>
      </w:pPr>
      <w:r>
        <w:rPr>
          <w:rStyle w:val="VerbatimChar"/>
        </w:rPr>
        <w:t>P9_comprend (fait partie de)</w:t>
      </w:r>
      <w:r>
        <w:t xml:space="preserve"> : </w:t>
      </w:r>
      <w:r>
        <w:rPr>
          <w:rStyle w:val="VerbatimChar"/>
        </w:rPr>
        <w:t>E4_Période</w:t>
      </w:r>
    </w:p>
    <w:p w14:paraId="6175EEBD" w14:textId="77777777" w:rsidR="0084489F" w:rsidRDefault="00110FE6">
      <w:pPr>
        <w:pStyle w:val="BlockText"/>
      </w:pPr>
      <w:r>
        <w:rPr>
          <w:b/>
          <w:bCs/>
          <w:i/>
          <w:iCs/>
        </w:rPr>
        <w:t>Note de traduction</w:t>
      </w:r>
    </w:p>
    <w:p w14:paraId="0454B409" w14:textId="77777777" w:rsidR="0084489F" w:rsidRDefault="00110FE6">
      <w:pPr>
        <w:pStyle w:val="BlockText"/>
      </w:pPr>
      <w:r>
        <w:t xml:space="preserve">Le terme « unit » a été traduit par « élément », car il est fait référence à une chose qui est complète en soi mais fait aussi partie d’un tout (ce qui est plus près de la définition d’élément) alors qu’unité en français signale davantage une nature indivisible et unique. C’est aussi cohérent avec les choix qui ont été faits lors de la traduction du nom des entités de CIDOC CRM (p. ex. </w:t>
      </w:r>
      <w:r>
        <w:rPr>
          <w:rStyle w:val="VerbatimChar"/>
        </w:rPr>
        <w:t>E79_Ajout_d’élément</w:t>
      </w:r>
      <w:r>
        <w:t xml:space="preserve">, </w:t>
      </w:r>
      <w:r>
        <w:rPr>
          <w:rStyle w:val="VerbatimChar"/>
        </w:rPr>
        <w:t>E80_Retrait_d’Élément</w:t>
      </w:r>
      <w:r>
        <w:t>).</w:t>
      </w:r>
    </w:p>
    <w:p w14:paraId="408B7BE9" w14:textId="77777777" w:rsidR="0084489F" w:rsidRDefault="00110FE6">
      <w:pPr>
        <w:pStyle w:val="BlockText"/>
      </w:pPr>
      <w:r w:rsidRPr="246FBB6F">
        <w:rPr>
          <w:lang w:val="fr-FR"/>
        </w:rPr>
        <w:t>Le terme « extent » a été traduit par « étendue » après une brève revue des traductions les plus fréquentes dans le contexte d’une qualification spatio-temporelle.</w:t>
      </w:r>
    </w:p>
    <w:p w14:paraId="421D6DCA" w14:textId="77777777" w:rsidR="0084489F" w:rsidRDefault="00110FE6">
      <w:pPr>
        <w:pStyle w:val="BlockText"/>
      </w:pPr>
      <w:r w:rsidRPr="246FBB6F">
        <w:rPr>
          <w:lang w:val="fr-FR"/>
        </w:rPr>
        <w:t>Le terme « spread[ing] » a été traduit par « déploiement » d’une part, car il est plus près du sens phénoménal associé à l’original (le fait qu’un phénomène prenne de l’ampleur) et, d’autre part, afin de ne pas créer de confusion par l’usage répété du terme « étendue » pour refléter des sens différents.</w:t>
      </w:r>
    </w:p>
    <w:p w14:paraId="7E09B78B" w14:textId="77777777" w:rsidR="0084489F" w:rsidRDefault="00110FE6">
      <w:pPr>
        <w:pStyle w:val="BlockText"/>
      </w:pPr>
      <w:r>
        <w:t>Le terme « land use » a été traduit conformément à la traduction qu’en fait le gouvernement du Canada dans les textes se rapportant au droit autochtone.</w:t>
      </w:r>
    </w:p>
    <w:p w14:paraId="55D3558B" w14:textId="77777777" w:rsidR="0084489F" w:rsidRDefault="00110FE6">
      <w:pPr>
        <w:pStyle w:val="BlockText"/>
      </w:pPr>
      <w:r w:rsidRPr="246FBB6F">
        <w:rPr>
          <w:lang w:val="fr-FR"/>
        </w:rPr>
        <w:t>Le terme « disconnected » a été traduit par « distinct » puisqu’il reflète davantage la nature désunifiée que « déconnecté », qui est davantage utilisé pour parler de communication.</w:t>
      </w:r>
    </w:p>
    <w:p w14:paraId="27858DB0" w14:textId="77777777" w:rsidR="0084489F" w:rsidRDefault="00110FE6">
      <w:pPr>
        <w:pStyle w:val="BlockText"/>
      </w:pPr>
      <w:r>
        <w:t>Dans la phrase « Le style artistique peut être conceptualisé de deux manières : selon un contexte historique ou selon des caractéristiques physiques », l’ordre de présentation des conceptualisations a été inversé afin de refléter la structure du texte.</w:t>
      </w:r>
    </w:p>
    <w:p w14:paraId="49996AC2" w14:textId="77777777" w:rsidR="0084489F" w:rsidRDefault="00110FE6">
      <w:pPr>
        <w:pStyle w:val="BlockText"/>
      </w:pPr>
      <w:r>
        <w:t xml:space="preserve">Dans la phrase « La première interprétation [n.d.t. selon des caractéristiques physiques] est une instance de </w:t>
      </w:r>
      <w:r>
        <w:rPr>
          <w:rStyle w:val="VerbatimChar"/>
        </w:rPr>
        <w:t>E4_Période</w:t>
      </w:r>
      <w:r>
        <w:t xml:space="preserve"> alors que la seconde [n.d.t. selon un contexte historique] définit une catégorie morphologique d’objet, une instance de </w:t>
      </w:r>
      <w:r>
        <w:rPr>
          <w:rStyle w:val="VerbatimChar"/>
        </w:rPr>
        <w:t>E55_Type</w:t>
      </w:r>
      <w:r>
        <w:t> », le terme « type » a été remplacé par « catégorie » aux fins de clarification puisque c’est le sens entendu du terme dans la phrase originale.</w:t>
      </w:r>
    </w:p>
    <w:p w14:paraId="1DA17BCE" w14:textId="77777777" w:rsidR="0084489F" w:rsidRDefault="00110FE6">
      <w:pPr>
        <w:pStyle w:val="BlockText"/>
      </w:pPr>
      <w:r>
        <w:rPr>
          <w:b/>
          <w:bCs/>
          <w:i/>
          <w:iCs/>
        </w:rPr>
        <w:t>Références</w:t>
      </w:r>
    </w:p>
    <w:p w14:paraId="571753D1" w14:textId="77777777" w:rsidR="0084489F" w:rsidRPr="008C0D99" w:rsidRDefault="00110FE6">
      <w:pPr>
        <w:pStyle w:val="BlockText"/>
        <w:rPr>
          <w:lang w:val="en-CA"/>
        </w:rPr>
      </w:pPr>
      <w:r>
        <w:t>CIDOC CRM. « CRMgeo ». Modèle, 2021.</w:t>
      </w:r>
      <w:hyperlink r:id="rId161">
        <w:r>
          <w:rPr>
            <w:rStyle w:val="Hyperlink"/>
          </w:rPr>
          <w:t xml:space="preserve"> </w:t>
        </w:r>
      </w:hyperlink>
      <w:hyperlink r:id="rId162">
        <w:r w:rsidRPr="008C0D99">
          <w:rPr>
            <w:rStyle w:val="Hyperlink"/>
            <w:lang w:val="en-CA"/>
          </w:rPr>
          <w:t>http://www.cidoc-crm.org/crmgeo/home-5</w:t>
        </w:r>
      </w:hyperlink>
      <w:r w:rsidRPr="008C0D99">
        <w:rPr>
          <w:lang w:val="en-CA"/>
        </w:rPr>
        <w:t>.</w:t>
      </w:r>
    </w:p>
    <w:p w14:paraId="34F76BCB" w14:textId="77777777" w:rsidR="0084489F" w:rsidRDefault="00110FE6">
      <w:pPr>
        <w:pStyle w:val="BlockText"/>
      </w:pPr>
      <w:r w:rsidRPr="008C0D99">
        <w:rPr>
          <w:lang w:val="en-CA"/>
        </w:rPr>
        <w:t xml:space="preserve">Termium. « Land Use ». </w:t>
      </w:r>
      <w:r w:rsidRPr="00203239">
        <w:rPr>
          <w:lang w:val="fr-CA"/>
        </w:rPr>
        <w:t xml:space="preserve">Dans </w:t>
      </w:r>
      <w:r w:rsidRPr="00203239">
        <w:rPr>
          <w:i/>
          <w:iCs/>
          <w:lang w:val="fr-CA"/>
        </w:rPr>
        <w:t>Termium Plus</w:t>
      </w:r>
      <w:r w:rsidRPr="00203239">
        <w:rPr>
          <w:lang w:val="fr-CA"/>
        </w:rPr>
        <w:t xml:space="preserve">. </w:t>
      </w:r>
      <w:r>
        <w:t>Ottawa, CA-ON: Gouvernement du Canada, 2022.</w:t>
      </w:r>
      <w:hyperlink r:id="rId163" w:anchor="resultrecs">
        <w:r>
          <w:rPr>
            <w:rStyle w:val="Hyperlink"/>
          </w:rPr>
          <w:t xml:space="preserve"> </w:t>
        </w:r>
      </w:hyperlink>
      <w:hyperlink r:id="rId164" w:anchor="resultrecs">
        <w:r>
          <w:rPr>
            <w:rStyle w:val="Hyperlink"/>
          </w:rPr>
          <w:t>https://www.btb.termiumplus.gc.ca/tpv2alpha/alpha-fra.html?lang=fra&amp;i=1&amp;srchtxt=land+use&amp;index=alt&amp;codom2nd_wet=1#resultrecs</w:t>
        </w:r>
      </w:hyperlink>
      <w:r>
        <w:t>.</w:t>
      </w:r>
    </w:p>
    <w:p w14:paraId="12EF0FAF" w14:textId="77777777" w:rsidR="0084489F" w:rsidRDefault="00110FE6" w:rsidP="00F361B3">
      <w:pPr>
        <w:pStyle w:val="Heading2"/>
      </w:pPr>
      <w:bookmarkStart w:id="115" w:name="_Toc176864439"/>
      <w:bookmarkStart w:id="116" w:name="e5-evenement"/>
      <w:bookmarkEnd w:id="114"/>
      <w:r>
        <w:lastRenderedPageBreak/>
        <w:t>E5 Évènement</w:t>
      </w:r>
      <w:bookmarkEnd w:id="115"/>
    </w:p>
    <w:p w14:paraId="7839643E" w14:textId="77777777" w:rsidR="0084489F" w:rsidRDefault="00110FE6" w:rsidP="00F361B3">
      <w:pPr>
        <w:pStyle w:val="FirstParagraph"/>
        <w:keepNext/>
        <w:keepLines/>
      </w:pPr>
      <w:r>
        <w:rPr>
          <w:b/>
          <w:bCs/>
        </w:rPr>
        <w:t>Sous-classe de</w:t>
      </w:r>
    </w:p>
    <w:p w14:paraId="4CC79D27" w14:textId="77777777" w:rsidR="0084489F" w:rsidRDefault="00110FE6" w:rsidP="00F361B3">
      <w:pPr>
        <w:pStyle w:val="BodyText"/>
        <w:keepNext/>
        <w:keepLines/>
      </w:pPr>
      <w:r>
        <w:rPr>
          <w:rStyle w:val="VerbatimChar"/>
        </w:rPr>
        <w:t>E4_Période</w:t>
      </w:r>
    </w:p>
    <w:p w14:paraId="20E4BA1C" w14:textId="77777777" w:rsidR="0084489F" w:rsidRDefault="00110FE6">
      <w:pPr>
        <w:pStyle w:val="BodyText"/>
      </w:pPr>
      <w:r>
        <w:rPr>
          <w:b/>
          <w:bCs/>
        </w:rPr>
        <w:t>Super-classe de</w:t>
      </w:r>
    </w:p>
    <w:p w14:paraId="01C48EF4" w14:textId="77777777" w:rsidR="0084489F" w:rsidRDefault="00110FE6">
      <w:pPr>
        <w:pStyle w:val="BodyText"/>
      </w:pPr>
      <w:r>
        <w:rPr>
          <w:rStyle w:val="VerbatimChar"/>
        </w:rPr>
        <w:t>E7_Activité</w:t>
      </w:r>
    </w:p>
    <w:p w14:paraId="6CACE4C1" w14:textId="77777777" w:rsidR="0084489F" w:rsidRDefault="00110FE6">
      <w:pPr>
        <w:pStyle w:val="BodyText"/>
      </w:pPr>
      <w:r>
        <w:rPr>
          <w:rStyle w:val="VerbatimChar"/>
        </w:rPr>
        <w:t>E63_Début_d’existence</w:t>
      </w:r>
    </w:p>
    <w:p w14:paraId="3FD0B035" w14:textId="77777777" w:rsidR="0084489F" w:rsidRDefault="00110FE6">
      <w:pPr>
        <w:pStyle w:val="BodyText"/>
      </w:pPr>
      <w:r>
        <w:rPr>
          <w:rStyle w:val="VerbatimChar"/>
        </w:rPr>
        <w:t>E64_Fin_d’existence</w:t>
      </w:r>
    </w:p>
    <w:p w14:paraId="4404C7FB" w14:textId="77777777" w:rsidR="0084489F" w:rsidRDefault="00110FE6">
      <w:pPr>
        <w:pStyle w:val="BodyText"/>
      </w:pPr>
      <w:r>
        <w:rPr>
          <w:b/>
          <w:bCs/>
        </w:rPr>
        <w:t>Note d’application</w:t>
      </w:r>
    </w:p>
    <w:p w14:paraId="0678C326" w14:textId="77777777" w:rsidR="0084489F" w:rsidRDefault="00110FE6">
      <w:pPr>
        <w:pStyle w:val="BodyText"/>
      </w:pPr>
      <w:r>
        <w:t xml:space="preserve">Cette classe comprend les processus et interactions distincts, délimités, cohérents et de nature matérielle au sein de systèmes culturels, sociaux ou physiques, impliquant et affectant des instances de </w:t>
      </w:r>
      <w:r>
        <w:rPr>
          <w:rStyle w:val="VerbatimChar"/>
        </w:rPr>
        <w:t>E77_Entité_persistante</w:t>
      </w:r>
      <w:r>
        <w:t xml:space="preserve"> d'une manière caractéristique du type de processus observé. Les réunions, les naissances, les décès, les actions menant à des prises de décision, la fabrication ou l'invention d'objets, mais aussi des évènements plus vastes et complexes tels que les conférences, les élections, les constructions de châteaux ou les batailles sont des exemples typiques d'évènements.</w:t>
      </w:r>
    </w:p>
    <w:p w14:paraId="61E34FE9" w14:textId="77777777" w:rsidR="0084489F" w:rsidRDefault="00110FE6">
      <w:pPr>
        <w:pStyle w:val="BodyText"/>
      </w:pPr>
      <w:r w:rsidRPr="246FBB6F">
        <w:rPr>
          <w:lang w:val="fr-FR"/>
        </w:rPr>
        <w:t>Si la croissance continue d'un arbre est dépourvue des limites qui feraient d’elle un évènement, sa germination à partir d’une graine, elle, en est un. De la même façon, le souffle du vent n'est pas un évènement, car il n’en a ni le caractère distinct ni les délimitations; en revanche un ouragan, une inondation ou un tremblement de terre sont bien des évènements. Les processus mentaux sont considérés comme des évènements dans les cas où ils sont connectés à l'externalisation matérielle qui en résulte; par exemple, la création d'un poème ou d’une performance, ou bien le changement d’une intention devenu évident à la lumière d'actions ou de déclarations ultérieures.</w:t>
      </w:r>
    </w:p>
    <w:p w14:paraId="687D85F1" w14:textId="77777777" w:rsidR="0084489F" w:rsidRDefault="00110FE6">
      <w:pPr>
        <w:pStyle w:val="BodyText"/>
      </w:pPr>
      <w:r w:rsidRPr="246FBB6F">
        <w:rPr>
          <w:lang w:val="fr-FR"/>
        </w:rPr>
        <w:t xml:space="preserve">Les effets d'une instance de </w:t>
      </w:r>
      <w:r w:rsidRPr="246FBB6F">
        <w:rPr>
          <w:rStyle w:val="VerbatimChar"/>
          <w:lang w:val="fr-FR"/>
        </w:rPr>
        <w:t>E5_Évènement</w:t>
      </w:r>
      <w:r w:rsidRPr="246FBB6F">
        <w:rPr>
          <w:lang w:val="fr-FR"/>
        </w:rPr>
        <w:t xml:space="preserve"> ne mènent pas nécessairement à des modifications permanentes significatives des propriétés ou des relations des entités impliquées, par exemple dans le cas d'une performance non enregistrée. Bien sûr, pour qu'un évènement puisse être documenté, une preuve de son existence est nécessaire, que ce soit par des témoins, des traces ou un produit résultant de cet évènement. Si les instances de </w:t>
      </w:r>
      <w:r w:rsidRPr="246FBB6F">
        <w:rPr>
          <w:rStyle w:val="VerbatimChar"/>
          <w:lang w:val="fr-FR"/>
        </w:rPr>
        <w:t>E4_Période</w:t>
      </w:r>
      <w:r w:rsidRPr="246FBB6F">
        <w:rPr>
          <w:lang w:val="fr-FR"/>
        </w:rPr>
        <w:t xml:space="preserve"> requièrent toujours une certaine cohérence entre les phénomènes qui les constituent, les éléments constitutifs d'instances de </w:t>
      </w:r>
      <w:r w:rsidRPr="246FBB6F">
        <w:rPr>
          <w:rStyle w:val="VerbatimChar"/>
          <w:lang w:val="fr-FR"/>
        </w:rPr>
        <w:t>E5_Évènement</w:t>
      </w:r>
      <w:r w:rsidRPr="246FBB6F">
        <w:rPr>
          <w:lang w:val="fr-FR"/>
        </w:rPr>
        <w:t xml:space="preserve"> doivent de plus contribuer à un effet global; par exemple, les déclarations faites lors d'une réunion et l'écoute du public.</w:t>
      </w:r>
    </w:p>
    <w:p w14:paraId="328868C3" w14:textId="77777777" w:rsidR="0084489F" w:rsidRDefault="00110FE6">
      <w:pPr>
        <w:pStyle w:val="BodyText"/>
      </w:pPr>
      <w:r>
        <w:t xml:space="preserve">À un niveau de détail grossier, une instance de </w:t>
      </w:r>
      <w:r>
        <w:rPr>
          <w:rStyle w:val="VerbatimChar"/>
        </w:rPr>
        <w:t>E5_Évènement</w:t>
      </w:r>
      <w:r>
        <w:t xml:space="preserve"> peut paraître avoir un effet global « instantané », mais tout processus ou interaction de nature matérielle a en réalité une étendue spatio-temporelle. À un niveau plus fin, les instances de </w:t>
      </w:r>
      <w:r>
        <w:rPr>
          <w:rStyle w:val="VerbatimChar"/>
        </w:rPr>
        <w:t>E5_Évènement</w:t>
      </w:r>
      <w:r>
        <w:t xml:space="preserve"> peuvent être détaillées en phénomènes constituants et en phases distinctes au sein d'un cadre spatio-temporel, et en tant que tels, peuvent être considérés comme une période, indépendamment de l'amplitude de ces phénomènes. L'inverse n'est pas nécessairement vrai : ce ne sont pas toutes les instances de </w:t>
      </w:r>
      <w:r>
        <w:rPr>
          <w:rStyle w:val="VerbatimChar"/>
        </w:rPr>
        <w:t>E4_Période</w:t>
      </w:r>
      <w:r>
        <w:t xml:space="preserve"> qui génèrent un effet global significatif, et de ce fait, elles ne sont pas forcément des instances de </w:t>
      </w:r>
      <w:r>
        <w:rPr>
          <w:rStyle w:val="VerbatimChar"/>
        </w:rPr>
        <w:t>E5_Évènement</w:t>
      </w:r>
      <w:r>
        <w:t>.</w:t>
      </w:r>
    </w:p>
    <w:p w14:paraId="3627BE22" w14:textId="77777777" w:rsidR="0084489F" w:rsidRDefault="00110FE6">
      <w:pPr>
        <w:pStyle w:val="BodyText"/>
      </w:pPr>
      <w:r>
        <w:rPr>
          <w:b/>
          <w:bCs/>
        </w:rPr>
        <w:t>Exemples</w:t>
      </w:r>
    </w:p>
    <w:p w14:paraId="2DB5E828" w14:textId="77777777" w:rsidR="0084489F" w:rsidRDefault="00110FE6" w:rsidP="00806324">
      <w:pPr>
        <w:numPr>
          <w:ilvl w:val="0"/>
          <w:numId w:val="56"/>
        </w:numPr>
      </w:pPr>
      <w:r>
        <w:t>La naissance de Cléopâtre (</w:t>
      </w:r>
      <w:r>
        <w:rPr>
          <w:rStyle w:val="VerbatimChar"/>
        </w:rPr>
        <w:t>E67_Naissance</w:t>
      </w:r>
      <w:r>
        <w:t>) (Pomeroy, 1984)</w:t>
      </w:r>
    </w:p>
    <w:p w14:paraId="36981D26" w14:textId="77777777" w:rsidR="0084489F" w:rsidRDefault="00110FE6" w:rsidP="00806324">
      <w:pPr>
        <w:numPr>
          <w:ilvl w:val="0"/>
          <w:numId w:val="56"/>
        </w:numPr>
      </w:pPr>
      <w:r w:rsidRPr="246FBB6F">
        <w:rPr>
          <w:lang w:val="fr-FR"/>
        </w:rPr>
        <w:t>La destruction d'Herculanum par une éruption volcanique en 79 EC (</w:t>
      </w:r>
      <w:r w:rsidRPr="246FBB6F">
        <w:rPr>
          <w:rStyle w:val="VerbatimChar"/>
          <w:lang w:val="fr-FR"/>
        </w:rPr>
        <w:t>E6_Destruction</w:t>
      </w:r>
      <w:r w:rsidRPr="246FBB6F">
        <w:rPr>
          <w:lang w:val="fr-FR"/>
        </w:rPr>
        <w:t>) (Camardo, 2013)</w:t>
      </w:r>
    </w:p>
    <w:p w14:paraId="04A313C0" w14:textId="77777777" w:rsidR="0084489F" w:rsidRDefault="00110FE6" w:rsidP="00806324">
      <w:pPr>
        <w:numPr>
          <w:ilvl w:val="0"/>
          <w:numId w:val="56"/>
        </w:numPr>
      </w:pPr>
      <w:r>
        <w:t>La Seconde Guerre mondiale (</w:t>
      </w:r>
      <w:r>
        <w:rPr>
          <w:rStyle w:val="VerbatimChar"/>
        </w:rPr>
        <w:t>E7_Activité</w:t>
      </w:r>
      <w:r>
        <w:t>) (Barber, 1994)</w:t>
      </w:r>
    </w:p>
    <w:p w14:paraId="7F395129" w14:textId="77777777" w:rsidR="0084489F" w:rsidRDefault="00110FE6" w:rsidP="00806324">
      <w:pPr>
        <w:numPr>
          <w:ilvl w:val="0"/>
          <w:numId w:val="56"/>
        </w:numPr>
      </w:pPr>
      <w:r w:rsidRPr="246FBB6F">
        <w:rPr>
          <w:lang w:val="fr-FR"/>
        </w:rPr>
        <w:lastRenderedPageBreak/>
        <w:t>La bataille de Stalingrad (</w:t>
      </w:r>
      <w:r w:rsidRPr="246FBB6F">
        <w:rPr>
          <w:rStyle w:val="VerbatimChar"/>
          <w:lang w:val="fr-FR"/>
        </w:rPr>
        <w:t>E7_Activité</w:t>
      </w:r>
      <w:r w:rsidRPr="246FBB6F">
        <w:rPr>
          <w:lang w:val="fr-FR"/>
        </w:rPr>
        <w:t>) (Hoyt, 1993)</w:t>
      </w:r>
    </w:p>
    <w:p w14:paraId="54EB9CBC" w14:textId="77777777" w:rsidR="0084489F" w:rsidRDefault="00110FE6" w:rsidP="00806324">
      <w:pPr>
        <w:numPr>
          <w:ilvl w:val="0"/>
          <w:numId w:val="56"/>
        </w:numPr>
      </w:pPr>
      <w:r w:rsidRPr="246FBB6F">
        <w:rPr>
          <w:lang w:val="fr-FR"/>
        </w:rPr>
        <w:t>La Conférence de Yalta (</w:t>
      </w:r>
      <w:r w:rsidRPr="246FBB6F">
        <w:rPr>
          <w:rStyle w:val="VerbatimChar"/>
          <w:lang w:val="fr-FR"/>
        </w:rPr>
        <w:t>E7_Activité</w:t>
      </w:r>
      <w:r w:rsidRPr="246FBB6F">
        <w:rPr>
          <w:lang w:val="fr-FR"/>
        </w:rPr>
        <w:t>) (Harbutt, 2010)</w:t>
      </w:r>
    </w:p>
    <w:p w14:paraId="6DE8C876" w14:textId="77777777" w:rsidR="0084489F" w:rsidRDefault="00110FE6" w:rsidP="00806324">
      <w:pPr>
        <w:numPr>
          <w:ilvl w:val="0"/>
          <w:numId w:val="56"/>
        </w:numPr>
      </w:pPr>
      <w:r>
        <w:t>Ma fête d'anniversaire le 28/06/1995 (</w:t>
      </w:r>
      <w:r>
        <w:rPr>
          <w:rStyle w:val="VerbatimChar"/>
        </w:rPr>
        <w:t>E7_Activité</w:t>
      </w:r>
      <w:r>
        <w:t>)</w:t>
      </w:r>
    </w:p>
    <w:p w14:paraId="165F53DA" w14:textId="77777777" w:rsidR="0084489F" w:rsidRDefault="00110FE6" w:rsidP="00806324">
      <w:pPr>
        <w:numPr>
          <w:ilvl w:val="0"/>
          <w:numId w:val="56"/>
        </w:numPr>
      </w:pPr>
      <w:r>
        <w:t>La chute d'une tuile de mon toit dimanche dernier (fictif)</w:t>
      </w:r>
    </w:p>
    <w:p w14:paraId="622084C5" w14:textId="77777777" w:rsidR="0084489F" w:rsidRDefault="00110FE6" w:rsidP="00806324">
      <w:pPr>
        <w:numPr>
          <w:ilvl w:val="0"/>
          <w:numId w:val="56"/>
        </w:numPr>
      </w:pPr>
      <w:r>
        <w:t>La Conférence CIDOC 2003 (</w:t>
      </w:r>
      <w:r>
        <w:rPr>
          <w:rStyle w:val="VerbatimChar"/>
        </w:rPr>
        <w:t>E7_Activité</w:t>
      </w:r>
      <w:r>
        <w:t>)</w:t>
      </w:r>
    </w:p>
    <w:p w14:paraId="14926AB6" w14:textId="77777777" w:rsidR="0084489F" w:rsidRDefault="00110FE6">
      <w:pPr>
        <w:pStyle w:val="FirstParagraph"/>
      </w:pPr>
      <w:r>
        <w:rPr>
          <w:b/>
          <w:bCs/>
        </w:rPr>
        <w:t>Logique</w:t>
      </w:r>
    </w:p>
    <w:p w14:paraId="5014863B" w14:textId="77777777" w:rsidR="0084489F" w:rsidRDefault="00110FE6">
      <w:pPr>
        <w:pStyle w:val="BodyText"/>
      </w:pPr>
      <w:r>
        <w:t>E5(x) ⇒ E4(x)</w:t>
      </w:r>
    </w:p>
    <w:p w14:paraId="3E6E7587" w14:textId="77777777" w:rsidR="0084489F" w:rsidRDefault="00110FE6">
      <w:pPr>
        <w:pStyle w:val="BodyText"/>
      </w:pPr>
      <w:r>
        <w:rPr>
          <w:b/>
          <w:bCs/>
        </w:rPr>
        <w:t>Propriétés</w:t>
      </w:r>
    </w:p>
    <w:p w14:paraId="2E9F8BB1" w14:textId="77777777" w:rsidR="0084489F" w:rsidRDefault="00110FE6">
      <w:pPr>
        <w:pStyle w:val="BodyText"/>
      </w:pPr>
      <w:r w:rsidRPr="246FBB6F">
        <w:rPr>
          <w:rStyle w:val="VerbatimChar"/>
          <w:lang w:val="fr-FR"/>
        </w:rPr>
        <w:t>P11_a eu_pour_actant_participant (a_participé_à)</w:t>
      </w:r>
      <w:r w:rsidRPr="246FBB6F">
        <w:rPr>
          <w:lang w:val="fr-FR"/>
        </w:rPr>
        <w:t xml:space="preserve"> : </w:t>
      </w:r>
      <w:r w:rsidRPr="246FBB6F">
        <w:rPr>
          <w:rStyle w:val="VerbatimChar"/>
          <w:lang w:val="fr-FR"/>
        </w:rPr>
        <w:t>E39_Actant</w:t>
      </w:r>
    </w:p>
    <w:p w14:paraId="39BEE25D" w14:textId="77777777" w:rsidR="0084489F" w:rsidRDefault="00110FE6">
      <w:pPr>
        <w:pStyle w:val="BodyText"/>
      </w:pPr>
      <w:r w:rsidRPr="246FBB6F">
        <w:rPr>
          <w:rStyle w:val="VerbatimChar"/>
          <w:lang w:val="fr-FR"/>
        </w:rPr>
        <w:t>P12_a_eu_lieu_en_présence_de (a_été_présent_à)</w:t>
      </w:r>
      <w:r w:rsidRPr="246FBB6F">
        <w:rPr>
          <w:lang w:val="fr-FR"/>
        </w:rPr>
        <w:t xml:space="preserve"> : </w:t>
      </w:r>
      <w:r w:rsidRPr="246FBB6F">
        <w:rPr>
          <w:rStyle w:val="VerbatimChar"/>
          <w:lang w:val="fr-FR"/>
        </w:rPr>
        <w:t>E77_Entité_persistante</w:t>
      </w:r>
    </w:p>
    <w:p w14:paraId="6AFED430" w14:textId="77777777" w:rsidR="0084489F" w:rsidRDefault="00110FE6">
      <w:pPr>
        <w:pStyle w:val="BlockText"/>
      </w:pPr>
      <w:r>
        <w:rPr>
          <w:b/>
          <w:bCs/>
          <w:i/>
          <w:iCs/>
        </w:rPr>
        <w:t>Note de traduction</w:t>
      </w:r>
    </w:p>
    <w:p w14:paraId="4D1F1D70" w14:textId="77777777" w:rsidR="0084489F" w:rsidRDefault="00110FE6">
      <w:pPr>
        <w:pStyle w:val="BlockText"/>
      </w:pPr>
      <w:r w:rsidRPr="246FBB6F">
        <w:rPr>
          <w:lang w:val="fr-FR"/>
        </w:rPr>
        <w:t>Le terme « processes » est traduit par « processus » de préférence à « procédé » : « En résumé, un procédé, c’est une méthode employée pour obtenir le résultat recherché, un processus, c’est une suite d’opérations, et une procédure, c’est un ensemble de règles qu’il convient d’observer pour obtenir un résultat donné. ».</w:t>
      </w:r>
    </w:p>
    <w:p w14:paraId="3DB93006" w14:textId="77777777" w:rsidR="0084489F" w:rsidRDefault="00110FE6">
      <w:pPr>
        <w:pStyle w:val="BlockText"/>
      </w:pPr>
      <w:r>
        <w:rPr>
          <w:b/>
          <w:bCs/>
          <w:i/>
          <w:iCs/>
        </w:rPr>
        <w:t>Références</w:t>
      </w:r>
    </w:p>
    <w:p w14:paraId="047423F6" w14:textId="77777777" w:rsidR="0084489F" w:rsidRDefault="00110FE6">
      <w:pPr>
        <w:pStyle w:val="BlockText"/>
      </w:pPr>
      <w:r w:rsidRPr="246FBB6F">
        <w:rPr>
          <w:lang w:val="fr-FR"/>
        </w:rPr>
        <w:t xml:space="preserve">Office québécois de la langue française. « Différence entre procédé, processus et procédure ». Dans </w:t>
      </w:r>
      <w:r w:rsidRPr="246FBB6F">
        <w:rPr>
          <w:i/>
          <w:iCs/>
          <w:lang w:val="fr-FR"/>
        </w:rPr>
        <w:t>Banque de dépannage linguistique</w:t>
      </w:r>
      <w:r w:rsidRPr="246FBB6F">
        <w:rPr>
          <w:lang w:val="fr-FR"/>
        </w:rPr>
        <w:t>. Québec, CA-QC: Office québécois de la langue française, 2022.</w:t>
      </w:r>
      <w:hyperlink r:id="rId165">
        <w:r w:rsidRPr="246FBB6F">
          <w:rPr>
            <w:rStyle w:val="Hyperlink"/>
            <w:lang w:val="fr-FR"/>
          </w:rPr>
          <w:t xml:space="preserve"> </w:t>
        </w:r>
      </w:hyperlink>
      <w:hyperlink r:id="rId166">
        <w:r w:rsidRPr="246FBB6F">
          <w:rPr>
            <w:rStyle w:val="Hyperlink"/>
            <w:lang w:val="fr-FR"/>
          </w:rPr>
          <w:t>https://vitrinelinguistique.oqlf.gouv.qc.ca/22247/le-vocabulaire/nuances-semantiques/difference-entre-procede-processus-et-procedure</w:t>
        </w:r>
      </w:hyperlink>
      <w:r w:rsidRPr="246FBB6F">
        <w:rPr>
          <w:lang w:val="fr-FR"/>
        </w:rPr>
        <w:t>.</w:t>
      </w:r>
    </w:p>
    <w:p w14:paraId="44553DE4" w14:textId="77777777" w:rsidR="00655687" w:rsidRPr="00655687" w:rsidRDefault="00655687" w:rsidP="00655687">
      <w:pPr>
        <w:pStyle w:val="BodyText"/>
      </w:pPr>
    </w:p>
    <w:p w14:paraId="7694364F" w14:textId="77777777" w:rsidR="0084489F" w:rsidRDefault="00110FE6">
      <w:pPr>
        <w:pStyle w:val="Heading2"/>
      </w:pPr>
      <w:bookmarkStart w:id="117" w:name="_Toc176864440"/>
      <w:bookmarkStart w:id="118" w:name="e6-destruction"/>
      <w:bookmarkEnd w:id="116"/>
      <w:r>
        <w:t>E6 Destruction</w:t>
      </w:r>
      <w:bookmarkEnd w:id="117"/>
    </w:p>
    <w:p w14:paraId="2EF45967" w14:textId="77777777" w:rsidR="0084489F" w:rsidRDefault="00110FE6">
      <w:pPr>
        <w:pStyle w:val="FirstParagraph"/>
      </w:pPr>
      <w:r>
        <w:rPr>
          <w:b/>
          <w:bCs/>
        </w:rPr>
        <w:t>Sous-classe de</w:t>
      </w:r>
    </w:p>
    <w:p w14:paraId="6F16A30D" w14:textId="77777777" w:rsidR="0084489F" w:rsidRDefault="00110FE6">
      <w:pPr>
        <w:pStyle w:val="BodyText"/>
      </w:pPr>
      <w:r>
        <w:rPr>
          <w:rStyle w:val="VerbatimChar"/>
        </w:rPr>
        <w:t>E64_Fin_d’existence</w:t>
      </w:r>
    </w:p>
    <w:p w14:paraId="527A135F" w14:textId="77777777" w:rsidR="0084489F" w:rsidRDefault="00110FE6">
      <w:pPr>
        <w:pStyle w:val="BodyText"/>
      </w:pPr>
      <w:r>
        <w:rPr>
          <w:b/>
          <w:bCs/>
        </w:rPr>
        <w:t>Super-classe de</w:t>
      </w:r>
    </w:p>
    <w:p w14:paraId="304601D9" w14:textId="77777777" w:rsidR="0084489F" w:rsidRDefault="00110FE6">
      <w:pPr>
        <w:pStyle w:val="BodyText"/>
      </w:pPr>
      <w:r>
        <w:rPr>
          <w:b/>
          <w:bCs/>
        </w:rPr>
        <w:t>Note d’application</w:t>
      </w:r>
    </w:p>
    <w:p w14:paraId="08C1AF9C" w14:textId="77777777" w:rsidR="0084489F" w:rsidRDefault="00110FE6">
      <w:pPr>
        <w:pStyle w:val="BodyText"/>
      </w:pPr>
      <w:r>
        <w:t xml:space="preserve">Cette classe comprend des évènements qui détruisent une ou plusieurs instances de </w:t>
      </w:r>
      <w:r>
        <w:rPr>
          <w:rStyle w:val="VerbatimChar"/>
        </w:rPr>
        <w:t>E18_Chose_matérielle</w:t>
      </w:r>
      <w:r>
        <w:t>, de sorte qu'elles perdent leur identité en tant que sujets de documentation.</w:t>
      </w:r>
    </w:p>
    <w:p w14:paraId="097ABBFB" w14:textId="77777777" w:rsidR="0084489F" w:rsidRDefault="00110FE6">
      <w:pPr>
        <w:pStyle w:val="BodyText"/>
      </w:pPr>
      <w:r>
        <w:t xml:space="preserve">Certains évènements de destruction sont intentionnels, tandis que d'autres ne dépendent pas de l'activité humaine. La destruction intentionnelle peut être documentée en classant l'évènement à la fois comme une instance de </w:t>
      </w:r>
      <w:r>
        <w:rPr>
          <w:rStyle w:val="VerbatimChar"/>
        </w:rPr>
        <w:t>E6_Destruction</w:t>
      </w:r>
      <w:r>
        <w:t xml:space="preserve"> et de </w:t>
      </w:r>
      <w:r>
        <w:rPr>
          <w:rStyle w:val="VerbatimChar"/>
        </w:rPr>
        <w:t>E7_Activité</w:t>
      </w:r>
      <w:r>
        <w:t>.</w:t>
      </w:r>
    </w:p>
    <w:p w14:paraId="448A4A86" w14:textId="77777777" w:rsidR="0084489F" w:rsidRDefault="00110FE6">
      <w:pPr>
        <w:pStyle w:val="BodyText"/>
      </w:pPr>
      <w:r>
        <w:t>La décision de documenter un objet comme détruit, transformé ou modifié est contextuelle :</w:t>
      </w:r>
    </w:p>
    <w:p w14:paraId="0859D551" w14:textId="77777777" w:rsidR="0084489F" w:rsidRDefault="00110FE6" w:rsidP="00806324">
      <w:pPr>
        <w:pStyle w:val="ListParagraph"/>
        <w:numPr>
          <w:ilvl w:val="0"/>
          <w:numId w:val="305"/>
        </w:numPr>
      </w:pPr>
      <w:r>
        <w:t xml:space="preserve">Si la matière résiduelle de la destruction n'est pas documentée, l'évènement est modélisé uniquement comme une instance de </w:t>
      </w:r>
      <w:r>
        <w:rPr>
          <w:rStyle w:val="VerbatimChar"/>
        </w:rPr>
        <w:t>E6_Destruction</w:t>
      </w:r>
      <w:r>
        <w:t>.</w:t>
      </w:r>
    </w:p>
    <w:p w14:paraId="795947B5" w14:textId="77777777" w:rsidR="0084489F" w:rsidRDefault="00110FE6" w:rsidP="00806324">
      <w:pPr>
        <w:pStyle w:val="ListParagraph"/>
        <w:numPr>
          <w:ilvl w:val="0"/>
          <w:numId w:val="305"/>
        </w:numPr>
      </w:pPr>
      <w:r>
        <w:t xml:space="preserve">Un évènement doit également être documenté en utilisant une instance de </w:t>
      </w:r>
      <w:r>
        <w:rPr>
          <w:rStyle w:val="VerbatimChar"/>
        </w:rPr>
        <w:t>E81_Transformation</w:t>
      </w:r>
      <w:r>
        <w:t xml:space="preserve"> s'il aboutit à la destruction d'un ou de plusieurs objets et à la production simultanée d'autres </w:t>
      </w:r>
      <w:r>
        <w:lastRenderedPageBreak/>
        <w:t>objets en utilisant des parties ou des matériaux de l'original. Dans ce cas, les nouveaux éléments ont des identités distinctes. La matière est préservée, mais l'identité ne l’est pas.</w:t>
      </w:r>
    </w:p>
    <w:p w14:paraId="7120EF4D" w14:textId="77777777" w:rsidR="0084489F" w:rsidRDefault="00110FE6" w:rsidP="00806324">
      <w:pPr>
        <w:pStyle w:val="ListParagraph"/>
        <w:numPr>
          <w:ilvl w:val="0"/>
          <w:numId w:val="305"/>
        </w:numPr>
      </w:pPr>
      <w:r>
        <w:t xml:space="preserve">Lorsque l'identité initiale de l'instance modifiée de </w:t>
      </w:r>
      <w:r>
        <w:rPr>
          <w:rStyle w:val="VerbatimChar"/>
        </w:rPr>
        <w:t>E18_Chose_matérielle</w:t>
      </w:r>
      <w:r>
        <w:t xml:space="preserve"> est préservée, l'évènement doit être documenté en tant qu'instance de </w:t>
      </w:r>
      <w:r>
        <w:rPr>
          <w:rStyle w:val="VerbatimChar"/>
        </w:rPr>
        <w:t>E11_Modification</w:t>
      </w:r>
      <w:r>
        <w:t>.</w:t>
      </w:r>
    </w:p>
    <w:p w14:paraId="17894341" w14:textId="77777777" w:rsidR="0084489F" w:rsidRDefault="00110FE6">
      <w:pPr>
        <w:pStyle w:val="FirstParagraph"/>
      </w:pPr>
      <w:r>
        <w:rPr>
          <w:b/>
          <w:bCs/>
        </w:rPr>
        <w:t>Exemples</w:t>
      </w:r>
    </w:p>
    <w:p w14:paraId="07E5C5D8" w14:textId="77777777" w:rsidR="0084489F" w:rsidRDefault="00110FE6" w:rsidP="00806324">
      <w:pPr>
        <w:numPr>
          <w:ilvl w:val="0"/>
          <w:numId w:val="57"/>
        </w:numPr>
      </w:pPr>
      <w:r w:rsidRPr="246FBB6F">
        <w:rPr>
          <w:lang w:val="fr-FR"/>
        </w:rPr>
        <w:t>La destruction d'Herculanum par une éruption volcanique en 79 EC (</w:t>
      </w:r>
      <w:r w:rsidRPr="246FBB6F">
        <w:rPr>
          <w:rStyle w:val="VerbatimChar"/>
          <w:lang w:val="fr-FR"/>
        </w:rPr>
        <w:t>E6_Destruction</w:t>
      </w:r>
      <w:r w:rsidRPr="246FBB6F">
        <w:rPr>
          <w:lang w:val="fr-FR"/>
        </w:rPr>
        <w:t>) (Camardo, 2013)</w:t>
      </w:r>
    </w:p>
    <w:p w14:paraId="14E3AFE9" w14:textId="77777777" w:rsidR="0084489F" w:rsidRDefault="00110FE6" w:rsidP="00806324">
      <w:pPr>
        <w:numPr>
          <w:ilvl w:val="0"/>
          <w:numId w:val="57"/>
        </w:numPr>
      </w:pPr>
      <w:r>
        <w:t>La destruction de Ninive (</w:t>
      </w:r>
      <w:r>
        <w:rPr>
          <w:rStyle w:val="VerbatimChar"/>
        </w:rPr>
        <w:t>E6_Destruction</w:t>
      </w:r>
      <w:r>
        <w:t xml:space="preserve">, </w:t>
      </w:r>
      <w:r>
        <w:rPr>
          <w:rStyle w:val="VerbatimChar"/>
        </w:rPr>
        <w:t>E7_Activité</w:t>
      </w:r>
      <w:r>
        <w:t>) (River, 2016)</w:t>
      </w:r>
    </w:p>
    <w:p w14:paraId="7DE03936" w14:textId="77777777" w:rsidR="0084489F" w:rsidRDefault="00110FE6" w:rsidP="00806324">
      <w:pPr>
        <w:numPr>
          <w:ilvl w:val="0"/>
          <w:numId w:val="57"/>
        </w:numPr>
      </w:pPr>
      <w:r>
        <w:t>Le bris d'une coupe de champagne hier par mon chien (fictif)</w:t>
      </w:r>
    </w:p>
    <w:p w14:paraId="1DFFB5F8" w14:textId="77777777" w:rsidR="0084489F" w:rsidRDefault="00110FE6">
      <w:pPr>
        <w:pStyle w:val="FirstParagraph"/>
      </w:pPr>
      <w:r>
        <w:rPr>
          <w:b/>
          <w:bCs/>
        </w:rPr>
        <w:t>Logique</w:t>
      </w:r>
    </w:p>
    <w:p w14:paraId="75F4AD8D" w14:textId="77777777" w:rsidR="0084489F" w:rsidRDefault="00110FE6">
      <w:pPr>
        <w:pStyle w:val="BodyText"/>
      </w:pPr>
      <w:r>
        <w:t>E6(x) ⇒ E64(x)</w:t>
      </w:r>
    </w:p>
    <w:p w14:paraId="46B2FED8" w14:textId="77777777" w:rsidR="0084489F" w:rsidRDefault="00110FE6">
      <w:pPr>
        <w:pStyle w:val="BodyText"/>
      </w:pPr>
      <w:r>
        <w:rPr>
          <w:b/>
          <w:bCs/>
        </w:rPr>
        <w:t>Propriétés</w:t>
      </w:r>
    </w:p>
    <w:p w14:paraId="5BE791CA" w14:textId="77777777" w:rsidR="0084489F" w:rsidRDefault="00110FE6">
      <w:pPr>
        <w:pStyle w:val="BodyText"/>
      </w:pPr>
      <w:r w:rsidRPr="246FBB6F">
        <w:rPr>
          <w:rStyle w:val="VerbatimChar"/>
          <w:lang w:val="fr-FR"/>
        </w:rPr>
        <w:t>P13_a_détruit (a_été_détruit_par)</w:t>
      </w:r>
      <w:r w:rsidRPr="246FBB6F">
        <w:rPr>
          <w:lang w:val="fr-FR"/>
        </w:rPr>
        <w:t xml:space="preserve"> : </w:t>
      </w:r>
      <w:r w:rsidRPr="246FBB6F">
        <w:rPr>
          <w:rStyle w:val="VerbatimChar"/>
          <w:lang w:val="fr-FR"/>
        </w:rPr>
        <w:t>E18_Chose_matérielle</w:t>
      </w:r>
    </w:p>
    <w:p w14:paraId="5DD0CCBF" w14:textId="77777777" w:rsidR="0084489F" w:rsidRDefault="00110FE6">
      <w:pPr>
        <w:pStyle w:val="BlockText"/>
      </w:pPr>
      <w:r>
        <w:rPr>
          <w:b/>
          <w:bCs/>
          <w:i/>
          <w:iCs/>
        </w:rPr>
        <w:t>Note de traduction</w:t>
      </w:r>
    </w:p>
    <w:p w14:paraId="2E4B977A" w14:textId="77777777" w:rsidR="0084489F" w:rsidRDefault="00110FE6">
      <w:pPr>
        <w:pStyle w:val="BlockText"/>
      </w:pPr>
      <w:r>
        <w:rPr>
          <w:b/>
          <w:bCs/>
          <w:i/>
          <w:iCs/>
        </w:rPr>
        <w:t>Références</w:t>
      </w:r>
    </w:p>
    <w:p w14:paraId="24FEDFDD" w14:textId="77777777" w:rsidR="0084489F" w:rsidRDefault="0084489F">
      <w:pPr>
        <w:pStyle w:val="BlockText"/>
      </w:pPr>
    </w:p>
    <w:p w14:paraId="60DEF222" w14:textId="77777777" w:rsidR="0084489F" w:rsidRDefault="00110FE6">
      <w:pPr>
        <w:pStyle w:val="Heading2"/>
      </w:pPr>
      <w:bookmarkStart w:id="119" w:name="_Toc176864441"/>
      <w:bookmarkStart w:id="120" w:name="e7-activite"/>
      <w:bookmarkEnd w:id="118"/>
      <w:r>
        <w:t>E7 Activité</w:t>
      </w:r>
      <w:bookmarkEnd w:id="119"/>
    </w:p>
    <w:p w14:paraId="63FBDBD0" w14:textId="77777777" w:rsidR="0084489F" w:rsidRDefault="00110FE6">
      <w:pPr>
        <w:pStyle w:val="FirstParagraph"/>
      </w:pPr>
      <w:r>
        <w:rPr>
          <w:b/>
          <w:bCs/>
        </w:rPr>
        <w:t>Sous-classe de</w:t>
      </w:r>
    </w:p>
    <w:p w14:paraId="502CB61E" w14:textId="77777777" w:rsidR="0084489F" w:rsidRDefault="00110FE6">
      <w:pPr>
        <w:pStyle w:val="BodyText"/>
      </w:pPr>
      <w:r>
        <w:rPr>
          <w:rStyle w:val="VerbatimChar"/>
        </w:rPr>
        <w:t>E5_Évènement</w:t>
      </w:r>
    </w:p>
    <w:p w14:paraId="5E538AE4" w14:textId="77777777" w:rsidR="0084489F" w:rsidRDefault="00110FE6">
      <w:pPr>
        <w:pStyle w:val="BodyText"/>
      </w:pPr>
      <w:r>
        <w:rPr>
          <w:b/>
          <w:bCs/>
        </w:rPr>
        <w:t>Super-classe de</w:t>
      </w:r>
    </w:p>
    <w:p w14:paraId="46043F8B" w14:textId="77777777" w:rsidR="0084489F" w:rsidRDefault="00110FE6">
      <w:pPr>
        <w:pStyle w:val="BodyText"/>
      </w:pPr>
      <w:r>
        <w:rPr>
          <w:rStyle w:val="VerbatimChar"/>
        </w:rPr>
        <w:t>E8_Acquisition</w:t>
      </w:r>
    </w:p>
    <w:p w14:paraId="2C0694DC" w14:textId="77777777" w:rsidR="0084489F" w:rsidRDefault="00110FE6">
      <w:pPr>
        <w:pStyle w:val="BodyText"/>
      </w:pPr>
      <w:r>
        <w:rPr>
          <w:rStyle w:val="VerbatimChar"/>
        </w:rPr>
        <w:t>E9_Déplacement</w:t>
      </w:r>
    </w:p>
    <w:p w14:paraId="13897BD7" w14:textId="77777777" w:rsidR="0084489F" w:rsidRDefault="00110FE6">
      <w:pPr>
        <w:pStyle w:val="BodyText"/>
      </w:pPr>
      <w:r>
        <w:rPr>
          <w:rStyle w:val="VerbatimChar"/>
        </w:rPr>
        <w:t>E10_Transfert_de_la_garde</w:t>
      </w:r>
    </w:p>
    <w:p w14:paraId="1C609843" w14:textId="77777777" w:rsidR="0084489F" w:rsidRDefault="00110FE6">
      <w:pPr>
        <w:pStyle w:val="BodyText"/>
      </w:pPr>
      <w:r>
        <w:rPr>
          <w:rStyle w:val="VerbatimChar"/>
        </w:rPr>
        <w:t>E11_Modification</w:t>
      </w:r>
    </w:p>
    <w:p w14:paraId="40BDFBCF" w14:textId="77777777" w:rsidR="0084489F" w:rsidRDefault="00110FE6">
      <w:pPr>
        <w:pStyle w:val="BodyText"/>
      </w:pPr>
      <w:r>
        <w:rPr>
          <w:rStyle w:val="VerbatimChar"/>
        </w:rPr>
        <w:t>E13_Assignation_d'attribut</w:t>
      </w:r>
    </w:p>
    <w:p w14:paraId="53721A40" w14:textId="77777777" w:rsidR="0084489F" w:rsidRDefault="00110FE6">
      <w:pPr>
        <w:pStyle w:val="BodyText"/>
      </w:pPr>
      <w:r>
        <w:rPr>
          <w:rStyle w:val="VerbatimChar"/>
        </w:rPr>
        <w:t>E65_Création</w:t>
      </w:r>
    </w:p>
    <w:p w14:paraId="5B65F239" w14:textId="77777777" w:rsidR="0084489F" w:rsidRDefault="00110FE6">
      <w:pPr>
        <w:pStyle w:val="BodyText"/>
      </w:pPr>
      <w:r>
        <w:rPr>
          <w:rStyle w:val="VerbatimChar"/>
        </w:rPr>
        <w:t>E66_Formation</w:t>
      </w:r>
    </w:p>
    <w:p w14:paraId="710A60E7" w14:textId="77777777" w:rsidR="0084489F" w:rsidRDefault="00110FE6">
      <w:pPr>
        <w:pStyle w:val="BodyText"/>
      </w:pPr>
      <w:r>
        <w:rPr>
          <w:rStyle w:val="VerbatimChar"/>
        </w:rPr>
        <w:t>E85_Adhésion</w:t>
      </w:r>
    </w:p>
    <w:p w14:paraId="363462D9" w14:textId="77777777" w:rsidR="0084489F" w:rsidRDefault="00110FE6">
      <w:pPr>
        <w:pStyle w:val="BodyText"/>
      </w:pPr>
      <w:r>
        <w:rPr>
          <w:rStyle w:val="VerbatimChar"/>
        </w:rPr>
        <w:t>E86_Départ</w:t>
      </w:r>
    </w:p>
    <w:p w14:paraId="12C0EC16" w14:textId="77777777" w:rsidR="0084489F" w:rsidRDefault="00110FE6">
      <w:pPr>
        <w:pStyle w:val="BodyText"/>
      </w:pPr>
      <w:r>
        <w:rPr>
          <w:rStyle w:val="VerbatimChar"/>
        </w:rPr>
        <w:t>E87_Activité_curatoriale</w:t>
      </w:r>
    </w:p>
    <w:p w14:paraId="0E2DC5E3" w14:textId="77777777" w:rsidR="0084489F" w:rsidRDefault="00110FE6">
      <w:pPr>
        <w:pStyle w:val="BodyText"/>
      </w:pPr>
      <w:r>
        <w:rPr>
          <w:b/>
          <w:bCs/>
        </w:rPr>
        <w:t>Note d’application</w:t>
      </w:r>
    </w:p>
    <w:p w14:paraId="0D0D4A4B" w14:textId="77777777" w:rsidR="0084489F" w:rsidRDefault="00110FE6">
      <w:pPr>
        <w:pStyle w:val="BodyText"/>
      </w:pPr>
      <w:r>
        <w:t xml:space="preserve">Cette classe comprend les actions effectuées intentionnellement par des instances de </w:t>
      </w:r>
      <w:r>
        <w:rPr>
          <w:rStyle w:val="VerbatimChar"/>
        </w:rPr>
        <w:t>E39_Actant</w:t>
      </w:r>
      <w:r>
        <w:t xml:space="preserve"> qui ont pour résultat un changement d’état dans les systèmes culturels, sociaux ou physiques documentés.</w:t>
      </w:r>
    </w:p>
    <w:p w14:paraId="51E7D4E5" w14:textId="77777777" w:rsidR="0084489F" w:rsidRDefault="00110FE6">
      <w:pPr>
        <w:pStyle w:val="BodyText"/>
      </w:pPr>
      <w:r>
        <w:lastRenderedPageBreak/>
        <w:t>Cette notion inclut des actions complexes, composées et de longue durée telles que la mise en place d’une occupation ou une guerre, de même que des actions simples et éphémères telles que l’ouverture d’une porte.</w:t>
      </w:r>
    </w:p>
    <w:p w14:paraId="45DF3121" w14:textId="77777777" w:rsidR="0084489F" w:rsidRDefault="00110FE6">
      <w:pPr>
        <w:pStyle w:val="BodyText"/>
      </w:pPr>
      <w:r>
        <w:rPr>
          <w:b/>
          <w:bCs/>
        </w:rPr>
        <w:t>Exemples</w:t>
      </w:r>
    </w:p>
    <w:p w14:paraId="1E6C93F6" w14:textId="77777777" w:rsidR="0084489F" w:rsidRDefault="00110FE6" w:rsidP="00806324">
      <w:pPr>
        <w:numPr>
          <w:ilvl w:val="0"/>
          <w:numId w:val="58"/>
        </w:numPr>
      </w:pPr>
      <w:r w:rsidRPr="246FBB6F">
        <w:rPr>
          <w:lang w:val="fr-FR"/>
        </w:rPr>
        <w:t>La bataille de Stalingrad (Hoyt, 1993)</w:t>
      </w:r>
    </w:p>
    <w:p w14:paraId="4674F718" w14:textId="77777777" w:rsidR="0084489F" w:rsidRDefault="00110FE6" w:rsidP="00806324">
      <w:pPr>
        <w:numPr>
          <w:ilvl w:val="0"/>
          <w:numId w:val="58"/>
        </w:numPr>
      </w:pPr>
      <w:r w:rsidRPr="246FBB6F">
        <w:rPr>
          <w:lang w:val="fr-FR"/>
        </w:rPr>
        <w:t>La Conférence de Yalta (Harbutt 2010)</w:t>
      </w:r>
    </w:p>
    <w:p w14:paraId="10382C70" w14:textId="77777777" w:rsidR="0084489F" w:rsidRDefault="00110FE6" w:rsidP="00806324">
      <w:pPr>
        <w:numPr>
          <w:ilvl w:val="0"/>
          <w:numId w:val="58"/>
        </w:numPr>
      </w:pPr>
      <w:r>
        <w:t>Ma fête d'anniversaire le 28/06/1995</w:t>
      </w:r>
    </w:p>
    <w:p w14:paraId="560D7A8F" w14:textId="77777777" w:rsidR="0084489F" w:rsidRDefault="00110FE6" w:rsidP="00806324">
      <w:pPr>
        <w:numPr>
          <w:ilvl w:val="0"/>
          <w:numId w:val="58"/>
        </w:numPr>
      </w:pPr>
      <w:r w:rsidRPr="246FBB6F">
        <w:rPr>
          <w:lang w:val="fr-FR"/>
        </w:rPr>
        <w:t xml:space="preserve">L’écriture de </w:t>
      </w:r>
      <w:r w:rsidRPr="246FBB6F">
        <w:rPr>
          <w:i/>
          <w:iCs/>
          <w:lang w:val="fr-FR"/>
        </w:rPr>
        <w:t>Faust</w:t>
      </w:r>
      <w:r w:rsidRPr="246FBB6F">
        <w:rPr>
          <w:lang w:val="fr-FR"/>
        </w:rPr>
        <w:t xml:space="preserve"> par Gœthe (</w:t>
      </w:r>
      <w:r w:rsidRPr="246FBB6F">
        <w:rPr>
          <w:rStyle w:val="VerbatimChar"/>
          <w:lang w:val="fr-FR"/>
        </w:rPr>
        <w:t>E65_Création</w:t>
      </w:r>
      <w:r w:rsidRPr="246FBB6F">
        <w:rPr>
          <w:lang w:val="fr-FR"/>
        </w:rPr>
        <w:t>) (Williams, 2020)</w:t>
      </w:r>
    </w:p>
    <w:p w14:paraId="5E23B0CA" w14:textId="77777777" w:rsidR="0084489F" w:rsidRDefault="00110FE6" w:rsidP="00806324">
      <w:pPr>
        <w:numPr>
          <w:ilvl w:val="0"/>
          <w:numId w:val="58"/>
        </w:numPr>
      </w:pPr>
      <w:r w:rsidRPr="246FBB6F">
        <w:rPr>
          <w:lang w:val="fr-FR"/>
        </w:rPr>
        <w:t>La fondation du Bauhaus en 1919 (</w:t>
      </w:r>
      <w:r w:rsidRPr="246FBB6F">
        <w:rPr>
          <w:rStyle w:val="VerbatimChar"/>
          <w:lang w:val="fr-FR"/>
        </w:rPr>
        <w:t>E66_Formation</w:t>
      </w:r>
      <w:r w:rsidRPr="246FBB6F">
        <w:rPr>
          <w:lang w:val="fr-FR"/>
        </w:rPr>
        <w:t>) (Droste, 2006)</w:t>
      </w:r>
    </w:p>
    <w:p w14:paraId="1A42245B" w14:textId="77777777" w:rsidR="0084489F" w:rsidRDefault="00110FE6" w:rsidP="00806324">
      <w:pPr>
        <w:numPr>
          <w:ilvl w:val="0"/>
          <w:numId w:val="58"/>
        </w:numPr>
      </w:pPr>
      <w:r w:rsidRPr="246FBB6F">
        <w:rPr>
          <w:lang w:val="fr-FR"/>
        </w:rPr>
        <w:t>Le peuple irakien octroyant le nom « Quyunjig » au lieu dont l’identifiant est TGN « 7017998 »</w:t>
      </w:r>
    </w:p>
    <w:p w14:paraId="76796AE8" w14:textId="77777777" w:rsidR="0084489F" w:rsidRDefault="00110FE6" w:rsidP="00806324">
      <w:pPr>
        <w:numPr>
          <w:ilvl w:val="0"/>
          <w:numId w:val="58"/>
        </w:numPr>
      </w:pPr>
      <w:r>
        <w:t>Kira Weber pratiquant l’art du verre de 1984 à 1993</w:t>
      </w:r>
    </w:p>
    <w:p w14:paraId="2B073ACC" w14:textId="77777777" w:rsidR="0084489F" w:rsidRDefault="00110FE6" w:rsidP="00806324">
      <w:pPr>
        <w:numPr>
          <w:ilvl w:val="0"/>
          <w:numId w:val="58"/>
        </w:numPr>
      </w:pPr>
      <w:r>
        <w:t>Kira Weber pratiquant la peinture à l’huile et le pastel à partir de 1993</w:t>
      </w:r>
    </w:p>
    <w:p w14:paraId="4F6768F8" w14:textId="77777777" w:rsidR="0084489F" w:rsidRDefault="00110FE6">
      <w:pPr>
        <w:pStyle w:val="FirstParagraph"/>
      </w:pPr>
      <w:r>
        <w:rPr>
          <w:b/>
          <w:bCs/>
        </w:rPr>
        <w:t>Logique</w:t>
      </w:r>
    </w:p>
    <w:p w14:paraId="4D32C929" w14:textId="77777777" w:rsidR="0084489F" w:rsidRDefault="00110FE6">
      <w:pPr>
        <w:pStyle w:val="BodyText"/>
      </w:pPr>
      <w:r>
        <w:t>E7(x) ⇒ E5(x)</w:t>
      </w:r>
    </w:p>
    <w:p w14:paraId="305C0648" w14:textId="77777777" w:rsidR="0084489F" w:rsidRDefault="00110FE6">
      <w:pPr>
        <w:pStyle w:val="BodyText"/>
      </w:pPr>
      <w:r>
        <w:rPr>
          <w:b/>
          <w:bCs/>
        </w:rPr>
        <w:t>Propriétés</w:t>
      </w:r>
    </w:p>
    <w:p w14:paraId="5569D092" w14:textId="77777777" w:rsidR="0084489F" w:rsidRDefault="00110FE6">
      <w:pPr>
        <w:pStyle w:val="BodyText"/>
      </w:pPr>
      <w:r w:rsidRPr="246FBB6F">
        <w:rPr>
          <w:rStyle w:val="VerbatimChar"/>
          <w:lang w:val="fr-FR"/>
        </w:rPr>
        <w:t>P14_a_été_effectué_par (a_effectué)</w:t>
      </w:r>
      <w:r w:rsidRPr="246FBB6F">
        <w:rPr>
          <w:lang w:val="fr-FR"/>
        </w:rPr>
        <w:t xml:space="preserve"> : </w:t>
      </w:r>
      <w:r w:rsidRPr="246FBB6F">
        <w:rPr>
          <w:rStyle w:val="VerbatimChar"/>
          <w:lang w:val="fr-FR"/>
        </w:rPr>
        <w:t>E39_Actant</w:t>
      </w:r>
      <w:r w:rsidRPr="246FBB6F">
        <w:rPr>
          <w:lang w:val="fr-FR"/>
        </w:rPr>
        <w:t xml:space="preserve"> (</w:t>
      </w:r>
      <w:r w:rsidRPr="246FBB6F">
        <w:rPr>
          <w:rStyle w:val="VerbatimChar"/>
          <w:lang w:val="fr-FR"/>
        </w:rPr>
        <w:t>P14.1_dans_le_rôle_de</w:t>
      </w:r>
      <w:r w:rsidRPr="246FBB6F">
        <w:rPr>
          <w:lang w:val="fr-FR"/>
        </w:rPr>
        <w:t xml:space="preserve"> : </w:t>
      </w:r>
      <w:r w:rsidRPr="246FBB6F">
        <w:rPr>
          <w:rStyle w:val="VerbatimChar"/>
          <w:lang w:val="fr-FR"/>
        </w:rPr>
        <w:t>E55_Type</w:t>
      </w:r>
      <w:r w:rsidRPr="246FBB6F">
        <w:rPr>
          <w:lang w:val="fr-FR"/>
        </w:rPr>
        <w:t>)</w:t>
      </w:r>
    </w:p>
    <w:p w14:paraId="577357C4" w14:textId="77777777" w:rsidR="0084489F" w:rsidRDefault="00110FE6">
      <w:pPr>
        <w:pStyle w:val="BodyText"/>
      </w:pPr>
      <w:r w:rsidRPr="246FBB6F">
        <w:rPr>
          <w:rStyle w:val="VerbatimChar"/>
          <w:lang w:val="fr-FR"/>
        </w:rPr>
        <w:t>P15_a_été_influencé_par (a_influencé)</w:t>
      </w:r>
      <w:r w:rsidRPr="246FBB6F">
        <w:rPr>
          <w:lang w:val="fr-FR"/>
        </w:rPr>
        <w:t xml:space="preserve"> : </w:t>
      </w:r>
      <w:r w:rsidRPr="246FBB6F">
        <w:rPr>
          <w:rStyle w:val="VerbatimChar"/>
          <w:lang w:val="fr-FR"/>
        </w:rPr>
        <w:t>E1_Entité_CRM</w:t>
      </w:r>
    </w:p>
    <w:p w14:paraId="7EFAD52A" w14:textId="77777777" w:rsidR="0084489F" w:rsidRDefault="00110FE6">
      <w:pPr>
        <w:pStyle w:val="BodyText"/>
      </w:pPr>
      <w:r w:rsidRPr="246FBB6F">
        <w:rPr>
          <w:rStyle w:val="VerbatimChar"/>
          <w:lang w:val="fr-FR"/>
        </w:rPr>
        <w:t>P16_a_mobilisé_l’objet_spécifique (a_été_mobilisé_pour)</w:t>
      </w:r>
      <w:r w:rsidRPr="246FBB6F">
        <w:rPr>
          <w:lang w:val="fr-FR"/>
        </w:rPr>
        <w:t xml:space="preserve"> : </w:t>
      </w:r>
      <w:r w:rsidRPr="246FBB6F">
        <w:rPr>
          <w:rStyle w:val="VerbatimChar"/>
          <w:lang w:val="fr-FR"/>
        </w:rPr>
        <w:t>E70_Chose</w:t>
      </w:r>
    </w:p>
    <w:p w14:paraId="77D099BA" w14:textId="77777777" w:rsidR="0084489F" w:rsidRDefault="00110FE6">
      <w:pPr>
        <w:pStyle w:val="BodyText"/>
      </w:pPr>
      <w:r>
        <w:t>(</w:t>
      </w:r>
      <w:r>
        <w:rPr>
          <w:rStyle w:val="VerbatimChar"/>
        </w:rPr>
        <w:t>P16.1_mode_d’utilisation</w:t>
      </w:r>
      <w:r>
        <w:t xml:space="preserve"> : </w:t>
      </w:r>
      <w:r>
        <w:rPr>
          <w:rStyle w:val="VerbatimChar"/>
        </w:rPr>
        <w:t>E55_Type</w:t>
      </w:r>
      <w:r>
        <w:t>)</w:t>
      </w:r>
    </w:p>
    <w:p w14:paraId="18A65CF3" w14:textId="77777777" w:rsidR="0084489F" w:rsidRDefault="00110FE6">
      <w:pPr>
        <w:pStyle w:val="BodyText"/>
      </w:pPr>
      <w:r w:rsidRPr="246FBB6F">
        <w:rPr>
          <w:rStyle w:val="VerbatimChar"/>
          <w:lang w:val="fr-FR"/>
        </w:rPr>
        <w:t>P17_a_été_motivé_par (a_motivé)</w:t>
      </w:r>
      <w:r w:rsidRPr="246FBB6F">
        <w:rPr>
          <w:lang w:val="fr-FR"/>
        </w:rPr>
        <w:t xml:space="preserve"> : </w:t>
      </w:r>
      <w:r w:rsidRPr="246FBB6F">
        <w:rPr>
          <w:rStyle w:val="VerbatimChar"/>
          <w:lang w:val="fr-FR"/>
        </w:rPr>
        <w:t>E1_Entité_CRM</w:t>
      </w:r>
    </w:p>
    <w:p w14:paraId="41488ACD" w14:textId="77777777" w:rsidR="0084489F" w:rsidRDefault="00110FE6">
      <w:pPr>
        <w:pStyle w:val="BodyText"/>
      </w:pPr>
      <w:r w:rsidRPr="246FBB6F">
        <w:rPr>
          <w:rStyle w:val="VerbatimChar"/>
          <w:lang w:val="fr-FR"/>
        </w:rPr>
        <w:t>P19_a_été_l’usage_prévu_de (a_été_élaboré_pour)</w:t>
      </w:r>
      <w:r w:rsidRPr="246FBB6F">
        <w:rPr>
          <w:lang w:val="fr-FR"/>
        </w:rPr>
        <w:t xml:space="preserve"> : </w:t>
      </w:r>
      <w:r w:rsidRPr="246FBB6F">
        <w:rPr>
          <w:rStyle w:val="VerbatimChar"/>
          <w:lang w:val="fr-FR"/>
        </w:rPr>
        <w:t>E71_Chose_élaborée_par_l’humain</w:t>
      </w:r>
    </w:p>
    <w:p w14:paraId="1701C0FA" w14:textId="77777777" w:rsidR="0084489F" w:rsidRDefault="00110FE6">
      <w:pPr>
        <w:pStyle w:val="BodyText"/>
      </w:pPr>
      <w:r>
        <w:t>(</w:t>
      </w:r>
      <w:r>
        <w:rPr>
          <w:rStyle w:val="VerbatimChar"/>
        </w:rPr>
        <w:t>P19.1_mode_d’utilisation</w:t>
      </w:r>
      <w:r>
        <w:t xml:space="preserve"> : </w:t>
      </w:r>
      <w:r>
        <w:rPr>
          <w:rStyle w:val="VerbatimChar"/>
        </w:rPr>
        <w:t>E55_Type</w:t>
      </w:r>
      <w:r>
        <w:t>)</w:t>
      </w:r>
    </w:p>
    <w:p w14:paraId="3954FCE1" w14:textId="77777777" w:rsidR="0084489F" w:rsidRDefault="00110FE6">
      <w:pPr>
        <w:pStyle w:val="BodyText"/>
      </w:pPr>
      <w:r>
        <w:rPr>
          <w:rStyle w:val="VerbatimChar"/>
        </w:rPr>
        <w:t>P20_a_eu_pour_finalité_spécifique (a été finalité de)</w:t>
      </w:r>
      <w:r>
        <w:t xml:space="preserve"> : </w:t>
      </w:r>
      <w:r>
        <w:rPr>
          <w:rStyle w:val="VerbatimChar"/>
        </w:rPr>
        <w:t>E5_Évènement</w:t>
      </w:r>
    </w:p>
    <w:p w14:paraId="0C761736" w14:textId="77777777" w:rsidR="0084489F" w:rsidRDefault="00110FE6">
      <w:pPr>
        <w:pStyle w:val="BodyText"/>
      </w:pPr>
      <w:r w:rsidRPr="246FBB6F">
        <w:rPr>
          <w:rStyle w:val="VerbatimChar"/>
          <w:lang w:val="fr-FR"/>
        </w:rPr>
        <w:t>P21_a_eu_pour_finalité_générale (a_été_la_finalité_de)</w:t>
      </w:r>
      <w:r w:rsidRPr="246FBB6F">
        <w:rPr>
          <w:lang w:val="fr-FR"/>
        </w:rPr>
        <w:t xml:space="preserve"> : </w:t>
      </w:r>
      <w:r w:rsidRPr="246FBB6F">
        <w:rPr>
          <w:rStyle w:val="VerbatimChar"/>
          <w:lang w:val="fr-FR"/>
        </w:rPr>
        <w:t>E55_Type</w:t>
      </w:r>
    </w:p>
    <w:p w14:paraId="2965336F" w14:textId="77777777" w:rsidR="0084489F" w:rsidRDefault="00110FE6">
      <w:pPr>
        <w:pStyle w:val="BodyText"/>
      </w:pPr>
      <w:r w:rsidRPr="246FBB6F">
        <w:rPr>
          <w:rStyle w:val="VerbatimChar"/>
          <w:lang w:val="fr-FR"/>
        </w:rPr>
        <w:t>P32_a_mobilisé_comme_technique_générale (a_été_la_technique_générale_mise_en_œuvre_dans)</w:t>
      </w:r>
      <w:r w:rsidRPr="246FBB6F">
        <w:rPr>
          <w:lang w:val="fr-FR"/>
        </w:rPr>
        <w:t xml:space="preserve"> : </w:t>
      </w:r>
      <w:r w:rsidRPr="246FBB6F">
        <w:rPr>
          <w:rStyle w:val="VerbatimChar"/>
          <w:lang w:val="fr-FR"/>
        </w:rPr>
        <w:t>E55_Type</w:t>
      </w:r>
    </w:p>
    <w:p w14:paraId="2A72E15F" w14:textId="77777777" w:rsidR="0084489F" w:rsidRDefault="00110FE6">
      <w:pPr>
        <w:pStyle w:val="BodyText"/>
      </w:pPr>
      <w:r w:rsidRPr="246FBB6F">
        <w:rPr>
          <w:rStyle w:val="VerbatimChar"/>
          <w:lang w:val="fr-FR"/>
        </w:rPr>
        <w:t>P33_a_mobilisé_comme_technique_spécifique (a_été_la_technique_spécifique_mise_en_œuvre_dans)</w:t>
      </w:r>
      <w:r w:rsidRPr="246FBB6F">
        <w:rPr>
          <w:lang w:val="fr-FR"/>
        </w:rPr>
        <w:t xml:space="preserve"> : </w:t>
      </w:r>
      <w:r w:rsidRPr="246FBB6F">
        <w:rPr>
          <w:rStyle w:val="VerbatimChar"/>
          <w:lang w:val="fr-FR"/>
        </w:rPr>
        <w:t>E29_Conceptualisation_ou_procédure</w:t>
      </w:r>
    </w:p>
    <w:p w14:paraId="143CCE42" w14:textId="77777777" w:rsidR="0084489F" w:rsidRDefault="00110FE6">
      <w:pPr>
        <w:pStyle w:val="BodyText"/>
      </w:pPr>
      <w:r w:rsidRPr="246FBB6F">
        <w:rPr>
          <w:rStyle w:val="VerbatimChar"/>
          <w:lang w:val="fr-FR"/>
        </w:rPr>
        <w:t>P125_a_mobilisé_l'objet_du_type (a_été_le_type_d’objet_employé_pour)</w:t>
      </w:r>
      <w:r w:rsidRPr="246FBB6F">
        <w:rPr>
          <w:lang w:val="fr-FR"/>
        </w:rPr>
        <w:t xml:space="preserve"> : </w:t>
      </w:r>
      <w:r w:rsidRPr="246FBB6F">
        <w:rPr>
          <w:rStyle w:val="VerbatimChar"/>
          <w:lang w:val="fr-FR"/>
        </w:rPr>
        <w:t>E55_Type</w:t>
      </w:r>
    </w:p>
    <w:p w14:paraId="7BC17E28" w14:textId="77777777" w:rsidR="0084489F" w:rsidRDefault="00110FE6">
      <w:pPr>
        <w:pStyle w:val="BodyText"/>
      </w:pPr>
      <w:r w:rsidRPr="246FBB6F">
        <w:rPr>
          <w:rStyle w:val="VerbatimChar"/>
          <w:lang w:val="fr-FR"/>
        </w:rPr>
        <w:t>P134_a_continué (a_été_continué_par)</w:t>
      </w:r>
      <w:r w:rsidRPr="246FBB6F">
        <w:rPr>
          <w:lang w:val="fr-FR"/>
        </w:rPr>
        <w:t xml:space="preserve"> : </w:t>
      </w:r>
      <w:r w:rsidRPr="246FBB6F">
        <w:rPr>
          <w:rStyle w:val="VerbatimChar"/>
          <w:lang w:val="fr-FR"/>
        </w:rPr>
        <w:t>E7_Activité</w:t>
      </w:r>
    </w:p>
    <w:p w14:paraId="4911CFF9" w14:textId="77777777" w:rsidR="0084489F" w:rsidRDefault="00110FE6">
      <w:pPr>
        <w:pStyle w:val="BlockText"/>
      </w:pPr>
      <w:r>
        <w:rPr>
          <w:b/>
          <w:bCs/>
          <w:i/>
          <w:iCs/>
        </w:rPr>
        <w:t>Note de traduction</w:t>
      </w:r>
    </w:p>
    <w:p w14:paraId="4B645EA5" w14:textId="77777777" w:rsidR="0084489F" w:rsidRDefault="00110FE6">
      <w:pPr>
        <w:pStyle w:val="BlockText"/>
      </w:pPr>
      <w:r w:rsidRPr="246FBB6F">
        <w:rPr>
          <w:lang w:val="fr-FR"/>
        </w:rPr>
        <w:t xml:space="preserve">La traduction la plus adéquate de « custody » serait « garde » selon Termium Plus, notamment pour le domaine muséologique. Le terme « transfert » a un sens plus général que « transmission », qui est limité </w:t>
      </w:r>
      <w:r w:rsidRPr="246FBB6F">
        <w:rPr>
          <w:lang w:val="fr-FR"/>
        </w:rPr>
        <w:lastRenderedPageBreak/>
        <w:t xml:space="preserve">au domaine légal. Or, comme la note d’application de </w:t>
      </w:r>
      <w:r w:rsidRPr="246FBB6F">
        <w:rPr>
          <w:rStyle w:val="VerbatimChar"/>
          <w:lang w:val="fr-FR"/>
        </w:rPr>
        <w:t>E10_Transfert_of_Custody</w:t>
      </w:r>
      <w:r w:rsidRPr="246FBB6F">
        <w:rPr>
          <w:lang w:val="fr-FR"/>
        </w:rPr>
        <w:t xml:space="preserve"> est la possession du bien, légale ou non (p. ex. vol), le terme le « transfert » est à privilégier.</w:t>
      </w:r>
    </w:p>
    <w:p w14:paraId="648FBBF4" w14:textId="77777777" w:rsidR="0084489F" w:rsidRDefault="00110FE6">
      <w:pPr>
        <w:pStyle w:val="BlockText"/>
      </w:pPr>
      <w:r w:rsidRPr="246FBB6F">
        <w:rPr>
          <w:lang w:val="fr-FR"/>
        </w:rPr>
        <w:t>Le terme « joining » a été traduit par « adhésion », mais d’autres termes pourraient être privilégiés, comme « intégration ».</w:t>
      </w:r>
    </w:p>
    <w:p w14:paraId="792A5B93" w14:textId="77777777" w:rsidR="0084489F" w:rsidRDefault="00110FE6">
      <w:pPr>
        <w:pStyle w:val="BlockText"/>
      </w:pPr>
      <w:r>
        <w:rPr>
          <w:b/>
          <w:bCs/>
          <w:i/>
          <w:iCs/>
        </w:rPr>
        <w:t>Références</w:t>
      </w:r>
    </w:p>
    <w:p w14:paraId="690811BB" w14:textId="77777777" w:rsidR="0084489F" w:rsidRDefault="00110FE6">
      <w:pPr>
        <w:pStyle w:val="BlockText"/>
      </w:pPr>
      <w:r w:rsidRPr="246FBB6F">
        <w:rPr>
          <w:lang w:val="fr-FR"/>
        </w:rPr>
        <w:t xml:space="preserve">Termium. « custody ». Dans </w:t>
      </w:r>
      <w:r w:rsidRPr="246FBB6F">
        <w:rPr>
          <w:i/>
          <w:iCs/>
          <w:lang w:val="fr-FR"/>
        </w:rPr>
        <w:t>Termium Plus</w:t>
      </w:r>
      <w:r w:rsidRPr="246FBB6F">
        <w:rPr>
          <w:lang w:val="fr-FR"/>
        </w:rPr>
        <w:t>. Ottawa, CA-ON: Gouvernement du Canada, 2022.</w:t>
      </w:r>
      <w:hyperlink r:id="rId167" w:anchor="resultrecs">
        <w:r w:rsidRPr="246FBB6F">
          <w:rPr>
            <w:rStyle w:val="Hyperlink"/>
            <w:lang w:val="fr-FR"/>
          </w:rPr>
          <w:t xml:space="preserve"> </w:t>
        </w:r>
      </w:hyperlink>
      <w:hyperlink r:id="rId168" w:anchor="resultrecs">
        <w:r w:rsidRPr="246FBB6F">
          <w:rPr>
            <w:rStyle w:val="Hyperlink"/>
            <w:lang w:val="fr-FR"/>
          </w:rPr>
          <w:t>https://www.btb.termiumplus.gc.ca/tpv2alpha/alpha-fra.html?lang=fra&amp;i=1&amp;srchtxt=custody&amp;codom2nd_wet=1#resultrecs</w:t>
        </w:r>
      </w:hyperlink>
      <w:r w:rsidRPr="246FBB6F">
        <w:rPr>
          <w:lang w:val="fr-FR"/>
        </w:rPr>
        <w:t>.</w:t>
      </w:r>
    </w:p>
    <w:p w14:paraId="0F9D55B7" w14:textId="77777777" w:rsidR="00655687" w:rsidRPr="00655687" w:rsidRDefault="00655687" w:rsidP="00655687">
      <w:pPr>
        <w:pStyle w:val="BodyText"/>
      </w:pPr>
    </w:p>
    <w:p w14:paraId="759D3289" w14:textId="77777777" w:rsidR="0084489F" w:rsidRDefault="00110FE6">
      <w:pPr>
        <w:pStyle w:val="Heading2"/>
      </w:pPr>
      <w:bookmarkStart w:id="121" w:name="_Toc176864442"/>
      <w:bookmarkStart w:id="122" w:name="e8-acquisition"/>
      <w:bookmarkEnd w:id="120"/>
      <w:r>
        <w:t>E8 Acquisition</w:t>
      </w:r>
      <w:bookmarkEnd w:id="121"/>
    </w:p>
    <w:p w14:paraId="2AA8986C" w14:textId="77777777" w:rsidR="0084489F" w:rsidRDefault="00110FE6">
      <w:pPr>
        <w:pStyle w:val="FirstParagraph"/>
      </w:pPr>
      <w:r>
        <w:rPr>
          <w:b/>
          <w:bCs/>
        </w:rPr>
        <w:t>Sous-classe de</w:t>
      </w:r>
    </w:p>
    <w:p w14:paraId="20EC3B62" w14:textId="77777777" w:rsidR="0084489F" w:rsidRDefault="00110FE6">
      <w:pPr>
        <w:pStyle w:val="BodyText"/>
      </w:pPr>
      <w:r>
        <w:rPr>
          <w:rStyle w:val="VerbatimChar"/>
        </w:rPr>
        <w:t>E7_Activité</w:t>
      </w:r>
    </w:p>
    <w:p w14:paraId="21AED168" w14:textId="77777777" w:rsidR="0084489F" w:rsidRDefault="00110FE6">
      <w:pPr>
        <w:pStyle w:val="BodyText"/>
      </w:pPr>
      <w:r>
        <w:rPr>
          <w:b/>
          <w:bCs/>
        </w:rPr>
        <w:t>Super-classe de</w:t>
      </w:r>
    </w:p>
    <w:p w14:paraId="4AA43C1A" w14:textId="77777777" w:rsidR="0084489F" w:rsidRDefault="00110FE6">
      <w:pPr>
        <w:pStyle w:val="BodyText"/>
      </w:pPr>
      <w:r>
        <w:rPr>
          <w:rStyle w:val="VerbatimChar"/>
        </w:rPr>
        <w:t>E96_Achat</w:t>
      </w:r>
    </w:p>
    <w:p w14:paraId="19A28990" w14:textId="77777777" w:rsidR="0084489F" w:rsidRDefault="00110FE6">
      <w:pPr>
        <w:pStyle w:val="BodyText"/>
      </w:pPr>
      <w:r>
        <w:rPr>
          <w:b/>
          <w:bCs/>
        </w:rPr>
        <w:t>Note d’application</w:t>
      </w:r>
    </w:p>
    <w:p w14:paraId="0B84242B" w14:textId="77777777" w:rsidR="0084489F" w:rsidRDefault="00110FE6">
      <w:pPr>
        <w:pStyle w:val="BodyText"/>
      </w:pPr>
      <w:r>
        <w:t xml:space="preserve">Cette classe comprend les transferts de propriété légale d'une ou de plusieurs instances de </w:t>
      </w:r>
      <w:r>
        <w:rPr>
          <w:rStyle w:val="VerbatimChar"/>
        </w:rPr>
        <w:t>E39_Actant</w:t>
      </w:r>
      <w:r>
        <w:t xml:space="preserve"> à une ou plusieurs instances de </w:t>
      </w:r>
      <w:r>
        <w:rPr>
          <w:rStyle w:val="VerbatimChar"/>
        </w:rPr>
        <w:t>E39_Actant</w:t>
      </w:r>
      <w:r>
        <w:t>.</w:t>
      </w:r>
    </w:p>
    <w:p w14:paraId="676C4AB4" w14:textId="77777777" w:rsidR="0084489F" w:rsidRDefault="00110FE6">
      <w:pPr>
        <w:pStyle w:val="BodyText"/>
      </w:pPr>
      <w:r>
        <w:t xml:space="preserve">Cette classe s'applique aussi à l'établissement ou à la perte de propriété d'instances de </w:t>
      </w:r>
      <w:r>
        <w:rPr>
          <w:rStyle w:val="VerbatimChar"/>
        </w:rPr>
        <w:t>E18_Chose_matérielle</w:t>
      </w:r>
      <w:r>
        <w:t>. Cependant, elle n'implique pas de changements quant à d'autres types de droits.</w:t>
      </w:r>
    </w:p>
    <w:p w14:paraId="407AC75D" w14:textId="77777777" w:rsidR="0084489F" w:rsidRDefault="00110FE6">
      <w:pPr>
        <w:pStyle w:val="BodyText"/>
      </w:pPr>
      <w:r>
        <w:t xml:space="preserve">Le recensement du donneur et/ou du receveur de la propriété est optionnel et il est possible qu'une instance de </w:t>
      </w:r>
      <w:r>
        <w:rPr>
          <w:rStyle w:val="VerbatimChar"/>
        </w:rPr>
        <w:t>E8_Acquisition</w:t>
      </w:r>
      <w:r>
        <w:t xml:space="preserve"> n'ait pas de donneur ou pas de receveur. En fonction des circonstances, elle peut décrire :</w:t>
      </w:r>
    </w:p>
    <w:p w14:paraId="413F0ACF" w14:textId="77777777" w:rsidR="0084489F" w:rsidRDefault="00110FE6" w:rsidP="00806324">
      <w:pPr>
        <w:pStyle w:val="ListParagraph"/>
        <w:numPr>
          <w:ilvl w:val="0"/>
          <w:numId w:val="306"/>
        </w:numPr>
      </w:pPr>
      <w:r w:rsidRPr="246FBB6F">
        <w:rPr>
          <w:lang w:val="fr-FR"/>
        </w:rPr>
        <w:t>le début de la propriété;</w:t>
      </w:r>
    </w:p>
    <w:p w14:paraId="2A8E80BD" w14:textId="77777777" w:rsidR="0084489F" w:rsidRDefault="00110FE6" w:rsidP="00806324">
      <w:pPr>
        <w:pStyle w:val="ListParagraph"/>
        <w:numPr>
          <w:ilvl w:val="0"/>
          <w:numId w:val="306"/>
        </w:numPr>
      </w:pPr>
      <w:r w:rsidRPr="246FBB6F">
        <w:rPr>
          <w:lang w:val="fr-FR"/>
        </w:rPr>
        <w:t>la fin de la propriété;</w:t>
      </w:r>
    </w:p>
    <w:p w14:paraId="37EDAED3" w14:textId="77777777" w:rsidR="0084489F" w:rsidRDefault="00110FE6" w:rsidP="00806324">
      <w:pPr>
        <w:pStyle w:val="ListParagraph"/>
        <w:numPr>
          <w:ilvl w:val="0"/>
          <w:numId w:val="306"/>
        </w:numPr>
      </w:pPr>
      <w:r w:rsidRPr="246FBB6F">
        <w:rPr>
          <w:lang w:val="fr-FR"/>
        </w:rPr>
        <w:t>le transfert de la propriété;</w:t>
      </w:r>
    </w:p>
    <w:p w14:paraId="3458982A" w14:textId="77777777" w:rsidR="0084489F" w:rsidRDefault="00110FE6" w:rsidP="00806324">
      <w:pPr>
        <w:pStyle w:val="ListParagraph"/>
        <w:numPr>
          <w:ilvl w:val="0"/>
          <w:numId w:val="306"/>
        </w:numPr>
      </w:pPr>
      <w:r w:rsidRPr="246FBB6F">
        <w:rPr>
          <w:lang w:val="fr-FR"/>
        </w:rPr>
        <w:t>l'acquisition auprès d'une source inconnue;</w:t>
      </w:r>
    </w:p>
    <w:p w14:paraId="45D24FFC" w14:textId="77777777" w:rsidR="0084489F" w:rsidRDefault="00110FE6" w:rsidP="00806324">
      <w:pPr>
        <w:pStyle w:val="ListParagraph"/>
        <w:numPr>
          <w:ilvl w:val="0"/>
          <w:numId w:val="306"/>
        </w:numPr>
      </w:pPr>
      <w:r w:rsidRPr="246FBB6F">
        <w:rPr>
          <w:lang w:val="fr-FR"/>
        </w:rPr>
        <w:t>la perte du droit de propriété du fait de la destruction de ce qui en faisait l'objet.</w:t>
      </w:r>
    </w:p>
    <w:p w14:paraId="30535063" w14:textId="77777777" w:rsidR="0084489F" w:rsidRDefault="00110FE6">
      <w:pPr>
        <w:pStyle w:val="FirstParagraph"/>
      </w:pPr>
      <w:r>
        <w:t>Elle peut aussi décrire des évènements lors desquels une personne collectionnant s'approprie un droit de propriété légal du fait, par exemple, de l'annexion d'un ensemble contenant un élément ou de sa collecte sur un terrain.</w:t>
      </w:r>
    </w:p>
    <w:p w14:paraId="073FB7A4" w14:textId="77777777" w:rsidR="0084489F" w:rsidRDefault="00110FE6">
      <w:pPr>
        <w:pStyle w:val="BodyText"/>
      </w:pPr>
      <w:r>
        <w:t>L'interprétation de la notion muséale d'accession diffère d'une institution à l'autre, ce qui explique pourquoi le CIDOC CRM modélise différemment la propriété légale (</w:t>
      </w:r>
      <w:r>
        <w:rPr>
          <w:rStyle w:val="VerbatimChar"/>
        </w:rPr>
        <w:t>E8_Acquisition</w:t>
      </w:r>
      <w:r>
        <w:t>) et la garde physique d'un élément (</w:t>
      </w:r>
      <w:r>
        <w:rPr>
          <w:rStyle w:val="VerbatimChar"/>
        </w:rPr>
        <w:t>E10_Transfert_de_la_garde</w:t>
      </w:r>
      <w:r>
        <w:t>). Ainsi, les institutions peuvent modéliser leurs notions spécifiques d'accession et d'aliénation grâce à une combinaison de ces concepts.</w:t>
      </w:r>
    </w:p>
    <w:p w14:paraId="3274C19B" w14:textId="77777777" w:rsidR="0084489F" w:rsidRDefault="00110FE6">
      <w:pPr>
        <w:pStyle w:val="BodyText"/>
      </w:pPr>
      <w:r>
        <w:rPr>
          <w:b/>
          <w:bCs/>
        </w:rPr>
        <w:t>Exemples</w:t>
      </w:r>
    </w:p>
    <w:p w14:paraId="44342589" w14:textId="77777777" w:rsidR="0084489F" w:rsidRDefault="00110FE6" w:rsidP="00806324">
      <w:pPr>
        <w:numPr>
          <w:ilvl w:val="0"/>
          <w:numId w:val="59"/>
        </w:numPr>
      </w:pPr>
      <w:r w:rsidRPr="246FBB6F">
        <w:rPr>
          <w:lang w:val="fr-FR"/>
        </w:rPr>
        <w:t>La collecte d'un requin-marteau du genre Sphyrna Rafinesque (ordre des Carcharhiniformes) par John Steinbeck et Edward Ricketts à Puerto Escondido dans le golfe du Mexique le 25 mars 1940 (Steinbeck, 2000)</w:t>
      </w:r>
    </w:p>
    <w:p w14:paraId="1F90C486" w14:textId="77777777" w:rsidR="0084489F" w:rsidRDefault="00110FE6" w:rsidP="00806324">
      <w:pPr>
        <w:numPr>
          <w:ilvl w:val="0"/>
          <w:numId w:val="59"/>
        </w:numPr>
      </w:pPr>
      <w:r>
        <w:lastRenderedPageBreak/>
        <w:t xml:space="preserve">L'acquisition de </w:t>
      </w:r>
      <w:r>
        <w:rPr>
          <w:i/>
          <w:iCs/>
        </w:rPr>
        <w:t>Saint Pierre et Saint Paul</w:t>
      </w:r>
      <w:r>
        <w:t xml:space="preserve"> du Greco par le musée d'État de l'Ermitage à Saint-Pétersbourg (</w:t>
      </w:r>
      <w:hyperlink r:id="rId169">
        <w:r>
          <w:rPr>
            <w:rStyle w:val="Hyperlink"/>
          </w:rPr>
          <w:t>https://hermitagemuseum.org/wps/portal/hermitage/digital-collection/01.+Paintings/32730</w:t>
        </w:r>
      </w:hyperlink>
      <w:r>
        <w:t>)</w:t>
      </w:r>
    </w:p>
    <w:p w14:paraId="0FD014A9" w14:textId="77777777" w:rsidR="0084489F" w:rsidRDefault="00110FE6" w:rsidP="00806324">
      <w:pPr>
        <w:numPr>
          <w:ilvl w:val="0"/>
          <w:numId w:val="59"/>
        </w:numPr>
      </w:pPr>
      <w:r w:rsidRPr="246FBB6F">
        <w:rPr>
          <w:lang w:val="fr-FR"/>
        </w:rPr>
        <w:t>La perte de mon pinson empaillé, de l'espèce Fringilla cœlebs  Linnæus, en raison de dommages infligés par des insectes l'année dernière (fictif)</w:t>
      </w:r>
    </w:p>
    <w:p w14:paraId="3CB551EA" w14:textId="77777777" w:rsidR="0084489F" w:rsidRDefault="00110FE6">
      <w:pPr>
        <w:pStyle w:val="FirstParagraph"/>
      </w:pPr>
      <w:r>
        <w:rPr>
          <w:b/>
          <w:bCs/>
        </w:rPr>
        <w:t>Logique</w:t>
      </w:r>
    </w:p>
    <w:p w14:paraId="13145288" w14:textId="77777777" w:rsidR="0084489F" w:rsidRDefault="00110FE6">
      <w:pPr>
        <w:pStyle w:val="BodyText"/>
      </w:pPr>
      <w:r>
        <w:t>E8(x) ⇒ E7(x)</w:t>
      </w:r>
    </w:p>
    <w:p w14:paraId="0DAEDAB0" w14:textId="77777777" w:rsidR="0084489F" w:rsidRDefault="00110FE6">
      <w:pPr>
        <w:pStyle w:val="BodyText"/>
      </w:pPr>
      <w:r>
        <w:rPr>
          <w:b/>
          <w:bCs/>
        </w:rPr>
        <w:t>Propriétés</w:t>
      </w:r>
    </w:p>
    <w:p w14:paraId="08085D05" w14:textId="77777777" w:rsidR="0084489F" w:rsidRDefault="00110FE6">
      <w:pPr>
        <w:pStyle w:val="BodyText"/>
      </w:pPr>
      <w:r w:rsidRPr="1B9E7434">
        <w:rPr>
          <w:rStyle w:val="VerbatimChar"/>
          <w:lang w:val="fr-FR"/>
        </w:rPr>
        <w:t>P22_a_transféré_le_titre_de_propriété_à (a_acquis_le_titre_de_propriété_par)</w:t>
      </w:r>
      <w:r w:rsidRPr="1B9E7434">
        <w:rPr>
          <w:lang w:val="fr-FR"/>
        </w:rPr>
        <w:t xml:space="preserve"> : </w:t>
      </w:r>
      <w:r w:rsidRPr="1B9E7434">
        <w:rPr>
          <w:rStyle w:val="VerbatimChar"/>
          <w:lang w:val="fr-FR"/>
        </w:rPr>
        <w:t>E39_Actant</w:t>
      </w:r>
    </w:p>
    <w:p w14:paraId="43E53C71" w14:textId="77777777" w:rsidR="0084489F" w:rsidRDefault="00110FE6">
      <w:pPr>
        <w:pStyle w:val="BodyText"/>
      </w:pPr>
      <w:r w:rsidRPr="1B9E7434">
        <w:rPr>
          <w:rStyle w:val="VerbatimChar"/>
          <w:lang w:val="fr-FR"/>
        </w:rPr>
        <w:t>P23_a_transféré_le_titre_de_propriété_de (a_cédé_le_titre_de_propriété_à)</w:t>
      </w:r>
      <w:r w:rsidRPr="1B9E7434">
        <w:rPr>
          <w:lang w:val="fr-FR"/>
        </w:rPr>
        <w:t xml:space="preserve"> : </w:t>
      </w:r>
      <w:r w:rsidRPr="1B9E7434">
        <w:rPr>
          <w:rStyle w:val="VerbatimChar"/>
          <w:lang w:val="fr-FR"/>
        </w:rPr>
        <w:t>E39_Actant</w:t>
      </w:r>
    </w:p>
    <w:p w14:paraId="4C4C9AA9" w14:textId="77777777" w:rsidR="0084489F" w:rsidRDefault="00110FE6">
      <w:pPr>
        <w:pStyle w:val="BodyText"/>
      </w:pPr>
      <w:r w:rsidRPr="1B9E7434">
        <w:rPr>
          <w:rStyle w:val="VerbatimChar"/>
          <w:lang w:val="fr-FR"/>
        </w:rPr>
        <w:t>P24_a_transféré_le_titre_de_propriété_de (a_changé_de_propriétaire_par)</w:t>
      </w:r>
      <w:r w:rsidRPr="1B9E7434">
        <w:rPr>
          <w:lang w:val="fr-FR"/>
        </w:rPr>
        <w:t xml:space="preserve"> : </w:t>
      </w:r>
      <w:r w:rsidRPr="1B9E7434">
        <w:rPr>
          <w:rStyle w:val="VerbatimChar"/>
          <w:lang w:val="fr-FR"/>
        </w:rPr>
        <w:t>E18_Chose_matérielle</w:t>
      </w:r>
    </w:p>
    <w:p w14:paraId="31D6168B" w14:textId="77777777" w:rsidR="0084489F" w:rsidRDefault="00110FE6">
      <w:pPr>
        <w:pStyle w:val="BlockText"/>
      </w:pPr>
      <w:r>
        <w:rPr>
          <w:b/>
          <w:bCs/>
          <w:i/>
          <w:iCs/>
        </w:rPr>
        <w:t>Note de traduction</w:t>
      </w:r>
    </w:p>
    <w:p w14:paraId="7D2BA178" w14:textId="77777777" w:rsidR="0084489F" w:rsidRDefault="00110FE6">
      <w:pPr>
        <w:pStyle w:val="BlockText"/>
      </w:pPr>
      <w:r>
        <w:rPr>
          <w:b/>
          <w:bCs/>
          <w:i/>
          <w:iCs/>
        </w:rPr>
        <w:t>Références</w:t>
      </w:r>
    </w:p>
    <w:p w14:paraId="0DDE63AB" w14:textId="77777777" w:rsidR="0084489F" w:rsidRDefault="0084489F">
      <w:pPr>
        <w:pStyle w:val="BlockText"/>
      </w:pPr>
    </w:p>
    <w:p w14:paraId="27A26054" w14:textId="77777777" w:rsidR="0084489F" w:rsidRDefault="00110FE6">
      <w:pPr>
        <w:pStyle w:val="Heading2"/>
      </w:pPr>
      <w:bookmarkStart w:id="123" w:name="_Toc176864443"/>
      <w:bookmarkStart w:id="124" w:name="e9-deplacement"/>
      <w:bookmarkEnd w:id="122"/>
      <w:r>
        <w:t>E9 Déplacement</w:t>
      </w:r>
      <w:bookmarkEnd w:id="123"/>
    </w:p>
    <w:p w14:paraId="1B563BC0" w14:textId="77777777" w:rsidR="0084489F" w:rsidRDefault="00110FE6">
      <w:pPr>
        <w:pStyle w:val="FirstParagraph"/>
      </w:pPr>
      <w:r>
        <w:rPr>
          <w:b/>
          <w:bCs/>
        </w:rPr>
        <w:t>Sous-classe de</w:t>
      </w:r>
    </w:p>
    <w:p w14:paraId="563F084B" w14:textId="77777777" w:rsidR="0084489F" w:rsidRDefault="00110FE6">
      <w:pPr>
        <w:pStyle w:val="BodyText"/>
      </w:pPr>
      <w:r>
        <w:rPr>
          <w:rStyle w:val="VerbatimChar"/>
        </w:rPr>
        <w:t>E7_Activité</w:t>
      </w:r>
    </w:p>
    <w:p w14:paraId="4B2E1364" w14:textId="77777777" w:rsidR="0084489F" w:rsidRDefault="00110FE6">
      <w:pPr>
        <w:pStyle w:val="BodyText"/>
      </w:pPr>
      <w:r>
        <w:rPr>
          <w:b/>
          <w:bCs/>
        </w:rPr>
        <w:t>Super-classe de</w:t>
      </w:r>
    </w:p>
    <w:p w14:paraId="41AABD9E" w14:textId="77777777" w:rsidR="0084489F" w:rsidRDefault="00110FE6">
      <w:pPr>
        <w:pStyle w:val="BodyText"/>
      </w:pPr>
      <w:r>
        <w:rPr>
          <w:b/>
          <w:bCs/>
        </w:rPr>
        <w:t>Note d’application</w:t>
      </w:r>
    </w:p>
    <w:p w14:paraId="4E392B84" w14:textId="77777777" w:rsidR="0084489F" w:rsidRDefault="00110FE6">
      <w:pPr>
        <w:pStyle w:val="BodyText"/>
      </w:pPr>
      <w:r>
        <w:t xml:space="preserve">Cette classe comprend les changements de localisation physique des instances de </w:t>
      </w:r>
      <w:r>
        <w:rPr>
          <w:rStyle w:val="VerbatimChar"/>
        </w:rPr>
        <w:t>E19_Objet_matériel</w:t>
      </w:r>
      <w:r>
        <w:t>.</w:t>
      </w:r>
    </w:p>
    <w:p w14:paraId="02474DFC" w14:textId="77777777" w:rsidR="0084489F" w:rsidRDefault="00110FE6">
      <w:pPr>
        <w:pStyle w:val="BodyText"/>
      </w:pPr>
      <w:r w:rsidRPr="246FBB6F">
        <w:rPr>
          <w:lang w:val="fr-FR"/>
        </w:rPr>
        <w:t xml:space="preserve">À noter que la classe </w:t>
      </w:r>
      <w:r w:rsidRPr="246FBB6F">
        <w:rPr>
          <w:rStyle w:val="VerbatimChar"/>
          <w:lang w:val="fr-FR"/>
        </w:rPr>
        <w:t>E9_Déplacement</w:t>
      </w:r>
      <w:r w:rsidRPr="246FBB6F">
        <w:rPr>
          <w:lang w:val="fr-FR"/>
        </w:rPr>
        <w:t xml:space="preserve"> hérite de la propriété </w:t>
      </w:r>
      <w:r w:rsidRPr="246FBB6F">
        <w:rPr>
          <w:rStyle w:val="VerbatimChar"/>
          <w:lang w:val="fr-FR"/>
        </w:rPr>
        <w:t>P7_a_eu_lieu_dans (a_été_témoin_de) </w:t>
      </w:r>
      <w:r w:rsidRPr="246FBB6F">
        <w:rPr>
          <w:lang w:val="fr-FR"/>
        </w:rPr>
        <w:t xml:space="preserve">: </w:t>
      </w:r>
      <w:r w:rsidRPr="246FBB6F">
        <w:rPr>
          <w:rStyle w:val="VerbatimChar"/>
          <w:lang w:val="fr-FR"/>
        </w:rPr>
        <w:t>E53_Lieu</w:t>
      </w:r>
      <w:r w:rsidRPr="246FBB6F">
        <w:rPr>
          <w:lang w:val="fr-FR"/>
        </w:rPr>
        <w:t xml:space="preserve">. Cette propriété doit être utilisée pour décrire la trajectoire ou la zone géographique plus large dans laquelle un déplacement a lieu, tandis que les propriétés </w:t>
      </w:r>
      <w:r w:rsidRPr="246FBB6F">
        <w:rPr>
          <w:rStyle w:val="VerbatimChar"/>
          <w:lang w:val="fr-FR"/>
        </w:rPr>
        <w:t>P26_a_déplacé_vers (a_été_la_destination_de)</w:t>
      </w:r>
      <w:r w:rsidRPr="246FBB6F">
        <w:rPr>
          <w:lang w:val="fr-FR"/>
        </w:rPr>
        <w:t xml:space="preserve"> et </w:t>
      </w:r>
      <w:r w:rsidRPr="246FBB6F">
        <w:rPr>
          <w:rStyle w:val="VerbatimChar"/>
          <w:lang w:val="fr-FR"/>
        </w:rPr>
        <w:t>P27_a_déplacé_depuis (a_été_le_point_de_départ_de)</w:t>
      </w:r>
      <w:r w:rsidRPr="246FBB6F">
        <w:rPr>
          <w:lang w:val="fr-FR"/>
        </w:rPr>
        <w:t xml:space="preserve"> décrivent uniquement les points de départ et d’arrivée. Les instances de </w:t>
      </w:r>
      <w:r w:rsidRPr="246FBB6F">
        <w:rPr>
          <w:rStyle w:val="VerbatimChar"/>
          <w:lang w:val="fr-FR"/>
        </w:rPr>
        <w:t>E9_Déplacement</w:t>
      </w:r>
      <w:r w:rsidRPr="246FBB6F">
        <w:rPr>
          <w:lang w:val="fr-FR"/>
        </w:rPr>
        <w:t xml:space="preserve"> peuvent également être documentées de telle manière qu'elles comprennent d'autres déplacements (via </w:t>
      </w:r>
      <w:r w:rsidRPr="246FBB6F">
        <w:rPr>
          <w:rStyle w:val="VerbatimChar"/>
          <w:lang w:val="fr-FR"/>
        </w:rPr>
        <w:t>P9_comprend (fait_partie_de)</w:t>
      </w:r>
      <w:r w:rsidRPr="246FBB6F">
        <w:rPr>
          <w:lang w:val="fr-FR"/>
        </w:rPr>
        <w:t>) afin de décrire des étapes intermédiaires d'une trajectoire. Dans ce cas, il faut assurer la correspondance des points de départ et d'arrivée des déplacements intermédiaires, que ce soit entre eux ou avec l'évènement global.</w:t>
      </w:r>
    </w:p>
    <w:p w14:paraId="048766A9" w14:textId="77777777" w:rsidR="0084489F" w:rsidRDefault="00110FE6">
      <w:pPr>
        <w:pStyle w:val="BodyText"/>
      </w:pPr>
      <w:r>
        <w:rPr>
          <w:b/>
          <w:bCs/>
        </w:rPr>
        <w:t>Exemples</w:t>
      </w:r>
    </w:p>
    <w:p w14:paraId="597A1805" w14:textId="77777777" w:rsidR="0084489F" w:rsidRDefault="00110FE6" w:rsidP="00806324">
      <w:pPr>
        <w:numPr>
          <w:ilvl w:val="0"/>
          <w:numId w:val="60"/>
        </w:numPr>
      </w:pPr>
      <w:r w:rsidRPr="246FBB6F">
        <w:rPr>
          <w:lang w:val="fr-FR"/>
        </w:rPr>
        <w:t>La relocalisation du pont de Londres du Royaume-Uni vers les États-Unis (Wildfang, 2005)</w:t>
      </w:r>
    </w:p>
    <w:p w14:paraId="3BF8523F" w14:textId="77777777" w:rsidR="0084489F" w:rsidRDefault="00110FE6" w:rsidP="00806324">
      <w:pPr>
        <w:numPr>
          <w:ilvl w:val="0"/>
          <w:numId w:val="60"/>
        </w:numPr>
      </w:pPr>
      <w:r>
        <w:t>Le déplacement de l’exposition « Trésors du pharaon d’or » entre le 15 septembre et le 2 novembre 2019</w:t>
      </w:r>
    </w:p>
    <w:p w14:paraId="40780EA8" w14:textId="77777777" w:rsidR="0084489F" w:rsidRDefault="00110FE6">
      <w:pPr>
        <w:pStyle w:val="FirstParagraph"/>
      </w:pPr>
      <w:r>
        <w:rPr>
          <w:b/>
          <w:bCs/>
        </w:rPr>
        <w:t>Logique</w:t>
      </w:r>
    </w:p>
    <w:p w14:paraId="58D71FB7" w14:textId="77777777" w:rsidR="0084489F" w:rsidRDefault="00110FE6">
      <w:pPr>
        <w:pStyle w:val="BodyText"/>
      </w:pPr>
      <w:r>
        <w:t>E9(x) ⇒ E7(x)</w:t>
      </w:r>
    </w:p>
    <w:p w14:paraId="4FE8A3C5" w14:textId="77777777" w:rsidR="0084489F" w:rsidRDefault="00110FE6">
      <w:pPr>
        <w:pStyle w:val="BodyText"/>
      </w:pPr>
      <w:r>
        <w:rPr>
          <w:b/>
          <w:bCs/>
        </w:rPr>
        <w:lastRenderedPageBreak/>
        <w:t>Propriétés</w:t>
      </w:r>
    </w:p>
    <w:p w14:paraId="2ADF92CF" w14:textId="77777777" w:rsidR="0084489F" w:rsidRDefault="00110FE6">
      <w:pPr>
        <w:pStyle w:val="BodyText"/>
      </w:pPr>
      <w:r w:rsidRPr="246FBB6F">
        <w:rPr>
          <w:rStyle w:val="VerbatimChar"/>
          <w:lang w:val="fr-FR"/>
        </w:rPr>
        <w:t>P25_a_déplacé (a_été_déplacé_par)</w:t>
      </w:r>
      <w:r w:rsidRPr="246FBB6F">
        <w:rPr>
          <w:lang w:val="fr-FR"/>
        </w:rPr>
        <w:t xml:space="preserve"> : </w:t>
      </w:r>
      <w:r w:rsidRPr="246FBB6F">
        <w:rPr>
          <w:rStyle w:val="VerbatimChar"/>
          <w:lang w:val="fr-FR"/>
        </w:rPr>
        <w:t>E19_Objet_matériel</w:t>
      </w:r>
    </w:p>
    <w:p w14:paraId="5E0FEBA9" w14:textId="77777777" w:rsidR="0084489F" w:rsidRDefault="00110FE6">
      <w:pPr>
        <w:pStyle w:val="BodyText"/>
      </w:pPr>
      <w:r w:rsidRPr="1B9E7434">
        <w:rPr>
          <w:rStyle w:val="VerbatimChar"/>
          <w:lang w:val="fr-FR"/>
        </w:rPr>
        <w:t>P26_a_déplacé_à (a_été_la_destination_de)</w:t>
      </w:r>
      <w:r w:rsidRPr="1B9E7434">
        <w:rPr>
          <w:lang w:val="fr-FR"/>
        </w:rPr>
        <w:t xml:space="preserve"> : </w:t>
      </w:r>
      <w:r w:rsidRPr="1B9E7434">
        <w:rPr>
          <w:rStyle w:val="VerbatimChar"/>
          <w:lang w:val="fr-FR"/>
        </w:rPr>
        <w:t>E53_Lieu</w:t>
      </w:r>
    </w:p>
    <w:p w14:paraId="23D091C8" w14:textId="77777777" w:rsidR="0084489F" w:rsidRDefault="00110FE6">
      <w:pPr>
        <w:pStyle w:val="BodyText"/>
      </w:pPr>
      <w:r w:rsidRPr="1B9E7434">
        <w:rPr>
          <w:rStyle w:val="VerbatimChar"/>
          <w:lang w:val="fr-FR"/>
        </w:rPr>
        <w:t>P27_a_déplacé_depuis (a_été_le_point_de_départ_de)</w:t>
      </w:r>
      <w:r w:rsidRPr="1B9E7434">
        <w:rPr>
          <w:lang w:val="fr-FR"/>
        </w:rPr>
        <w:t xml:space="preserve"> : </w:t>
      </w:r>
      <w:r w:rsidRPr="1B9E7434">
        <w:rPr>
          <w:rStyle w:val="VerbatimChar"/>
          <w:lang w:val="fr-FR"/>
        </w:rPr>
        <w:t>E53_Lieu</w:t>
      </w:r>
    </w:p>
    <w:p w14:paraId="137561E7" w14:textId="77777777" w:rsidR="0084489F" w:rsidRDefault="00110FE6">
      <w:pPr>
        <w:pStyle w:val="BlockText"/>
      </w:pPr>
      <w:r>
        <w:rPr>
          <w:b/>
          <w:bCs/>
          <w:i/>
          <w:iCs/>
        </w:rPr>
        <w:t>Note de traduction</w:t>
      </w:r>
    </w:p>
    <w:p w14:paraId="19398FE5" w14:textId="77777777" w:rsidR="0084489F" w:rsidRDefault="00110FE6">
      <w:pPr>
        <w:pStyle w:val="BlockText"/>
      </w:pPr>
      <w:r w:rsidRPr="1B9E7434">
        <w:rPr>
          <w:lang w:val="fr-FR"/>
        </w:rPr>
        <w:t>Dans Wikipédia, l’exposition « Tutankhamun: Treasures of the Golden Pharaoh » a été traduite en français par « Trésors du pharaon d’or ». Cette appellation a été reprise ici.</w:t>
      </w:r>
    </w:p>
    <w:p w14:paraId="505207C7" w14:textId="77777777" w:rsidR="0084489F" w:rsidRDefault="00110FE6">
      <w:pPr>
        <w:pStyle w:val="BlockText"/>
      </w:pPr>
      <w:r>
        <w:rPr>
          <w:b/>
          <w:bCs/>
          <w:i/>
          <w:iCs/>
        </w:rPr>
        <w:t>Références</w:t>
      </w:r>
    </w:p>
    <w:p w14:paraId="760130FC" w14:textId="77777777" w:rsidR="0084489F" w:rsidRDefault="00110FE6">
      <w:pPr>
        <w:pStyle w:val="BlockText"/>
      </w:pPr>
      <w:r w:rsidRPr="1B9E7434">
        <w:rPr>
          <w:lang w:val="fr-FR"/>
        </w:rPr>
        <w:t xml:space="preserve">Wikipédia. « Expositions des vestiges archéologiques provenant de la tombe de Toutânkhamon ». Dans </w:t>
      </w:r>
      <w:r w:rsidRPr="1B9E7434">
        <w:rPr>
          <w:i/>
          <w:iCs/>
          <w:lang w:val="fr-FR"/>
        </w:rPr>
        <w:t>Wikipédia</w:t>
      </w:r>
      <w:r w:rsidRPr="1B9E7434">
        <w:rPr>
          <w:lang w:val="fr-FR"/>
        </w:rPr>
        <w:t>. San Francisco, US-CA: Wikipédia, 30 janvier 2021.</w:t>
      </w:r>
      <w:hyperlink r:id="rId170">
        <w:r w:rsidRPr="1B9E7434">
          <w:rPr>
            <w:rStyle w:val="Hyperlink"/>
            <w:lang w:val="fr-FR"/>
          </w:rPr>
          <w:t xml:space="preserve"> </w:t>
        </w:r>
      </w:hyperlink>
      <w:hyperlink r:id="rId171">
        <w:r w:rsidRPr="1B9E7434">
          <w:rPr>
            <w:rStyle w:val="Hyperlink"/>
            <w:lang w:val="fr-FR"/>
          </w:rPr>
          <w:t>https://fr.wikipedia.org/w/index.php?title=Expositions_des_vestiges_arch%C3%A9ologiques_provenant_de_la_tombe_de_Tout%C3%A2nkhamon&amp;oldid=179392035</w:t>
        </w:r>
      </w:hyperlink>
      <w:r w:rsidRPr="1B9E7434">
        <w:rPr>
          <w:lang w:val="fr-FR"/>
        </w:rPr>
        <w:t>.</w:t>
      </w:r>
    </w:p>
    <w:p w14:paraId="3B1DCEAE" w14:textId="77777777" w:rsidR="00F361B3" w:rsidRPr="00F361B3" w:rsidRDefault="00F361B3" w:rsidP="00F361B3">
      <w:pPr>
        <w:pStyle w:val="BodyText"/>
      </w:pPr>
    </w:p>
    <w:p w14:paraId="26C12FA1" w14:textId="77777777" w:rsidR="0084489F" w:rsidRDefault="00110FE6">
      <w:pPr>
        <w:pStyle w:val="Heading2"/>
      </w:pPr>
      <w:bookmarkStart w:id="125" w:name="_Toc176864444"/>
      <w:bookmarkStart w:id="126" w:name="e10-transfert-de-la-garde"/>
      <w:bookmarkEnd w:id="124"/>
      <w:r>
        <w:t>E10 Transfert de la garde</w:t>
      </w:r>
      <w:bookmarkEnd w:id="125"/>
    </w:p>
    <w:p w14:paraId="5C4D0589" w14:textId="77777777" w:rsidR="0084489F" w:rsidRDefault="00110FE6">
      <w:pPr>
        <w:pStyle w:val="FirstParagraph"/>
      </w:pPr>
      <w:r>
        <w:rPr>
          <w:b/>
          <w:bCs/>
        </w:rPr>
        <w:t>Sous-classe de</w:t>
      </w:r>
    </w:p>
    <w:p w14:paraId="11DA2EA4" w14:textId="77777777" w:rsidR="0084489F" w:rsidRDefault="00110FE6">
      <w:pPr>
        <w:pStyle w:val="BodyText"/>
      </w:pPr>
      <w:r>
        <w:rPr>
          <w:rStyle w:val="VerbatimChar"/>
        </w:rPr>
        <w:t>E7_Activité</w:t>
      </w:r>
    </w:p>
    <w:p w14:paraId="7A3C0332" w14:textId="77777777" w:rsidR="0084489F" w:rsidRDefault="00110FE6">
      <w:pPr>
        <w:pStyle w:val="BodyText"/>
      </w:pPr>
      <w:r>
        <w:rPr>
          <w:b/>
          <w:bCs/>
        </w:rPr>
        <w:t>Super-classe de</w:t>
      </w:r>
    </w:p>
    <w:p w14:paraId="6B538927" w14:textId="77777777" w:rsidR="0084489F" w:rsidRDefault="00110FE6">
      <w:pPr>
        <w:pStyle w:val="BodyText"/>
      </w:pPr>
      <w:r>
        <w:rPr>
          <w:b/>
          <w:bCs/>
        </w:rPr>
        <w:t>Note d’application</w:t>
      </w:r>
    </w:p>
    <w:p w14:paraId="7EC17DE6" w14:textId="77777777" w:rsidR="0084489F" w:rsidRDefault="00110FE6">
      <w:pPr>
        <w:pStyle w:val="BodyText"/>
      </w:pPr>
      <w:r>
        <w:t xml:space="preserve">Cette classe comprend les transferts de la garde physique ou de la responsabilité légale de la garde physique d’objets. Le recensement du donneur ou du receveur est optionnel. Il est possible qu’une instance de </w:t>
      </w:r>
      <w:r>
        <w:rPr>
          <w:rStyle w:val="VerbatimChar"/>
        </w:rPr>
        <w:t>E10_Transfert_de_la_garde</w:t>
      </w:r>
      <w:r>
        <w:t xml:space="preserve"> n’ait pas de donneur ou pas de receveur.</w:t>
      </w:r>
    </w:p>
    <w:p w14:paraId="6007CD93" w14:textId="77777777" w:rsidR="0084489F" w:rsidRDefault="00110FE6">
      <w:pPr>
        <w:pStyle w:val="BodyText"/>
      </w:pPr>
      <w:r>
        <w:t>En fonction des circonstances, elle peut décrire :</w:t>
      </w:r>
    </w:p>
    <w:p w14:paraId="26666555" w14:textId="77777777" w:rsidR="0084489F" w:rsidRDefault="00110FE6" w:rsidP="00806324">
      <w:pPr>
        <w:pStyle w:val="ListParagraph"/>
        <w:numPr>
          <w:ilvl w:val="0"/>
          <w:numId w:val="307"/>
        </w:numPr>
      </w:pPr>
      <w:r w:rsidRPr="246FBB6F">
        <w:rPr>
          <w:lang w:val="fr-FR"/>
        </w:rPr>
        <w:t>le début de la garde (il n’existe pas de gardien précédent);</w:t>
      </w:r>
    </w:p>
    <w:p w14:paraId="414A3B0E" w14:textId="77777777" w:rsidR="0084489F" w:rsidRDefault="00110FE6" w:rsidP="00806324">
      <w:pPr>
        <w:pStyle w:val="ListParagraph"/>
        <w:numPr>
          <w:ilvl w:val="0"/>
          <w:numId w:val="307"/>
        </w:numPr>
      </w:pPr>
      <w:r w:rsidRPr="246FBB6F">
        <w:rPr>
          <w:lang w:val="fr-FR"/>
        </w:rPr>
        <w:t>la fin de la garde (il n’existe pas de gardien suivant);</w:t>
      </w:r>
    </w:p>
    <w:p w14:paraId="57C8655F" w14:textId="77777777" w:rsidR="0084489F" w:rsidRDefault="00110FE6" w:rsidP="00806324">
      <w:pPr>
        <w:pStyle w:val="ListParagraph"/>
        <w:numPr>
          <w:ilvl w:val="0"/>
          <w:numId w:val="307"/>
        </w:numPr>
      </w:pPr>
      <w:r w:rsidRPr="246FBB6F">
        <w:rPr>
          <w:lang w:val="fr-FR"/>
        </w:rPr>
        <w:t>le transfert de la garde (transfert d’un gardien au gardien suivant);</w:t>
      </w:r>
    </w:p>
    <w:p w14:paraId="3DE5CCD2" w14:textId="77777777" w:rsidR="0084489F" w:rsidRDefault="00110FE6" w:rsidP="00806324">
      <w:pPr>
        <w:pStyle w:val="ListParagraph"/>
        <w:numPr>
          <w:ilvl w:val="0"/>
          <w:numId w:val="307"/>
        </w:numPr>
      </w:pPr>
      <w:r w:rsidRPr="246FBB6F">
        <w:rPr>
          <w:lang w:val="fr-FR"/>
        </w:rPr>
        <w:t>la réception de la garde provenant d’une source inconnue (le gardien précédent n’est pas connu);</w:t>
      </w:r>
    </w:p>
    <w:p w14:paraId="33EF6FED" w14:textId="77777777" w:rsidR="0084489F" w:rsidRDefault="00110FE6" w:rsidP="00806324">
      <w:pPr>
        <w:pStyle w:val="ListParagraph"/>
        <w:numPr>
          <w:ilvl w:val="0"/>
          <w:numId w:val="307"/>
        </w:numPr>
      </w:pPr>
      <w:r w:rsidRPr="246FBB6F">
        <w:rPr>
          <w:lang w:val="fr-FR"/>
        </w:rPr>
        <w:t>la perte déclarée d’un objet (le gardien actuel ou suivant n’est pas connu).</w:t>
      </w:r>
    </w:p>
    <w:p w14:paraId="03A5B68F" w14:textId="77777777" w:rsidR="0084489F" w:rsidRDefault="00110FE6">
      <w:pPr>
        <w:pStyle w:val="FirstParagraph"/>
      </w:pPr>
      <w:r w:rsidRPr="246FBB6F">
        <w:rPr>
          <w:lang w:val="fr-FR"/>
        </w:rPr>
        <w:t xml:space="preserve">Dans l’éventualité où un seul type de transfert de la garde se produit, soit la responsabilité de la garde, soit la possession physique, mais pas les deux, il convient de le préciser en utilisant la propriété </w:t>
      </w:r>
      <w:r w:rsidRPr="246FBB6F">
        <w:rPr>
          <w:rStyle w:val="VerbatimChar"/>
          <w:lang w:val="fr-FR"/>
        </w:rPr>
        <w:t>P2_a_pour_type (est_le_type_de)</w:t>
      </w:r>
      <w:r w:rsidRPr="246FBB6F">
        <w:rPr>
          <w:lang w:val="fr-FR"/>
        </w:rPr>
        <w:t>.</w:t>
      </w:r>
    </w:p>
    <w:p w14:paraId="07594F2A" w14:textId="77777777" w:rsidR="0084489F" w:rsidRDefault="00110FE6">
      <w:pPr>
        <w:pStyle w:val="BodyText"/>
      </w:pPr>
      <w:r>
        <w:t xml:space="preserve">La notion de possession physique implique qu’au moins une portion représentative de l’objet se trouve dans les mains de son gardien. La manière dont on documente la possession de la portion représentative d’un objet doit définir d’une manière non ambiguë quel actant détient cette portion et quelle actant détient l’objet entier et doit être cohérent avec le critère d’identité de l’instance possédée de </w:t>
      </w:r>
      <w:r>
        <w:rPr>
          <w:rStyle w:val="VerbatimChar"/>
        </w:rPr>
        <w:t>E18_Chose_matérielle</w:t>
      </w:r>
      <w:r>
        <w:t>.</w:t>
      </w:r>
    </w:p>
    <w:p w14:paraId="083EAF1D" w14:textId="77777777" w:rsidR="0084489F" w:rsidRDefault="00110FE6">
      <w:pPr>
        <w:pStyle w:val="BodyText"/>
      </w:pPr>
      <w:r w:rsidRPr="246FBB6F">
        <w:rPr>
          <w:lang w:val="fr-FR"/>
        </w:rPr>
        <w:t>L’interprétation de la notion muséale d’« accession » diffère selon les institutions. Pour cette raison, le CIDOC CRM modélise séparément la propriété légale et la garde physique d’un objet. Les institutions peuvent ainsi modéliser leurs notions spécifiques d’accession et d’aliénation en les combinant toutes deux.</w:t>
      </w:r>
    </w:p>
    <w:p w14:paraId="67D0AF7E" w14:textId="77777777" w:rsidR="0084489F" w:rsidRDefault="00110FE6">
      <w:pPr>
        <w:pStyle w:val="BodyText"/>
      </w:pPr>
      <w:r>
        <w:lastRenderedPageBreak/>
        <w:t>Le vol est un cas spécifique de transfert illégal de la garde.</w:t>
      </w:r>
    </w:p>
    <w:p w14:paraId="4BE96B4F" w14:textId="77777777" w:rsidR="0084489F" w:rsidRDefault="00110FE6">
      <w:pPr>
        <w:pStyle w:val="BodyText"/>
      </w:pPr>
      <w:r>
        <w:rPr>
          <w:b/>
          <w:bCs/>
        </w:rPr>
        <w:t>Exemples</w:t>
      </w:r>
    </w:p>
    <w:p w14:paraId="54C69D2D" w14:textId="77777777" w:rsidR="0084489F" w:rsidRDefault="00110FE6" w:rsidP="00806324">
      <w:pPr>
        <w:numPr>
          <w:ilvl w:val="0"/>
          <w:numId w:val="61"/>
        </w:numPr>
      </w:pPr>
      <w:r w:rsidRPr="246FBB6F">
        <w:rPr>
          <w:lang w:val="fr-FR"/>
        </w:rPr>
        <w:t>La livraison d’œuvres peintes par Secure Deliveries Inc. à la National Gallery</w:t>
      </w:r>
    </w:p>
    <w:p w14:paraId="62889B44" w14:textId="77777777" w:rsidR="0084489F" w:rsidRDefault="00110FE6" w:rsidP="00806324">
      <w:pPr>
        <w:numPr>
          <w:ilvl w:val="0"/>
          <w:numId w:val="61"/>
        </w:numPr>
      </w:pPr>
      <w:r w:rsidRPr="246FBB6F">
        <w:rPr>
          <w:lang w:val="fr-FR"/>
        </w:rPr>
        <w:t xml:space="preserve">Le retour du tableau de Picasso </w:t>
      </w:r>
      <w:r w:rsidRPr="246FBB6F">
        <w:rPr>
          <w:i/>
          <w:iCs/>
          <w:lang w:val="fr-FR"/>
        </w:rPr>
        <w:t>Guernica</w:t>
      </w:r>
      <w:r w:rsidRPr="246FBB6F">
        <w:rPr>
          <w:lang w:val="fr-FR"/>
        </w:rPr>
        <w:t xml:space="preserve"> au musée du Prado à Madrid en 1981 (Chipp, 1988)</w:t>
      </w:r>
    </w:p>
    <w:p w14:paraId="2DB96A54" w14:textId="77777777" w:rsidR="0084489F" w:rsidRDefault="00110FE6" w:rsidP="00806324">
      <w:pPr>
        <w:numPr>
          <w:ilvl w:val="0"/>
          <w:numId w:val="61"/>
        </w:numPr>
      </w:pPr>
      <w:r w:rsidRPr="246FBB6F">
        <w:rPr>
          <w:lang w:val="fr-FR"/>
        </w:rPr>
        <w:t xml:space="preserve">Le transfert de la garde de l’œuvre </w:t>
      </w:r>
      <w:r w:rsidRPr="246FBB6F">
        <w:rPr>
          <w:i/>
          <w:iCs/>
          <w:lang w:val="fr-FR"/>
        </w:rPr>
        <w:t>Von der Velden ein Ufer an der See</w:t>
      </w:r>
      <w:r w:rsidRPr="246FBB6F">
        <w:rPr>
          <w:lang w:val="fr-FR"/>
        </w:rPr>
        <w:t xml:space="preserve"> de Johann Matthäus von Merian à l'hôtel des ventes Heldevier (Jacob) en vue de sa vente, vers 1716</w:t>
      </w:r>
    </w:p>
    <w:p w14:paraId="3D30DE33" w14:textId="77777777" w:rsidR="0084489F" w:rsidRDefault="00110FE6" w:rsidP="00806324">
      <w:pPr>
        <w:numPr>
          <w:ilvl w:val="0"/>
          <w:numId w:val="61"/>
        </w:numPr>
      </w:pPr>
      <w:r w:rsidRPr="246FBB6F">
        <w:rPr>
          <w:lang w:val="fr-FR"/>
        </w:rPr>
        <w:t xml:space="preserve">Le transfert de la garde de l’œuvre peinte </w:t>
      </w:r>
      <w:r w:rsidRPr="246FBB6F">
        <w:rPr>
          <w:i/>
          <w:iCs/>
          <w:lang w:val="fr-FR"/>
        </w:rPr>
        <w:t>Mrs. Fitzherbert</w:t>
      </w:r>
      <w:r w:rsidRPr="246FBB6F">
        <w:rPr>
          <w:lang w:val="fr-FR"/>
        </w:rPr>
        <w:t xml:space="preserve"> au marchand d’art Knœdler depuis [n.d.t. la maison de vente aux enchères] Parke-Bernet Galleries (New York, NY, États-Unis), vers mars 1941</w:t>
      </w:r>
    </w:p>
    <w:p w14:paraId="16C92186" w14:textId="77777777" w:rsidR="0084489F" w:rsidRDefault="00110FE6">
      <w:pPr>
        <w:pStyle w:val="FirstParagraph"/>
      </w:pPr>
      <w:r>
        <w:rPr>
          <w:b/>
          <w:bCs/>
        </w:rPr>
        <w:t>Logique</w:t>
      </w:r>
    </w:p>
    <w:p w14:paraId="3D17C0BC" w14:textId="77777777" w:rsidR="0084489F" w:rsidRDefault="00110FE6">
      <w:pPr>
        <w:pStyle w:val="BodyText"/>
      </w:pPr>
      <w:r>
        <w:t>E10(x) ⇒ E7(x)</w:t>
      </w:r>
    </w:p>
    <w:p w14:paraId="5349C8D5" w14:textId="77777777" w:rsidR="0084489F" w:rsidRDefault="00110FE6">
      <w:pPr>
        <w:pStyle w:val="BodyText"/>
      </w:pPr>
      <w:r>
        <w:rPr>
          <w:b/>
          <w:bCs/>
        </w:rPr>
        <w:t>Propriétés</w:t>
      </w:r>
    </w:p>
    <w:p w14:paraId="50AA79BB" w14:textId="77777777" w:rsidR="0084489F" w:rsidRDefault="00110FE6">
      <w:pPr>
        <w:pStyle w:val="BodyText"/>
      </w:pPr>
      <w:r w:rsidRPr="246FBB6F">
        <w:rPr>
          <w:rStyle w:val="VerbatimChar"/>
          <w:lang w:val="fr-FR"/>
        </w:rPr>
        <w:t>P28_a_mis_fin_à_la_garde_par (a_cédé_la_garde_par)</w:t>
      </w:r>
      <w:r w:rsidRPr="246FBB6F">
        <w:rPr>
          <w:lang w:val="fr-FR"/>
        </w:rPr>
        <w:t xml:space="preserve"> : </w:t>
      </w:r>
      <w:r w:rsidRPr="246FBB6F">
        <w:rPr>
          <w:rStyle w:val="VerbatimChar"/>
          <w:lang w:val="fr-FR"/>
        </w:rPr>
        <w:t>E39_Actant</w:t>
      </w:r>
    </w:p>
    <w:p w14:paraId="370CD96B" w14:textId="77777777" w:rsidR="0084489F" w:rsidRDefault="00110FE6">
      <w:pPr>
        <w:pStyle w:val="BodyText"/>
      </w:pPr>
      <w:r w:rsidRPr="246FBB6F">
        <w:rPr>
          <w:rStyle w:val="VerbatimChar"/>
          <w:lang w:val="fr-FR"/>
        </w:rPr>
        <w:t>P29_a_confié_la_garde_par (a_reçu_la_garde_par)</w:t>
      </w:r>
      <w:r w:rsidRPr="246FBB6F">
        <w:rPr>
          <w:lang w:val="fr-FR"/>
        </w:rPr>
        <w:t xml:space="preserve"> : </w:t>
      </w:r>
      <w:r w:rsidRPr="246FBB6F">
        <w:rPr>
          <w:rStyle w:val="VerbatimChar"/>
          <w:lang w:val="fr-FR"/>
        </w:rPr>
        <w:t>E39_Actant</w:t>
      </w:r>
    </w:p>
    <w:p w14:paraId="02FDB996" w14:textId="77777777" w:rsidR="0084489F" w:rsidRDefault="00110FE6">
      <w:pPr>
        <w:pStyle w:val="BodyText"/>
      </w:pPr>
      <w:r w:rsidRPr="246FBB6F">
        <w:rPr>
          <w:rStyle w:val="VerbatimChar"/>
          <w:lang w:val="fr-FR"/>
        </w:rPr>
        <w:t>P30_a_transféré_la_garde_de (a_été_l’objet_d’un_transfert_de_garde_par)</w:t>
      </w:r>
      <w:r w:rsidRPr="246FBB6F">
        <w:rPr>
          <w:lang w:val="fr-FR"/>
        </w:rPr>
        <w:t xml:space="preserve"> : </w:t>
      </w:r>
      <w:r w:rsidRPr="246FBB6F">
        <w:rPr>
          <w:rStyle w:val="VerbatimChar"/>
          <w:lang w:val="fr-FR"/>
        </w:rPr>
        <w:t>E18_Chose_matérielle</w:t>
      </w:r>
    </w:p>
    <w:p w14:paraId="5AC56F8E" w14:textId="77777777" w:rsidR="0084489F" w:rsidRDefault="00110FE6">
      <w:pPr>
        <w:pStyle w:val="BlockText"/>
      </w:pPr>
      <w:r>
        <w:rPr>
          <w:b/>
          <w:bCs/>
          <w:i/>
          <w:iCs/>
        </w:rPr>
        <w:t>Note de traduction</w:t>
      </w:r>
    </w:p>
    <w:p w14:paraId="6355800A" w14:textId="77777777" w:rsidR="0084489F" w:rsidRDefault="00110FE6">
      <w:pPr>
        <w:pStyle w:val="BlockText"/>
      </w:pPr>
      <w:r>
        <w:rPr>
          <w:b/>
          <w:bCs/>
          <w:i/>
          <w:iCs/>
        </w:rPr>
        <w:t>Références</w:t>
      </w:r>
    </w:p>
    <w:p w14:paraId="621DEE3A" w14:textId="77777777" w:rsidR="0084489F" w:rsidRDefault="0084489F">
      <w:pPr>
        <w:pStyle w:val="BlockText"/>
      </w:pPr>
    </w:p>
    <w:p w14:paraId="314904CF" w14:textId="77777777" w:rsidR="0084489F" w:rsidRDefault="00110FE6">
      <w:pPr>
        <w:pStyle w:val="Heading2"/>
      </w:pPr>
      <w:bookmarkStart w:id="127" w:name="_Toc176864445"/>
      <w:bookmarkStart w:id="128" w:name="e11-modification"/>
      <w:bookmarkEnd w:id="126"/>
      <w:r>
        <w:t>E11 Modification</w:t>
      </w:r>
      <w:bookmarkEnd w:id="127"/>
    </w:p>
    <w:p w14:paraId="594A3597" w14:textId="77777777" w:rsidR="0084489F" w:rsidRDefault="00110FE6">
      <w:pPr>
        <w:pStyle w:val="FirstParagraph"/>
      </w:pPr>
      <w:r>
        <w:rPr>
          <w:b/>
          <w:bCs/>
        </w:rPr>
        <w:t>Sous-classe de</w:t>
      </w:r>
    </w:p>
    <w:p w14:paraId="0EF6CB22" w14:textId="77777777" w:rsidR="0084489F" w:rsidRDefault="00110FE6">
      <w:pPr>
        <w:pStyle w:val="BodyText"/>
      </w:pPr>
      <w:r>
        <w:rPr>
          <w:rStyle w:val="VerbatimChar"/>
        </w:rPr>
        <w:t>E7_Activité</w:t>
      </w:r>
    </w:p>
    <w:p w14:paraId="2CDB92B2" w14:textId="77777777" w:rsidR="0084489F" w:rsidRDefault="00110FE6">
      <w:pPr>
        <w:pStyle w:val="BodyText"/>
      </w:pPr>
      <w:r>
        <w:rPr>
          <w:b/>
          <w:bCs/>
        </w:rPr>
        <w:t>Super-classe de</w:t>
      </w:r>
    </w:p>
    <w:p w14:paraId="7E978B1B" w14:textId="77777777" w:rsidR="0084489F" w:rsidRDefault="00110FE6">
      <w:pPr>
        <w:pStyle w:val="BodyText"/>
      </w:pPr>
      <w:r>
        <w:rPr>
          <w:rStyle w:val="VerbatimChar"/>
        </w:rPr>
        <w:t>E12_ProductionE79_Ajout_d’élément</w:t>
      </w:r>
    </w:p>
    <w:p w14:paraId="16C07FD9" w14:textId="77777777" w:rsidR="0084489F" w:rsidRDefault="00110FE6">
      <w:pPr>
        <w:pStyle w:val="BodyText"/>
      </w:pPr>
      <w:r>
        <w:rPr>
          <w:rStyle w:val="VerbatimChar"/>
        </w:rPr>
        <w:t>E80_Retrait_d’élément</w:t>
      </w:r>
    </w:p>
    <w:p w14:paraId="71F5772E" w14:textId="77777777" w:rsidR="0084489F" w:rsidRDefault="00110FE6">
      <w:pPr>
        <w:pStyle w:val="BodyText"/>
      </w:pPr>
      <w:r>
        <w:rPr>
          <w:b/>
          <w:bCs/>
        </w:rPr>
        <w:t>Note d’application</w:t>
      </w:r>
    </w:p>
    <w:p w14:paraId="70EA0742" w14:textId="77777777" w:rsidR="0084489F" w:rsidRDefault="00110FE6">
      <w:pPr>
        <w:pStyle w:val="BodyText"/>
      </w:pPr>
      <w:r>
        <w:t xml:space="preserve">Cette classe comprend des instances de </w:t>
      </w:r>
      <w:r>
        <w:rPr>
          <w:rStyle w:val="VerbatimChar"/>
        </w:rPr>
        <w:t>E7_Activité</w:t>
      </w:r>
      <w:r>
        <w:t xml:space="preserve"> qui sont entreprises pour créer, altérer ou changer des instances de </w:t>
      </w:r>
      <w:r>
        <w:rPr>
          <w:rStyle w:val="VerbatimChar"/>
        </w:rPr>
        <w:t>E24_Chose_matérielle_élaborée_par_l’humain</w:t>
      </w:r>
      <w:r>
        <w:t>.</w:t>
      </w:r>
    </w:p>
    <w:p w14:paraId="5D257060" w14:textId="77777777" w:rsidR="0084489F" w:rsidRDefault="00110FE6">
      <w:pPr>
        <w:pStyle w:val="BodyText"/>
      </w:pPr>
      <w:r>
        <w:t>Cette classe inclut la production d'une entité à partir de matières premières et d'autres objets jusqu'à maintenant non documentés. Elle inclut également le traitement de conservation d'un objet.</w:t>
      </w:r>
    </w:p>
    <w:p w14:paraId="00550765" w14:textId="77777777" w:rsidR="0084489F" w:rsidRDefault="00110FE6">
      <w:pPr>
        <w:pStyle w:val="BodyText"/>
      </w:pPr>
      <w:r>
        <w:t xml:space="preserve">Puisque la distinction entre une modification et une production n'est pas toujours claire, la modification est considérée comme le concept dont l'application est la plus générale. Cela implique que certaines entités peuvent être consommées ou détruites, mais aussi produites à la suite d'une instance de </w:t>
      </w:r>
      <w:r>
        <w:rPr>
          <w:rStyle w:val="VerbatimChar"/>
        </w:rPr>
        <w:t>E11_Modification</w:t>
      </w:r>
      <w:r>
        <w:t xml:space="preserve">. Un évènement doit aussi être documenté en utilisant une instance de </w:t>
      </w:r>
      <w:r>
        <w:rPr>
          <w:rStyle w:val="VerbatimChar"/>
        </w:rPr>
        <w:t>E81_Transformation</w:t>
      </w:r>
      <w:r>
        <w:t xml:space="preserve"> s'il en résulte la destruction d'un ou de plusieurs objets et la production simultanée </w:t>
      </w:r>
      <w:r>
        <w:lastRenderedPageBreak/>
        <w:t>d'autres objets issus de parties ou de matériaux provenant des originaux. Dans ce cas, les nouvelles entités ont des identités distinctes de celles des entités détruites.</w:t>
      </w:r>
    </w:p>
    <w:p w14:paraId="59094C1C" w14:textId="77777777" w:rsidR="0084489F" w:rsidRDefault="00110FE6">
      <w:pPr>
        <w:pStyle w:val="BodyText"/>
      </w:pPr>
      <w:r>
        <w:t xml:space="preserve">Une activité entreprise sur un objet en vue de l'altérer, mais qui n'a concrètement produit aucune altération significative (comme l'application d'un solvant au cours d'un traitement de conservation qui n'a permis de dissoudre aucune partie de l'objet) est quand même considérée comme une instance de </w:t>
      </w:r>
      <w:r>
        <w:rPr>
          <w:rStyle w:val="VerbatimChar"/>
        </w:rPr>
        <w:t>E11_Modification</w:t>
      </w:r>
      <w:r>
        <w:t>. Typiquement, toute activité de ce type laissera au moins des traces décelables scientifiquement sur l'objet.</w:t>
      </w:r>
    </w:p>
    <w:p w14:paraId="54B9C4A2" w14:textId="77777777" w:rsidR="0084489F" w:rsidRDefault="00110FE6">
      <w:pPr>
        <w:pStyle w:val="BodyText"/>
      </w:pPr>
      <w:r w:rsidRPr="246FBB6F">
        <w:rPr>
          <w:lang w:val="fr-FR"/>
        </w:rPr>
        <w:t xml:space="preserve">Si l'instance de </w:t>
      </w:r>
      <w:r w:rsidRPr="246FBB6F">
        <w:rPr>
          <w:rStyle w:val="VerbatimChar"/>
          <w:lang w:val="fr-FR"/>
        </w:rPr>
        <w:t>E29_Conceptualisation_ou_procédure</w:t>
      </w:r>
      <w:r w:rsidRPr="246FBB6F">
        <w:rPr>
          <w:lang w:val="fr-FR"/>
        </w:rPr>
        <w:t xml:space="preserve"> utilisée pour la modification prescrit l'utilisation de matériaux spécifiques, ils doivent être documentés en utilisant la propriété </w:t>
      </w:r>
      <w:r w:rsidRPr="246FBB6F">
        <w:rPr>
          <w:rStyle w:val="VerbatimChar"/>
          <w:lang w:val="fr-FR"/>
        </w:rPr>
        <w:t>P68_prévoit_l’usage_de (usage_prévu_de)</w:t>
      </w:r>
      <w:r w:rsidRPr="246FBB6F">
        <w:rPr>
          <w:lang w:val="fr-FR"/>
        </w:rPr>
        <w:t xml:space="preserve"> : </w:t>
      </w:r>
      <w:r w:rsidRPr="246FBB6F">
        <w:rPr>
          <w:rStyle w:val="VerbatimChar"/>
          <w:lang w:val="fr-FR"/>
        </w:rPr>
        <w:t>E57_Matériau</w:t>
      </w:r>
      <w:r w:rsidRPr="246FBB6F">
        <w:rPr>
          <w:lang w:val="fr-FR"/>
        </w:rPr>
        <w:t xml:space="preserve">, plutôt que la propriété </w:t>
      </w:r>
      <w:r w:rsidRPr="246FBB6F">
        <w:rPr>
          <w:rStyle w:val="VerbatimChar"/>
          <w:lang w:val="fr-FR"/>
        </w:rPr>
        <w:t>P126_a_employé (a_été_employé_dans)</w:t>
      </w:r>
      <w:r w:rsidRPr="246FBB6F">
        <w:rPr>
          <w:lang w:val="fr-FR"/>
        </w:rPr>
        <w:t xml:space="preserve"> : </w:t>
      </w:r>
      <w:r w:rsidRPr="246FBB6F">
        <w:rPr>
          <w:rStyle w:val="VerbatimChar"/>
          <w:lang w:val="fr-FR"/>
        </w:rPr>
        <w:t>E57_Matériau</w:t>
      </w:r>
      <w:r w:rsidRPr="246FBB6F">
        <w:rPr>
          <w:lang w:val="fr-FR"/>
        </w:rPr>
        <w:t>.</w:t>
      </w:r>
    </w:p>
    <w:p w14:paraId="75B969BE" w14:textId="77777777" w:rsidR="0084489F" w:rsidRDefault="00110FE6">
      <w:pPr>
        <w:pStyle w:val="BodyText"/>
      </w:pPr>
      <w:r>
        <w:rPr>
          <w:b/>
          <w:bCs/>
        </w:rPr>
        <w:t>Exemples</w:t>
      </w:r>
    </w:p>
    <w:p w14:paraId="651A97A1" w14:textId="5C590DA7" w:rsidR="0084489F" w:rsidRDefault="00110FE6" w:rsidP="00806324">
      <w:pPr>
        <w:numPr>
          <w:ilvl w:val="0"/>
          <w:numId w:val="62"/>
        </w:numPr>
      </w:pPr>
      <w:r w:rsidRPr="1B9E7434">
        <w:rPr>
          <w:lang w:val="fr-FR"/>
        </w:rPr>
        <w:t>La construction du SS Great Britain (</w:t>
      </w:r>
      <w:r w:rsidRPr="1B9E7434">
        <w:rPr>
          <w:rStyle w:val="VerbatimChar"/>
          <w:lang w:val="fr-FR"/>
        </w:rPr>
        <w:t>E12_Production</w:t>
      </w:r>
      <w:r w:rsidRPr="1B9E7434">
        <w:rPr>
          <w:lang w:val="fr-FR"/>
        </w:rPr>
        <w:t>) (Gregor, 1971)</w:t>
      </w:r>
    </w:p>
    <w:p w14:paraId="4837F433" w14:textId="124126F3" w:rsidR="0084489F" w:rsidRDefault="00110FE6" w:rsidP="00806324">
      <w:pPr>
        <w:numPr>
          <w:ilvl w:val="0"/>
          <w:numId w:val="62"/>
        </w:numPr>
      </w:pPr>
      <w:r w:rsidRPr="1B9E7434">
        <w:rPr>
          <w:lang w:val="fr-FR"/>
        </w:rPr>
        <w:t>L'imprégnation [n.d.t. au polyéthylène glycol] du navire de guerre Vasa à Stockholm en vue de sa conservation après 1956 (Håfors, 2010)</w:t>
      </w:r>
    </w:p>
    <w:p w14:paraId="25A013E8" w14:textId="5B51BC08" w:rsidR="0084489F" w:rsidRDefault="00110FE6" w:rsidP="00806324">
      <w:pPr>
        <w:numPr>
          <w:ilvl w:val="0"/>
          <w:numId w:val="62"/>
        </w:numPr>
      </w:pPr>
      <w:r w:rsidRPr="1B9E7434">
        <w:rPr>
          <w:lang w:val="fr-FR"/>
        </w:rPr>
        <w:t>La transformation de l'Enola Gay en une pièce muséographique par le National Air and Space Museum à Washington DC entre 1993 et 1995 (</w:t>
      </w:r>
      <w:r w:rsidRPr="1B9E7434">
        <w:rPr>
          <w:rStyle w:val="VerbatimChar"/>
          <w:lang w:val="fr-FR"/>
        </w:rPr>
        <w:t>E12_Production</w:t>
      </w:r>
      <w:r w:rsidRPr="1B9E7434">
        <w:rPr>
          <w:lang w:val="fr-FR"/>
        </w:rPr>
        <w:t xml:space="preserve">, </w:t>
      </w:r>
      <w:r w:rsidRPr="1B9E7434">
        <w:rPr>
          <w:rStyle w:val="VerbatimChar"/>
          <w:lang w:val="fr-FR"/>
        </w:rPr>
        <w:t>E81_Transformation</w:t>
      </w:r>
      <w:r w:rsidRPr="1B9E7434">
        <w:rPr>
          <w:lang w:val="fr-FR"/>
        </w:rPr>
        <w:t>) (Yakel, 2000)</w:t>
      </w:r>
    </w:p>
    <w:p w14:paraId="09287AC9" w14:textId="394FC424" w:rsidR="0084489F" w:rsidRDefault="00110FE6" w:rsidP="00806324">
      <w:pPr>
        <w:numPr>
          <w:ilvl w:val="0"/>
          <w:numId w:val="62"/>
        </w:numPr>
      </w:pPr>
      <w:r w:rsidRPr="1B9E7434">
        <w:rPr>
          <w:lang w:val="fr-FR"/>
        </w:rPr>
        <w:t>Le dernier renouvellement du revêtement en or du sanctuaire Toshogu à Nikko au Japon (Cali &amp; Dougil, 2012)</w:t>
      </w:r>
    </w:p>
    <w:p w14:paraId="70FB19C7" w14:textId="77777777" w:rsidR="0084489F" w:rsidRDefault="00110FE6">
      <w:pPr>
        <w:pStyle w:val="FirstParagraph"/>
      </w:pPr>
      <w:r>
        <w:rPr>
          <w:b/>
          <w:bCs/>
        </w:rPr>
        <w:t>Logique</w:t>
      </w:r>
    </w:p>
    <w:p w14:paraId="6C18E04D" w14:textId="77777777" w:rsidR="0084489F" w:rsidRDefault="00110FE6">
      <w:pPr>
        <w:pStyle w:val="BodyText"/>
      </w:pPr>
      <w:r>
        <w:t>E11(x) ⇒ E7(x)</w:t>
      </w:r>
    </w:p>
    <w:p w14:paraId="1161D14D" w14:textId="77777777" w:rsidR="0084489F" w:rsidRDefault="00110FE6">
      <w:pPr>
        <w:pStyle w:val="BodyText"/>
      </w:pPr>
      <w:r>
        <w:rPr>
          <w:b/>
          <w:bCs/>
        </w:rPr>
        <w:t>Propriétés</w:t>
      </w:r>
    </w:p>
    <w:p w14:paraId="70A73D07" w14:textId="77777777" w:rsidR="0084489F" w:rsidRDefault="00110FE6">
      <w:pPr>
        <w:pStyle w:val="BodyText"/>
      </w:pPr>
      <w:r w:rsidRPr="1B9E7434">
        <w:rPr>
          <w:rStyle w:val="VerbatimChar"/>
          <w:lang w:val="fr-FR"/>
        </w:rPr>
        <w:t>P31_a_modifié (a_été_modifié_par)</w:t>
      </w:r>
      <w:r w:rsidRPr="1B9E7434">
        <w:rPr>
          <w:lang w:val="fr-FR"/>
        </w:rPr>
        <w:t xml:space="preserve"> : </w:t>
      </w:r>
      <w:r w:rsidRPr="1B9E7434">
        <w:rPr>
          <w:rStyle w:val="VerbatimChar"/>
          <w:lang w:val="fr-FR"/>
        </w:rPr>
        <w:t>E18_Chose_matérielle</w:t>
      </w:r>
    </w:p>
    <w:p w14:paraId="5ADD2F60" w14:textId="77777777" w:rsidR="0084489F" w:rsidRDefault="00110FE6">
      <w:pPr>
        <w:pStyle w:val="BodyText"/>
      </w:pPr>
      <w:r w:rsidRPr="1B9E7434">
        <w:rPr>
          <w:rStyle w:val="VerbatimChar"/>
          <w:lang w:val="fr-FR"/>
        </w:rPr>
        <w:t>P126_a_employé (a_été_employé_dans)</w:t>
      </w:r>
      <w:r w:rsidRPr="1B9E7434">
        <w:rPr>
          <w:lang w:val="fr-FR"/>
        </w:rPr>
        <w:t xml:space="preserve"> : </w:t>
      </w:r>
      <w:r w:rsidRPr="1B9E7434">
        <w:rPr>
          <w:rStyle w:val="VerbatimChar"/>
          <w:lang w:val="fr-FR"/>
        </w:rPr>
        <w:t>E57_Matériau</w:t>
      </w:r>
    </w:p>
    <w:p w14:paraId="726F5D33" w14:textId="77777777" w:rsidR="0084489F" w:rsidRDefault="00110FE6">
      <w:pPr>
        <w:pStyle w:val="BlockText"/>
      </w:pPr>
      <w:r>
        <w:rPr>
          <w:b/>
          <w:bCs/>
          <w:i/>
          <w:iCs/>
        </w:rPr>
        <w:t>Note de traduction</w:t>
      </w:r>
    </w:p>
    <w:p w14:paraId="355759E0" w14:textId="77777777" w:rsidR="0084489F" w:rsidRDefault="00110FE6">
      <w:pPr>
        <w:pStyle w:val="BlockText"/>
      </w:pPr>
      <w:r w:rsidRPr="1B9E7434">
        <w:rPr>
          <w:lang w:val="fr-FR"/>
        </w:rPr>
        <w:t>Le concept « conservation treatment » a été traduit par « traitement de conservation » tel qu'utilisé par l'Institut canadien de conservation.Le segment « of E29 Design or Procedure » a été retiré de la traduction car celui-ci alourdissait le texte sans apporter une précision nécessaire.</w:t>
      </w:r>
    </w:p>
    <w:p w14:paraId="731FB306" w14:textId="77777777" w:rsidR="0084489F" w:rsidRDefault="00110FE6">
      <w:pPr>
        <w:pStyle w:val="BlockText"/>
      </w:pPr>
      <w:r w:rsidRPr="1B9E7434">
        <w:rPr>
          <w:lang w:val="fr-FR"/>
        </w:rPr>
        <w:t>Selon Termium Plus, le terme « museum exhibit » a été traduit par « pièce muséographique ».</w:t>
      </w:r>
    </w:p>
    <w:p w14:paraId="2223E66A" w14:textId="77777777" w:rsidR="0084489F" w:rsidRDefault="00110FE6">
      <w:pPr>
        <w:pStyle w:val="BlockText"/>
      </w:pPr>
      <w:r>
        <w:rPr>
          <w:b/>
          <w:bCs/>
          <w:i/>
          <w:iCs/>
        </w:rPr>
        <w:t>Références</w:t>
      </w:r>
    </w:p>
    <w:p w14:paraId="564B4673" w14:textId="77777777" w:rsidR="0084489F" w:rsidRDefault="00110FE6">
      <w:pPr>
        <w:pStyle w:val="BlockText"/>
      </w:pPr>
      <w:r>
        <w:t>Institut canadien de conservation. « Traitements de conservation ». Traitements et services de conservation, 18 octobre 2022.</w:t>
      </w:r>
      <w:hyperlink r:id="rId172">
        <w:r>
          <w:rPr>
            <w:rStyle w:val="Hyperlink"/>
          </w:rPr>
          <w:t xml:space="preserve"> </w:t>
        </w:r>
      </w:hyperlink>
      <w:hyperlink r:id="rId173">
        <w:r>
          <w:rPr>
            <w:rStyle w:val="Hyperlink"/>
          </w:rPr>
          <w:t>https://www.canada.ca/fr/institut-conservation/services/traitements-services-conservation/traitements-conservation.html</w:t>
        </w:r>
      </w:hyperlink>
      <w:r>
        <w:t>.</w:t>
      </w:r>
    </w:p>
    <w:p w14:paraId="20DA90BB" w14:textId="77777777" w:rsidR="0084489F" w:rsidRDefault="00110FE6">
      <w:pPr>
        <w:pStyle w:val="BlockText"/>
      </w:pPr>
      <w:r w:rsidRPr="1B9E7434">
        <w:rPr>
          <w:lang w:val="fr-FR"/>
        </w:rPr>
        <w:t xml:space="preserve">Termium. « Museum Exhibit ». Dans </w:t>
      </w:r>
      <w:r w:rsidRPr="1B9E7434">
        <w:rPr>
          <w:i/>
          <w:iCs/>
          <w:lang w:val="fr-FR"/>
        </w:rPr>
        <w:t>Termium Plus</w:t>
      </w:r>
      <w:r w:rsidRPr="1B9E7434">
        <w:rPr>
          <w:lang w:val="fr-FR"/>
        </w:rPr>
        <w:t>. Ottawa, CA-ON: Gouvernement du Canada, 2022.</w:t>
      </w:r>
      <w:hyperlink r:id="rId174" w:anchor="resultrecs">
        <w:r w:rsidRPr="1B9E7434">
          <w:rPr>
            <w:rStyle w:val="Hyperlink"/>
            <w:lang w:val="fr-FR"/>
          </w:rPr>
          <w:t xml:space="preserve"> </w:t>
        </w:r>
      </w:hyperlink>
      <w:hyperlink r:id="rId175" w:anchor="resultrecs">
        <w:r w:rsidRPr="1B9E7434">
          <w:rPr>
            <w:rStyle w:val="Hyperlink"/>
            <w:lang w:val="fr-FR"/>
          </w:rPr>
          <w:t>https://www.btb.termiumplus.gc.ca/tpv2alpha/alpha-fra.html?lang=fra&amp;i=1&amp;srchtxt=MUSEUM+EXHIBIT&amp;codom2nd_wet=1#resultrecs</w:t>
        </w:r>
      </w:hyperlink>
      <w:r w:rsidRPr="1B9E7434">
        <w:rPr>
          <w:lang w:val="fr-FR"/>
        </w:rPr>
        <w:t>.</w:t>
      </w:r>
    </w:p>
    <w:p w14:paraId="7BEF1F6F" w14:textId="77777777" w:rsidR="0084489F" w:rsidRDefault="00110FE6" w:rsidP="00F361B3">
      <w:pPr>
        <w:pStyle w:val="Heading2"/>
      </w:pPr>
      <w:bookmarkStart w:id="129" w:name="_Toc176864446"/>
      <w:bookmarkStart w:id="130" w:name="e12-production"/>
      <w:bookmarkEnd w:id="128"/>
      <w:r>
        <w:lastRenderedPageBreak/>
        <w:t>E12 Production</w:t>
      </w:r>
      <w:bookmarkEnd w:id="129"/>
    </w:p>
    <w:p w14:paraId="1F95ECCC" w14:textId="77777777" w:rsidR="0084489F" w:rsidRDefault="00110FE6" w:rsidP="00F361B3">
      <w:pPr>
        <w:pStyle w:val="FirstParagraph"/>
        <w:keepNext/>
        <w:keepLines/>
      </w:pPr>
      <w:r>
        <w:rPr>
          <w:b/>
          <w:bCs/>
        </w:rPr>
        <w:t>Sous-classe de</w:t>
      </w:r>
    </w:p>
    <w:p w14:paraId="55AA112B" w14:textId="77777777" w:rsidR="0084489F" w:rsidRDefault="00110FE6" w:rsidP="00F361B3">
      <w:pPr>
        <w:pStyle w:val="BodyText"/>
        <w:keepNext/>
        <w:keepLines/>
      </w:pPr>
      <w:r>
        <w:rPr>
          <w:rStyle w:val="VerbatimChar"/>
        </w:rPr>
        <w:t>E11_Modification</w:t>
      </w:r>
    </w:p>
    <w:p w14:paraId="78618E43" w14:textId="77777777" w:rsidR="0084489F" w:rsidRDefault="00110FE6">
      <w:pPr>
        <w:pStyle w:val="BodyText"/>
      </w:pPr>
      <w:r>
        <w:rPr>
          <w:rStyle w:val="VerbatimChar"/>
        </w:rPr>
        <w:t>E63_Début_d’existence</w:t>
      </w:r>
    </w:p>
    <w:p w14:paraId="519B92E8" w14:textId="77777777" w:rsidR="0084489F" w:rsidRDefault="00110FE6">
      <w:pPr>
        <w:pStyle w:val="BodyText"/>
      </w:pPr>
      <w:r>
        <w:rPr>
          <w:b/>
          <w:bCs/>
        </w:rPr>
        <w:t>Super-classe de</w:t>
      </w:r>
    </w:p>
    <w:p w14:paraId="585F9DC7" w14:textId="77777777" w:rsidR="0084489F" w:rsidRDefault="00110FE6">
      <w:pPr>
        <w:pStyle w:val="BodyText"/>
      </w:pPr>
      <w:r>
        <w:rPr>
          <w:b/>
          <w:bCs/>
        </w:rPr>
        <w:t>Note d’application</w:t>
      </w:r>
    </w:p>
    <w:p w14:paraId="6734D0C7" w14:textId="77777777" w:rsidR="0084489F" w:rsidRDefault="00110FE6">
      <w:pPr>
        <w:pStyle w:val="BodyText"/>
      </w:pPr>
      <w:r>
        <w:t>Cette classe comprend des activités qui ont comme objectif de créer une ou plusieurs nouvelles entités, et qui y parviennent.</w:t>
      </w:r>
    </w:p>
    <w:p w14:paraId="703A5B4D" w14:textId="77777777" w:rsidR="0084489F" w:rsidRDefault="00110FE6">
      <w:pPr>
        <w:pStyle w:val="BodyText"/>
      </w:pPr>
      <w:r>
        <w:t>Elle précise la notion de modification en celle de production. La décision de désigner une entité comme « nouvelle » relève du contexte. Normalement, les entités sont considérées comme « nouvelles » s'il n'y a pas de similarités évidentes entre celles-ci et les objets ainsi que les matériaux utilisés pour leur production. Dans d’autres cas, une entité est considérée comme « nouvelle » parce qu’il devient pertinent de la documenter du fait de sa modification. Par exemple, le fait de griffonner un nom sur un tesson de poterie peut faire de ce dernier un bulletin de vote. Le tesson d'origine ne vaut peut-être pas la peine d'être documenté, contrairement à celui qui a fait l'objet d'une inscription.</w:t>
      </w:r>
    </w:p>
    <w:p w14:paraId="09CD803A" w14:textId="77777777" w:rsidR="0084489F" w:rsidRDefault="00110FE6">
      <w:pPr>
        <w:pStyle w:val="BodyText"/>
      </w:pPr>
      <w:r>
        <w:rPr>
          <w:rStyle w:val="VerbatimChar"/>
        </w:rPr>
        <w:t>E12_Production</w:t>
      </w:r>
      <w:r>
        <w:t xml:space="preserve"> peut être une entité collective : par exemple, l'impression d'un millier de livres serait normalement considérée comme un seul évènement.</w:t>
      </w:r>
    </w:p>
    <w:p w14:paraId="2BBCF03D" w14:textId="77777777" w:rsidR="0084489F" w:rsidRDefault="00110FE6">
      <w:pPr>
        <w:pStyle w:val="BodyText"/>
      </w:pPr>
      <w:r>
        <w:t xml:space="preserve">Si un évènement implique la destruction d’une ou de plusieurs entités ainsi que la production de nouvelles entités en utilisant des parties ou des matériaux des entités d’origine, il convient d’utiliser la classe </w:t>
      </w:r>
      <w:r>
        <w:rPr>
          <w:rStyle w:val="VerbatimChar"/>
        </w:rPr>
        <w:t>E81_Transformation</w:t>
      </w:r>
      <w:r>
        <w:t xml:space="preserve"> lors de la documentation, et ce en plus de </w:t>
      </w:r>
      <w:r>
        <w:rPr>
          <w:rStyle w:val="VerbatimChar"/>
        </w:rPr>
        <w:t>E12_Production</w:t>
      </w:r>
      <w:r>
        <w:t>. Dans ce cas, les nouveaux objets ont leur propre identité : la matière est préservée, mais l'identité ne l'est pas.</w:t>
      </w:r>
    </w:p>
    <w:p w14:paraId="0A590C5C" w14:textId="77777777" w:rsidR="0084489F" w:rsidRDefault="00110FE6">
      <w:pPr>
        <w:pStyle w:val="BodyText"/>
      </w:pPr>
      <w:r>
        <w:rPr>
          <w:b/>
          <w:bCs/>
        </w:rPr>
        <w:t>Exemples</w:t>
      </w:r>
    </w:p>
    <w:p w14:paraId="153BE1BE" w14:textId="39C0C5BE" w:rsidR="0084489F" w:rsidRDefault="00110FE6" w:rsidP="00806324">
      <w:pPr>
        <w:numPr>
          <w:ilvl w:val="0"/>
          <w:numId w:val="63"/>
        </w:numPr>
      </w:pPr>
      <w:r w:rsidRPr="1B9E7434">
        <w:rPr>
          <w:lang w:val="fr-FR"/>
        </w:rPr>
        <w:t>La construction du SS Great Britain (Gregor, 1971)</w:t>
      </w:r>
    </w:p>
    <w:p w14:paraId="354FF1F8" w14:textId="77777777" w:rsidR="0084489F" w:rsidRDefault="00110FE6" w:rsidP="00806324">
      <w:pPr>
        <w:numPr>
          <w:ilvl w:val="0"/>
          <w:numId w:val="63"/>
        </w:numPr>
      </w:pPr>
      <w:r>
        <w:t xml:space="preserve">La première fonte de </w:t>
      </w:r>
      <w:r>
        <w:rPr>
          <w:i/>
          <w:iCs/>
        </w:rPr>
        <w:t>La Petite Sirène</w:t>
      </w:r>
      <w:r>
        <w:t xml:space="preserve"> au port de Copenhague (Dewey, 2003)</w:t>
      </w:r>
    </w:p>
    <w:p w14:paraId="5702768F" w14:textId="78BDA25C" w:rsidR="0084489F" w:rsidRDefault="00110FE6" w:rsidP="00806324">
      <w:pPr>
        <w:numPr>
          <w:ilvl w:val="0"/>
          <w:numId w:val="63"/>
        </w:numPr>
      </w:pPr>
      <w:r w:rsidRPr="1B9E7434">
        <w:rPr>
          <w:lang w:val="fr-FR"/>
        </w:rPr>
        <w:t xml:space="preserve">La création, par Rembrandt, du septième état de sa gravure sur cuivre </w:t>
      </w:r>
      <w:r w:rsidRPr="1B9E7434">
        <w:rPr>
          <w:i/>
          <w:iCs/>
          <w:lang w:val="fr-FR"/>
        </w:rPr>
        <w:t>La Femme devant le poêle</w:t>
      </w:r>
      <w:r w:rsidRPr="1B9E7434">
        <w:rPr>
          <w:lang w:val="fr-FR"/>
        </w:rPr>
        <w:t>, 1658, identifié par le numéro de catalogue « Bartsch 197 » (</w:t>
      </w:r>
      <w:r w:rsidRPr="1B9E7434">
        <w:rPr>
          <w:rStyle w:val="VerbatimChar"/>
          <w:lang w:val="fr-FR"/>
        </w:rPr>
        <w:t>E12_Production</w:t>
      </w:r>
      <w:r w:rsidRPr="1B9E7434">
        <w:rPr>
          <w:lang w:val="fr-FR"/>
        </w:rPr>
        <w:t xml:space="preserve">, </w:t>
      </w:r>
      <w:r w:rsidRPr="1B9E7434">
        <w:rPr>
          <w:rStyle w:val="VerbatimChar"/>
          <w:lang w:val="fr-FR"/>
        </w:rPr>
        <w:t>E65_Création</w:t>
      </w:r>
      <w:r w:rsidRPr="1B9E7434">
        <w:rPr>
          <w:lang w:val="fr-FR"/>
        </w:rPr>
        <w:t xml:space="preserve">, </w:t>
      </w:r>
      <w:r w:rsidRPr="1B9E7434">
        <w:rPr>
          <w:rStyle w:val="VerbatimChar"/>
          <w:lang w:val="fr-FR"/>
        </w:rPr>
        <w:t>E81_Transformation</w:t>
      </w:r>
      <w:r w:rsidRPr="1B9E7434">
        <w:rPr>
          <w:lang w:val="fr-FR"/>
        </w:rPr>
        <w:t>) (Hind, 1923)</w:t>
      </w:r>
    </w:p>
    <w:p w14:paraId="148B2006" w14:textId="77777777" w:rsidR="0084489F" w:rsidRDefault="00110FE6">
      <w:pPr>
        <w:pStyle w:val="FirstParagraph"/>
      </w:pPr>
      <w:r>
        <w:rPr>
          <w:b/>
          <w:bCs/>
        </w:rPr>
        <w:t>Logique</w:t>
      </w:r>
    </w:p>
    <w:p w14:paraId="38583203" w14:textId="77777777" w:rsidR="0084489F" w:rsidRDefault="00110FE6">
      <w:pPr>
        <w:pStyle w:val="BodyText"/>
      </w:pPr>
      <w:r>
        <w:t>E12(x) ⇒ E11(x)</w:t>
      </w:r>
    </w:p>
    <w:p w14:paraId="2A8380E5" w14:textId="77777777" w:rsidR="0084489F" w:rsidRDefault="00110FE6">
      <w:pPr>
        <w:pStyle w:val="BodyText"/>
      </w:pPr>
      <w:r>
        <w:t>E12(x) ⇒ E63(x)</w:t>
      </w:r>
    </w:p>
    <w:p w14:paraId="11F4A8F0" w14:textId="77777777" w:rsidR="0084489F" w:rsidRDefault="00110FE6">
      <w:pPr>
        <w:pStyle w:val="BodyText"/>
      </w:pPr>
      <w:r>
        <w:rPr>
          <w:b/>
          <w:bCs/>
        </w:rPr>
        <w:t>Propriétés</w:t>
      </w:r>
    </w:p>
    <w:p w14:paraId="7201A732" w14:textId="77777777" w:rsidR="0084489F" w:rsidRDefault="00110FE6">
      <w:pPr>
        <w:pStyle w:val="BodyText"/>
      </w:pPr>
      <w:r w:rsidRPr="1B9E7434">
        <w:rPr>
          <w:rStyle w:val="VerbatimChar"/>
          <w:lang w:val="fr-FR"/>
        </w:rPr>
        <w:t>P108_a_produit (a_été_produit_par)</w:t>
      </w:r>
      <w:r w:rsidRPr="1B9E7434">
        <w:rPr>
          <w:lang w:val="fr-FR"/>
        </w:rPr>
        <w:t xml:space="preserve"> : </w:t>
      </w:r>
      <w:r w:rsidRPr="1B9E7434">
        <w:rPr>
          <w:rStyle w:val="VerbatimChar"/>
          <w:lang w:val="fr-FR"/>
        </w:rPr>
        <w:t>E24_Chose_matérielle_élaborée_par_l’humain</w:t>
      </w:r>
    </w:p>
    <w:p w14:paraId="44782937" w14:textId="77777777" w:rsidR="0084489F" w:rsidRDefault="00110FE6">
      <w:pPr>
        <w:pStyle w:val="BodyText"/>
      </w:pPr>
      <w:r w:rsidRPr="1B9E7434">
        <w:rPr>
          <w:rStyle w:val="VerbatimChar"/>
          <w:lang w:val="fr-FR"/>
        </w:rPr>
        <w:t>P186_a_produit_la_chose_du_type (est_produit_par)</w:t>
      </w:r>
      <w:r w:rsidRPr="1B9E7434">
        <w:rPr>
          <w:lang w:val="fr-FR"/>
        </w:rPr>
        <w:t xml:space="preserve"> : </w:t>
      </w:r>
      <w:r w:rsidRPr="1B9E7434">
        <w:rPr>
          <w:rStyle w:val="VerbatimChar"/>
          <w:lang w:val="fr-FR"/>
        </w:rPr>
        <w:t>E99_Modèle_de_produit</w:t>
      </w:r>
    </w:p>
    <w:p w14:paraId="50D20D27" w14:textId="77777777" w:rsidR="0084489F" w:rsidRDefault="00110FE6">
      <w:pPr>
        <w:pStyle w:val="BlockText"/>
      </w:pPr>
      <w:r>
        <w:rPr>
          <w:b/>
          <w:bCs/>
          <w:i/>
          <w:iCs/>
        </w:rPr>
        <w:t>Note de traduction</w:t>
      </w:r>
    </w:p>
    <w:p w14:paraId="254F79C5" w14:textId="77777777" w:rsidR="0084489F" w:rsidRDefault="00110FE6">
      <w:pPr>
        <w:pStyle w:val="BlockText"/>
      </w:pPr>
      <w:r w:rsidRPr="1B9E7434">
        <w:rPr>
          <w:i/>
          <w:iCs/>
          <w:lang w:val="fr-FR"/>
        </w:rPr>
        <w:t>La femme devant le poêle</w:t>
      </w:r>
      <w:r w:rsidRPr="1B9E7434">
        <w:rPr>
          <w:lang w:val="fr-FR"/>
        </w:rPr>
        <w:t xml:space="preserve"> a été retenu comme traduction de </w:t>
      </w:r>
      <w:r w:rsidRPr="1B9E7434">
        <w:rPr>
          <w:i/>
          <w:iCs/>
          <w:lang w:val="fr-FR"/>
        </w:rPr>
        <w:t>Woman sitting half dressed beside a stove</w:t>
      </w:r>
      <w:r w:rsidRPr="1B9E7434">
        <w:rPr>
          <w:lang w:val="fr-FR"/>
        </w:rPr>
        <w:t>. Cette décision est basée sur le fait qu’il s’agit du titre en français retenu du côté de la Bibliothèque nationale de France ainsi que du côté de Wikipédia.</w:t>
      </w:r>
    </w:p>
    <w:p w14:paraId="74FF43EB" w14:textId="77777777" w:rsidR="0084489F" w:rsidRDefault="00110FE6">
      <w:pPr>
        <w:pStyle w:val="BlockText"/>
      </w:pPr>
      <w:r>
        <w:rPr>
          <w:b/>
          <w:bCs/>
          <w:i/>
          <w:iCs/>
        </w:rPr>
        <w:lastRenderedPageBreak/>
        <w:t>Références</w:t>
      </w:r>
    </w:p>
    <w:p w14:paraId="7FDD87E7" w14:textId="77777777" w:rsidR="0084489F" w:rsidRDefault="00110FE6">
      <w:pPr>
        <w:pStyle w:val="BlockText"/>
      </w:pPr>
      <w:r>
        <w:t xml:space="preserve">Van Rijn, Rembrandt. </w:t>
      </w:r>
      <w:r>
        <w:rPr>
          <w:i/>
          <w:iCs/>
        </w:rPr>
        <w:t>La Femme devant le poêle</w:t>
      </w:r>
      <w:r>
        <w:t>. 1658. Épreuve sur papier japon. Eau-forte, burin et pointe sèche., 27 x 18 cm. Bibliothèque nationale de France.</w:t>
      </w:r>
      <w:hyperlink r:id="rId176">
        <w:r>
          <w:rPr>
            <w:rStyle w:val="Hyperlink"/>
          </w:rPr>
          <w:t xml:space="preserve"> </w:t>
        </w:r>
      </w:hyperlink>
      <w:hyperlink r:id="rId177">
        <w:r>
          <w:rPr>
            <w:rStyle w:val="Hyperlink"/>
          </w:rPr>
          <w:t>https://essentiels.bnf.fr/fr/image/eff2e8b4-8e73-4800-91fb-7d277ca66a34-femme-devant-poele-7e-etat</w:t>
        </w:r>
      </w:hyperlink>
      <w:r>
        <w:t>.</w:t>
      </w:r>
    </w:p>
    <w:p w14:paraId="70B39ABB" w14:textId="77777777" w:rsidR="0084489F" w:rsidRDefault="00110FE6">
      <w:pPr>
        <w:pStyle w:val="BlockText"/>
      </w:pPr>
      <w:r>
        <w:t xml:space="preserve">Wikipédia. « Liste des gravures de Rembrandt ». </w:t>
      </w:r>
      <w:r w:rsidRPr="008C0D99">
        <w:rPr>
          <w:lang w:val="en-CA"/>
        </w:rPr>
        <w:t xml:space="preserve">Dans </w:t>
      </w:r>
      <w:r w:rsidRPr="008C0D99">
        <w:rPr>
          <w:i/>
          <w:iCs/>
          <w:lang w:val="en-CA"/>
        </w:rPr>
        <w:t>Wikipédia</w:t>
      </w:r>
      <w:r w:rsidRPr="008C0D99">
        <w:rPr>
          <w:lang w:val="en-CA"/>
        </w:rPr>
        <w:t>. San Francisco, US-CA: Wikipédia, 15 mars 2021.</w:t>
      </w:r>
      <w:hyperlink r:id="rId178">
        <w:r w:rsidRPr="008C0D99">
          <w:rPr>
            <w:rStyle w:val="Hyperlink"/>
            <w:lang w:val="en-CA"/>
          </w:rPr>
          <w:t xml:space="preserve"> </w:t>
        </w:r>
      </w:hyperlink>
      <w:hyperlink r:id="rId179">
        <w:r>
          <w:rPr>
            <w:rStyle w:val="Hyperlink"/>
          </w:rPr>
          <w:t>https://fr.wikipedia.org/w/index.php?title=Liste_des_gravures_de_Rembrandt&amp;oldid=180898582</w:t>
        </w:r>
      </w:hyperlink>
      <w:r>
        <w:t>.</w:t>
      </w:r>
    </w:p>
    <w:p w14:paraId="4567C8FE" w14:textId="77777777" w:rsidR="00655687" w:rsidRPr="00655687" w:rsidRDefault="00655687" w:rsidP="00655687">
      <w:pPr>
        <w:pStyle w:val="BodyText"/>
      </w:pPr>
    </w:p>
    <w:p w14:paraId="3543F4D7" w14:textId="77777777" w:rsidR="0084489F" w:rsidRDefault="00110FE6">
      <w:pPr>
        <w:pStyle w:val="Heading2"/>
      </w:pPr>
      <w:bookmarkStart w:id="131" w:name="_Toc176864447"/>
      <w:bookmarkStart w:id="132" w:name="e13-assignation-dattribut"/>
      <w:bookmarkEnd w:id="130"/>
      <w:r>
        <w:t>E13 Assignation d’attribut</w:t>
      </w:r>
      <w:bookmarkEnd w:id="131"/>
    </w:p>
    <w:p w14:paraId="0B14AE28" w14:textId="77777777" w:rsidR="0084489F" w:rsidRDefault="00110FE6">
      <w:pPr>
        <w:pStyle w:val="FirstParagraph"/>
      </w:pPr>
      <w:r>
        <w:rPr>
          <w:b/>
          <w:bCs/>
        </w:rPr>
        <w:t>Sous-classe de</w:t>
      </w:r>
    </w:p>
    <w:p w14:paraId="3369E409" w14:textId="77777777" w:rsidR="0084489F" w:rsidRDefault="00110FE6">
      <w:pPr>
        <w:pStyle w:val="BodyText"/>
      </w:pPr>
      <w:r>
        <w:rPr>
          <w:rStyle w:val="VerbatimChar"/>
        </w:rPr>
        <w:t>E7_Activité</w:t>
      </w:r>
    </w:p>
    <w:p w14:paraId="005E0D42" w14:textId="77777777" w:rsidR="0084489F" w:rsidRDefault="00110FE6">
      <w:pPr>
        <w:pStyle w:val="BodyText"/>
      </w:pPr>
      <w:r>
        <w:rPr>
          <w:b/>
          <w:bCs/>
        </w:rPr>
        <w:t>Super-classe de</w:t>
      </w:r>
    </w:p>
    <w:p w14:paraId="332F443D" w14:textId="77777777" w:rsidR="0084489F" w:rsidRDefault="00110FE6">
      <w:pPr>
        <w:pStyle w:val="BodyText"/>
      </w:pPr>
      <w:r>
        <w:rPr>
          <w:rStyle w:val="VerbatimChar"/>
        </w:rPr>
        <w:t>E14_Évaluation_d'état_matériel</w:t>
      </w:r>
    </w:p>
    <w:p w14:paraId="3759B8E5" w14:textId="77777777" w:rsidR="0084489F" w:rsidRDefault="00110FE6">
      <w:pPr>
        <w:pStyle w:val="BodyText"/>
      </w:pPr>
      <w:r>
        <w:rPr>
          <w:rStyle w:val="VerbatimChar"/>
        </w:rPr>
        <w:t>E15_Assignation_d'identifiant</w:t>
      </w:r>
    </w:p>
    <w:p w14:paraId="0816FE2A" w14:textId="77777777" w:rsidR="0084489F" w:rsidRDefault="00110FE6">
      <w:pPr>
        <w:pStyle w:val="BodyText"/>
      </w:pPr>
      <w:r>
        <w:rPr>
          <w:rStyle w:val="VerbatimChar"/>
        </w:rPr>
        <w:t>E16_Mesurage</w:t>
      </w:r>
    </w:p>
    <w:p w14:paraId="752143FB" w14:textId="77777777" w:rsidR="0084489F" w:rsidRDefault="00110FE6">
      <w:pPr>
        <w:pStyle w:val="BodyText"/>
      </w:pPr>
      <w:r>
        <w:rPr>
          <w:rStyle w:val="VerbatimChar"/>
        </w:rPr>
        <w:t>E17_Assignation_de_type</w:t>
      </w:r>
    </w:p>
    <w:p w14:paraId="1839F344" w14:textId="77777777" w:rsidR="0084489F" w:rsidRDefault="00110FE6">
      <w:pPr>
        <w:pStyle w:val="BodyText"/>
      </w:pPr>
      <w:r>
        <w:rPr>
          <w:b/>
          <w:bCs/>
        </w:rPr>
        <w:t>Note d’application</w:t>
      </w:r>
    </w:p>
    <w:p w14:paraId="02362D95" w14:textId="77777777" w:rsidR="0084489F" w:rsidRDefault="00110FE6">
      <w:pPr>
        <w:pStyle w:val="BodyText"/>
      </w:pPr>
      <w:r>
        <w:t xml:space="preserve">Cette classe comprend les actions d’effectuer des affirmations à propos d’un attribut d’un objet ou de n’importe quelle relation entre deux entités ou concepts. Le type de la propriété dont on déclare l’existence entre deux entités ou concepts peut être décrit avec la propriété </w:t>
      </w:r>
      <w:r>
        <w:rPr>
          <w:rStyle w:val="VerbatimChar"/>
        </w:rPr>
        <w:t>P177_a_assigné_le_type_de_propriété (est le type de la propriété assigné)</w:t>
      </w:r>
      <w:r>
        <w:t xml:space="preserve"> : </w:t>
      </w:r>
      <w:r>
        <w:rPr>
          <w:rStyle w:val="VerbatimChar"/>
        </w:rPr>
        <w:t>E55_Type</w:t>
      </w:r>
      <w:r>
        <w:t>.</w:t>
      </w:r>
    </w:p>
    <w:p w14:paraId="737F513E" w14:textId="77777777" w:rsidR="0084489F" w:rsidRDefault="00110FE6">
      <w:pPr>
        <w:pStyle w:val="BodyText"/>
      </w:pPr>
      <w:r>
        <w:t>Par exemple, la classe décrit les actions de personnes faisant des propositions ou déclarations lors de certaines procédures scientifiques ou universitaires, comme la date de et la personne impliquée lors d’une évaluation d’état matériel, de l’attribution d’un identifiant, de la mesure d’un objet muséal, etc. Les types d’attributions et de déclarations qui doivent être documentés explicitement de manière structurée plutôt qu’en texte libre dépend de la nécessité ou non de rendre accessibles ces informations par des requêtes structurées.</w:t>
      </w:r>
    </w:p>
    <w:p w14:paraId="765CA67E" w14:textId="77777777" w:rsidR="0084489F" w:rsidRDefault="00110FE6">
      <w:pPr>
        <w:pStyle w:val="BodyText"/>
      </w:pPr>
      <w:r>
        <w:t xml:space="preserve">Il est à noter que toutes les instances des propriétés décrites dans une base de connaissance reflètent les opinions d’individus. Par défaut, il s’agit des opinions de l’équipe responsable du maintien de la base de connaissance. Ce fait ne doit pas être individuellement enregistré pour toutes les instances des propriétés fournies par l’équipe de maintenance, car il en résulterait une récursivité sans fin (où il faudrait constamment documenter qui émet une opinion sur l'opinion précédente). Dès lors, l’utilisation des instances de </w:t>
      </w:r>
      <w:r>
        <w:rPr>
          <w:rStyle w:val="VerbatimChar"/>
        </w:rPr>
        <w:t>E13_Assignation_d’attribut</w:t>
      </w:r>
      <w:r>
        <w:t xml:space="preserve"> marque le fait que l’équipe de maintenance est en général neutre envers la validité des assertions et cette classe permet la documentation des circonstances qui ont amené à l’attribution, c.-à-d. qui a émis cette opinion ainsi que comment elle est advenue.</w:t>
      </w:r>
    </w:p>
    <w:p w14:paraId="5B6C20FD" w14:textId="77777777" w:rsidR="0084489F" w:rsidRDefault="00110FE6">
      <w:pPr>
        <w:pStyle w:val="BodyText"/>
      </w:pPr>
      <w:r>
        <w:t xml:space="preserve">Toutes les propriétés assignées de la sorte peuvent aussi être perçues comme reliant directement les paires correspondantes d’entités ou concepts. L’utilisation de plusieurs instances de </w:t>
      </w:r>
      <w:r>
        <w:rPr>
          <w:rStyle w:val="VerbatimChar"/>
        </w:rPr>
        <w:t>E13_Assignation_d’attribut</w:t>
      </w:r>
      <w:r>
        <w:t xml:space="preserve"> peut mener à un regroupement de valeurs contradictoires.</w:t>
      </w:r>
    </w:p>
    <w:p w14:paraId="5E3A756E" w14:textId="77777777" w:rsidR="0084489F" w:rsidRDefault="00110FE6" w:rsidP="004454E2">
      <w:pPr>
        <w:pStyle w:val="BodyText"/>
        <w:keepNext/>
      </w:pPr>
      <w:r>
        <w:rPr>
          <w:b/>
          <w:bCs/>
        </w:rPr>
        <w:lastRenderedPageBreak/>
        <w:t>Exemples</w:t>
      </w:r>
    </w:p>
    <w:p w14:paraId="03B7EFE8" w14:textId="04B922F1" w:rsidR="0084489F" w:rsidRDefault="00110FE6" w:rsidP="00806324">
      <w:pPr>
        <w:keepNext/>
        <w:numPr>
          <w:ilvl w:val="0"/>
          <w:numId w:val="64"/>
        </w:numPr>
      </w:pPr>
      <w:r w:rsidRPr="1B9E7434">
        <w:rPr>
          <w:lang w:val="fr-FR"/>
        </w:rPr>
        <w:t xml:space="preserve">L’examen du manuscrit </w:t>
      </w:r>
      <w:r w:rsidRPr="1B9E7434">
        <w:rPr>
          <w:i/>
          <w:iCs/>
          <w:lang w:val="fr-FR"/>
        </w:rPr>
        <w:t>Mont Sinaï, MS gr. 418</w:t>
      </w:r>
      <w:r w:rsidRPr="1B9E7434">
        <w:rPr>
          <w:lang w:val="fr-FR"/>
        </w:rPr>
        <w:t xml:space="preserve"> par Nicholas Pickwoad en novembre 2003 (Honey &amp; Pickwoad, 2010)</w:t>
      </w:r>
    </w:p>
    <w:p w14:paraId="427B3CD2" w14:textId="77777777" w:rsidR="0084489F" w:rsidRDefault="00110FE6" w:rsidP="00806324">
      <w:pPr>
        <w:numPr>
          <w:ilvl w:val="0"/>
          <w:numId w:val="64"/>
        </w:numPr>
      </w:pPr>
      <w:r w:rsidRPr="1D6B9106">
        <w:rPr>
          <w:lang w:val="fr-FR"/>
        </w:rPr>
        <w:t>L’évaluation de la propriété actuelle de la coupe en argent de Martin Doerr en février 1997 (fictif)</w:t>
      </w:r>
    </w:p>
    <w:p w14:paraId="0CD91E35" w14:textId="77777777" w:rsidR="0084489F" w:rsidRDefault="00110FE6">
      <w:pPr>
        <w:pStyle w:val="FirstParagraph"/>
      </w:pPr>
      <w:r>
        <w:rPr>
          <w:b/>
          <w:bCs/>
        </w:rPr>
        <w:t>Logique</w:t>
      </w:r>
    </w:p>
    <w:p w14:paraId="00688989" w14:textId="77777777" w:rsidR="0084489F" w:rsidRDefault="00110FE6">
      <w:pPr>
        <w:pStyle w:val="BodyText"/>
      </w:pPr>
      <w:r>
        <w:t>E13(x) ⇒ E7(x)</w:t>
      </w:r>
    </w:p>
    <w:p w14:paraId="4570FBAD" w14:textId="77777777" w:rsidR="0084489F" w:rsidRDefault="00110FE6">
      <w:pPr>
        <w:pStyle w:val="BodyText"/>
      </w:pPr>
      <w:r>
        <w:rPr>
          <w:b/>
          <w:bCs/>
        </w:rPr>
        <w:t>Propriétés</w:t>
      </w:r>
    </w:p>
    <w:p w14:paraId="1A73EA74" w14:textId="77777777" w:rsidR="0084489F" w:rsidRDefault="00110FE6">
      <w:pPr>
        <w:pStyle w:val="BodyText"/>
      </w:pPr>
      <w:r w:rsidRPr="1B9E7434">
        <w:rPr>
          <w:rStyle w:val="VerbatimChar"/>
          <w:lang w:val="fr-FR"/>
        </w:rPr>
        <w:t>P140_a_assigné_l'attribut_à (a_reçu_l'attribut_par)</w:t>
      </w:r>
      <w:r w:rsidRPr="1B9E7434">
        <w:rPr>
          <w:lang w:val="fr-FR"/>
        </w:rPr>
        <w:t xml:space="preserve"> : </w:t>
      </w:r>
      <w:r w:rsidRPr="1B9E7434">
        <w:rPr>
          <w:rStyle w:val="VerbatimChar"/>
          <w:lang w:val="fr-FR"/>
        </w:rPr>
        <w:t>E1_Entité_CRM</w:t>
      </w:r>
    </w:p>
    <w:p w14:paraId="6BF61464" w14:textId="77777777" w:rsidR="0084489F" w:rsidRDefault="00110FE6">
      <w:pPr>
        <w:pStyle w:val="BodyText"/>
      </w:pPr>
      <w:r w:rsidRPr="1B9E7434">
        <w:rPr>
          <w:rStyle w:val="VerbatimChar"/>
          <w:lang w:val="fr-FR"/>
        </w:rPr>
        <w:t>P141_a_assigné (a_été_assigné_par)</w:t>
      </w:r>
      <w:r w:rsidRPr="1B9E7434">
        <w:rPr>
          <w:lang w:val="fr-FR"/>
        </w:rPr>
        <w:t xml:space="preserve"> : </w:t>
      </w:r>
      <w:r w:rsidRPr="1B9E7434">
        <w:rPr>
          <w:rStyle w:val="VerbatimChar"/>
          <w:lang w:val="fr-FR"/>
        </w:rPr>
        <w:t>E1_Entité_CRM</w:t>
      </w:r>
    </w:p>
    <w:p w14:paraId="5A793FA1" w14:textId="77777777" w:rsidR="0084489F" w:rsidRDefault="00110FE6">
      <w:pPr>
        <w:pStyle w:val="BodyText"/>
      </w:pPr>
      <w:r w:rsidRPr="1B9E7434">
        <w:rPr>
          <w:rStyle w:val="VerbatimChar"/>
          <w:lang w:val="fr-FR"/>
        </w:rPr>
        <w:t>P177_a_assigné_le_type_de_propriété (est_le_type_de_la_propriété_assigné)</w:t>
      </w:r>
      <w:r w:rsidRPr="1B9E7434">
        <w:rPr>
          <w:lang w:val="fr-FR"/>
        </w:rPr>
        <w:t xml:space="preserve"> : </w:t>
      </w:r>
      <w:r w:rsidRPr="1B9E7434">
        <w:rPr>
          <w:rStyle w:val="VerbatimChar"/>
          <w:lang w:val="fr-FR"/>
        </w:rPr>
        <w:t>E55_Type</w:t>
      </w:r>
    </w:p>
    <w:p w14:paraId="788AF4B4" w14:textId="77777777" w:rsidR="0084489F" w:rsidRDefault="00110FE6">
      <w:pPr>
        <w:pStyle w:val="BlockText"/>
      </w:pPr>
      <w:r>
        <w:rPr>
          <w:b/>
          <w:bCs/>
          <w:i/>
          <w:iCs/>
        </w:rPr>
        <w:t>Note de traduction</w:t>
      </w:r>
    </w:p>
    <w:p w14:paraId="05DA88D7" w14:textId="77777777" w:rsidR="0084489F" w:rsidRDefault="00110FE6">
      <w:pPr>
        <w:pStyle w:val="BlockText"/>
      </w:pPr>
      <w:r w:rsidRPr="1B9E7434">
        <w:rPr>
          <w:lang w:val="fr-FR"/>
        </w:rPr>
        <w:t>Le nom du manuscrit MS Sinai Greek 418 a été traduit en suivant les choix du Portail Biblissima</w:t>
      </w:r>
    </w:p>
    <w:p w14:paraId="2BC065DE" w14:textId="77777777" w:rsidR="0084489F" w:rsidRDefault="00110FE6">
      <w:pPr>
        <w:pStyle w:val="BlockText"/>
      </w:pPr>
      <w:r>
        <w:rPr>
          <w:b/>
          <w:bCs/>
          <w:i/>
          <w:iCs/>
        </w:rPr>
        <w:t>Références</w:t>
      </w:r>
    </w:p>
    <w:p w14:paraId="0F10AD40" w14:textId="77777777" w:rsidR="0084489F" w:rsidRPr="008C0D99" w:rsidRDefault="00110FE6">
      <w:pPr>
        <w:pStyle w:val="BlockText"/>
        <w:rPr>
          <w:lang w:val="en-CA"/>
        </w:rPr>
      </w:pPr>
      <w:r>
        <w:t xml:space="preserve">Climacus, John. « Égypte, Mont Sinaï, Monastère Sainte-Catherine, MS gr. 418 ». </w:t>
      </w:r>
      <w:r w:rsidRPr="008C0D99">
        <w:rPr>
          <w:lang w:val="en-CA"/>
        </w:rPr>
        <w:t>Manuscrit. Monastère Sainte-Catherine, EG-JS, 1100.</w:t>
      </w:r>
      <w:hyperlink r:id="rId180">
        <w:r w:rsidRPr="008C0D99">
          <w:rPr>
            <w:rStyle w:val="Hyperlink"/>
            <w:lang w:val="en-CA"/>
          </w:rPr>
          <w:t xml:space="preserve"> </w:t>
        </w:r>
      </w:hyperlink>
      <w:hyperlink r:id="rId181">
        <w:r w:rsidRPr="008C0D99">
          <w:rPr>
            <w:rStyle w:val="Hyperlink"/>
            <w:lang w:val="en-CA"/>
          </w:rPr>
          <w:t>https://portail.biblissima.fr/fr/ark:/43093/mdata4173039fff31678134d93fd0bd8ff41dd71226a8</w:t>
        </w:r>
      </w:hyperlink>
      <w:r w:rsidRPr="008C0D99">
        <w:rPr>
          <w:lang w:val="en-CA"/>
        </w:rPr>
        <w:t>.</w:t>
      </w:r>
    </w:p>
    <w:p w14:paraId="0DD31B30" w14:textId="77777777" w:rsidR="0084489F" w:rsidRDefault="00110FE6">
      <w:pPr>
        <w:pStyle w:val="BlockText"/>
      </w:pPr>
      <w:r w:rsidRPr="008C0D99">
        <w:rPr>
          <w:lang w:val="en-CA"/>
        </w:rPr>
        <w:t xml:space="preserve">———. « Greek Manuscripts 418. </w:t>
      </w:r>
      <w:r w:rsidRPr="00203239">
        <w:rPr>
          <w:lang w:val="fr-CA"/>
        </w:rPr>
        <w:t xml:space="preserve">John Climacus ». Manuscrit. </w:t>
      </w:r>
      <w:r>
        <w:t>Monastère Sainte-Catherine, EG-JS, 1100.</w:t>
      </w:r>
      <w:hyperlink r:id="rId182">
        <w:r>
          <w:rPr>
            <w:rStyle w:val="Hyperlink"/>
          </w:rPr>
          <w:t xml:space="preserve"> </w:t>
        </w:r>
      </w:hyperlink>
      <w:hyperlink r:id="rId183">
        <w:r>
          <w:rPr>
            <w:rStyle w:val="Hyperlink"/>
          </w:rPr>
          <w:t>https://www.loc.gov/item/00279380435-ms</w:t>
        </w:r>
      </w:hyperlink>
      <w:r>
        <w:t>.</w:t>
      </w:r>
    </w:p>
    <w:p w14:paraId="646782FD" w14:textId="77777777" w:rsidR="004454E2" w:rsidRPr="004454E2" w:rsidRDefault="004454E2" w:rsidP="004454E2">
      <w:pPr>
        <w:pStyle w:val="BodyText"/>
      </w:pPr>
    </w:p>
    <w:p w14:paraId="76C6B6FB" w14:textId="77777777" w:rsidR="0084489F" w:rsidRDefault="00110FE6">
      <w:pPr>
        <w:pStyle w:val="Heading2"/>
      </w:pPr>
      <w:bookmarkStart w:id="133" w:name="_Toc176864448"/>
      <w:bookmarkStart w:id="134" w:name="e14-evaluation-detat-materiel"/>
      <w:bookmarkEnd w:id="132"/>
      <w:r>
        <w:t>E14 Évaluation d’état matériel</w:t>
      </w:r>
      <w:bookmarkEnd w:id="133"/>
    </w:p>
    <w:p w14:paraId="4066C461" w14:textId="77777777" w:rsidR="0084489F" w:rsidRDefault="00110FE6">
      <w:pPr>
        <w:pStyle w:val="FirstParagraph"/>
      </w:pPr>
      <w:r>
        <w:rPr>
          <w:b/>
          <w:bCs/>
        </w:rPr>
        <w:t>Sous-classe de</w:t>
      </w:r>
    </w:p>
    <w:p w14:paraId="41888731" w14:textId="77777777" w:rsidR="0084489F" w:rsidRDefault="00110FE6">
      <w:pPr>
        <w:pStyle w:val="BodyText"/>
      </w:pPr>
      <w:r>
        <w:rPr>
          <w:rStyle w:val="VerbatimChar"/>
        </w:rPr>
        <w:t>E13_Assignation_d’attribut</w:t>
      </w:r>
    </w:p>
    <w:p w14:paraId="2DB7475B" w14:textId="77777777" w:rsidR="0084489F" w:rsidRDefault="00110FE6">
      <w:pPr>
        <w:pStyle w:val="BodyText"/>
      </w:pPr>
      <w:r>
        <w:rPr>
          <w:b/>
          <w:bCs/>
        </w:rPr>
        <w:t>Super-classe de</w:t>
      </w:r>
    </w:p>
    <w:p w14:paraId="6B393EC1" w14:textId="77777777" w:rsidR="0084489F" w:rsidRDefault="00110FE6">
      <w:pPr>
        <w:pStyle w:val="BodyText"/>
      </w:pPr>
      <w:r>
        <w:rPr>
          <w:b/>
          <w:bCs/>
        </w:rPr>
        <w:t>Note d’application</w:t>
      </w:r>
    </w:p>
    <w:p w14:paraId="0E296402" w14:textId="77777777" w:rsidR="0084489F" w:rsidRDefault="00110FE6">
      <w:pPr>
        <w:pStyle w:val="BodyText"/>
      </w:pPr>
      <w:r>
        <w:t>Cette classe décrit l’acte d’évaluer l’état de conservation d’un objet durant une période donnée.</w:t>
      </w:r>
    </w:p>
    <w:p w14:paraId="64EE57CC" w14:textId="77777777" w:rsidR="0084489F" w:rsidRDefault="00110FE6">
      <w:pPr>
        <w:pStyle w:val="BodyText"/>
      </w:pPr>
      <w:r>
        <w:t>L’évaluation d’état matériel peut être effectuée par le biais d’une inspection, d’un mesurage ou d’une recherche historique. Cette classe est utilisée afin de documenter les circonstances ayant conduit à l’évaluation pertinente pour interpréter la qualité de l’objet à un stade ultérieur, ou pour poursuivre la recherche sur des documents connexes.</w:t>
      </w:r>
    </w:p>
    <w:p w14:paraId="26AB1A5B" w14:textId="77777777" w:rsidR="0084489F" w:rsidRDefault="00110FE6">
      <w:pPr>
        <w:pStyle w:val="BodyText"/>
      </w:pPr>
      <w:r>
        <w:rPr>
          <w:b/>
          <w:bCs/>
        </w:rPr>
        <w:t>Exemples</w:t>
      </w:r>
    </w:p>
    <w:p w14:paraId="0D1EE875" w14:textId="4F771202" w:rsidR="0084489F" w:rsidRDefault="00110FE6" w:rsidP="00806324">
      <w:pPr>
        <w:numPr>
          <w:ilvl w:val="0"/>
          <w:numId w:val="65"/>
        </w:numPr>
      </w:pPr>
      <w:r w:rsidRPr="1B9E7434">
        <w:rPr>
          <w:lang w:val="fr-FR"/>
        </w:rPr>
        <w:t>L’inspection datant de l’année dernière des dommages causés par l’humidité aux fresques de la chapelle Saint-George de notre village (fictif)</w:t>
      </w:r>
    </w:p>
    <w:p w14:paraId="75C88A58" w14:textId="5B78B88B" w:rsidR="0084489F" w:rsidRDefault="00110FE6" w:rsidP="00806324">
      <w:pPr>
        <w:numPr>
          <w:ilvl w:val="0"/>
          <w:numId w:val="65"/>
        </w:numPr>
      </w:pPr>
      <w:r w:rsidRPr="1B9E7434">
        <w:rPr>
          <w:lang w:val="fr-FR"/>
        </w:rPr>
        <w:t xml:space="preserve">L’évaluation de l’état matériel des bâtonnets de la tranchefile du manuscrit </w:t>
      </w:r>
      <w:r w:rsidRPr="1B9E7434">
        <w:rPr>
          <w:i/>
          <w:iCs/>
          <w:lang w:val="fr-FR"/>
        </w:rPr>
        <w:t>Mont Sinaï, MS gr. 418</w:t>
      </w:r>
      <w:r w:rsidRPr="1B9E7434">
        <w:rPr>
          <w:lang w:val="fr-FR"/>
        </w:rPr>
        <w:t xml:space="preserve"> par Nicholas Pickwoad en novembre 2003 (Honey &amp; Pickwoad, 2010)</w:t>
      </w:r>
    </w:p>
    <w:p w14:paraId="29705ADD" w14:textId="1C7B1703" w:rsidR="0084489F" w:rsidRDefault="00110FE6" w:rsidP="00806324">
      <w:pPr>
        <w:numPr>
          <w:ilvl w:val="0"/>
          <w:numId w:val="65"/>
        </w:numPr>
      </w:pPr>
      <w:r w:rsidRPr="1B9E7434">
        <w:rPr>
          <w:lang w:val="fr-FR"/>
        </w:rPr>
        <w:t xml:space="preserve">L’évaluation de l'état matériel de la couverture du manuscrit </w:t>
      </w:r>
      <w:r w:rsidRPr="1B9E7434">
        <w:rPr>
          <w:i/>
          <w:iCs/>
          <w:lang w:val="fr-FR"/>
        </w:rPr>
        <w:t>Mont Sinaï, MS gr. 418</w:t>
      </w:r>
      <w:r w:rsidRPr="1B9E7434">
        <w:rPr>
          <w:lang w:val="fr-FR"/>
        </w:rPr>
        <w:t xml:space="preserve"> par Nicholas Pickwoad en novembre 2003 (Honey &amp; Pickwoad, 2010)</w:t>
      </w:r>
    </w:p>
    <w:p w14:paraId="565AA4BA" w14:textId="77777777" w:rsidR="0084489F" w:rsidRDefault="00110FE6">
      <w:pPr>
        <w:pStyle w:val="FirstParagraph"/>
      </w:pPr>
      <w:r>
        <w:rPr>
          <w:b/>
          <w:bCs/>
        </w:rPr>
        <w:lastRenderedPageBreak/>
        <w:t>Logique</w:t>
      </w:r>
    </w:p>
    <w:p w14:paraId="6E6E689B" w14:textId="77777777" w:rsidR="0084489F" w:rsidRDefault="00110FE6">
      <w:pPr>
        <w:pStyle w:val="BodyText"/>
      </w:pPr>
      <w:r>
        <w:t>E14(x) ⇒ E13(x)</w:t>
      </w:r>
    </w:p>
    <w:p w14:paraId="1CAFF7E0" w14:textId="77777777" w:rsidR="0084489F" w:rsidRDefault="00110FE6">
      <w:pPr>
        <w:pStyle w:val="BodyText"/>
      </w:pPr>
      <w:r>
        <w:rPr>
          <w:b/>
          <w:bCs/>
        </w:rPr>
        <w:t>Propriétés</w:t>
      </w:r>
    </w:p>
    <w:p w14:paraId="25C4FFB4" w14:textId="77777777" w:rsidR="0084489F" w:rsidRDefault="00110FE6">
      <w:pPr>
        <w:pStyle w:val="BodyText"/>
      </w:pPr>
      <w:r w:rsidRPr="1B9E7434">
        <w:rPr>
          <w:rStyle w:val="VerbatimChar"/>
          <w:lang w:val="fr-FR"/>
        </w:rPr>
        <w:t>P34_a_porté_sur (a_été_évalué_par)</w:t>
      </w:r>
      <w:r w:rsidRPr="1B9E7434">
        <w:rPr>
          <w:lang w:val="fr-FR"/>
        </w:rPr>
        <w:t xml:space="preserve"> : </w:t>
      </w:r>
      <w:r w:rsidRPr="1B9E7434">
        <w:rPr>
          <w:rStyle w:val="VerbatimChar"/>
          <w:lang w:val="fr-FR"/>
        </w:rPr>
        <w:t>E18_Chose_matérielle</w:t>
      </w:r>
    </w:p>
    <w:p w14:paraId="11926021" w14:textId="77777777" w:rsidR="0084489F" w:rsidRDefault="00110FE6">
      <w:pPr>
        <w:pStyle w:val="BodyText"/>
      </w:pPr>
      <w:r w:rsidRPr="1B9E7434">
        <w:rPr>
          <w:rStyle w:val="VerbatimChar"/>
          <w:lang w:val="fr-FR"/>
        </w:rPr>
        <w:t>P35_a_identifié (a_été_identifié_par)</w:t>
      </w:r>
      <w:r w:rsidRPr="1B9E7434">
        <w:rPr>
          <w:lang w:val="fr-FR"/>
        </w:rPr>
        <w:t xml:space="preserve"> : </w:t>
      </w:r>
      <w:r w:rsidRPr="1B9E7434">
        <w:rPr>
          <w:rStyle w:val="VerbatimChar"/>
          <w:lang w:val="fr-FR"/>
        </w:rPr>
        <w:t>E3_État_matériel</w:t>
      </w:r>
    </w:p>
    <w:p w14:paraId="377E8D42" w14:textId="77777777" w:rsidR="0084489F" w:rsidRDefault="00110FE6">
      <w:pPr>
        <w:pStyle w:val="BlockText"/>
      </w:pPr>
      <w:r>
        <w:rPr>
          <w:b/>
          <w:bCs/>
          <w:i/>
          <w:iCs/>
        </w:rPr>
        <w:t>Note de traduction</w:t>
      </w:r>
    </w:p>
    <w:p w14:paraId="0CFDEA75" w14:textId="77777777" w:rsidR="0084489F" w:rsidRDefault="00110FE6">
      <w:pPr>
        <w:pStyle w:val="BlockText"/>
      </w:pPr>
      <w:r w:rsidRPr="1B9E7434">
        <w:rPr>
          <w:lang w:val="fr-FR"/>
        </w:rPr>
        <w:t>Le nom du manuscrit MS Sinai Greek 418 a été traduit en suivant les choix du Portail Biblissima</w:t>
      </w:r>
    </w:p>
    <w:p w14:paraId="041836F1" w14:textId="77777777" w:rsidR="0084489F" w:rsidRDefault="00110FE6">
      <w:pPr>
        <w:pStyle w:val="BlockText"/>
      </w:pPr>
      <w:r w:rsidRPr="1B9E7434">
        <w:rPr>
          <w:lang w:val="fr-FR"/>
        </w:rP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sidRPr="1B9E7434">
        <w:rPr>
          <w:b/>
          <w:bCs/>
          <w:lang w:val="fr-FR"/>
        </w:rPr>
        <w:t> </w:t>
      </w:r>
      <w:r w:rsidRPr="1B9E7434">
        <w:rPr>
          <w:lang w:val="fr-FR"/>
        </w:rPr>
        <w:t>bâtonnets », mais afin d'éviter toute ambiguïté, l'équipe de traduction a décidé d'ajouter « de la tranchefile ».</w:t>
      </w:r>
    </w:p>
    <w:p w14:paraId="30006403" w14:textId="77777777" w:rsidR="0084489F" w:rsidRDefault="00110FE6">
      <w:pPr>
        <w:pStyle w:val="BlockText"/>
      </w:pPr>
      <w:r>
        <w:rPr>
          <w:b/>
          <w:bCs/>
          <w:i/>
          <w:iCs/>
        </w:rPr>
        <w:t>Références</w:t>
      </w:r>
    </w:p>
    <w:p w14:paraId="1A09A43A" w14:textId="77777777" w:rsidR="0084489F" w:rsidRPr="008C0D99" w:rsidRDefault="00110FE6">
      <w:pPr>
        <w:pStyle w:val="BlockText"/>
        <w:rPr>
          <w:lang w:val="en-CA"/>
        </w:rPr>
      </w:pPr>
      <w:r>
        <w:t xml:space="preserve">Climacus, John. « Égypte, Mont Sinaï, Monastère Sainte-Catherine, MS gr. 418 ». </w:t>
      </w:r>
      <w:r w:rsidRPr="008C0D99">
        <w:rPr>
          <w:lang w:val="en-CA"/>
        </w:rPr>
        <w:t>Manuscrit. Monastère Sainte-Catherine, EG-JS, 1100.</w:t>
      </w:r>
      <w:hyperlink r:id="rId184">
        <w:r w:rsidRPr="008C0D99">
          <w:rPr>
            <w:rStyle w:val="Hyperlink"/>
            <w:lang w:val="en-CA"/>
          </w:rPr>
          <w:t xml:space="preserve"> </w:t>
        </w:r>
      </w:hyperlink>
      <w:hyperlink r:id="rId185">
        <w:r w:rsidRPr="008C0D99">
          <w:rPr>
            <w:rStyle w:val="Hyperlink"/>
            <w:lang w:val="en-CA"/>
          </w:rPr>
          <w:t>https://portail.biblissima.fr/fr/ark:/43093/mdata4173039fff31678134d93fd0bd8ff41dd71226a8</w:t>
        </w:r>
      </w:hyperlink>
      <w:r w:rsidRPr="008C0D99">
        <w:rPr>
          <w:lang w:val="en-CA"/>
        </w:rPr>
        <w:t>.</w:t>
      </w:r>
    </w:p>
    <w:p w14:paraId="7EEE1670" w14:textId="77777777" w:rsidR="0084489F" w:rsidRDefault="00110FE6">
      <w:pPr>
        <w:pStyle w:val="BlockText"/>
      </w:pPr>
      <w:r w:rsidRPr="008C0D99">
        <w:rPr>
          <w:lang w:val="en-CA"/>
        </w:rPr>
        <w:t xml:space="preserve">———. « Greek Manuscripts 418. </w:t>
      </w:r>
      <w:r w:rsidRPr="00203239">
        <w:rPr>
          <w:lang w:val="fr-CA"/>
        </w:rPr>
        <w:t xml:space="preserve">John Climacus ». Manuscrit. </w:t>
      </w:r>
      <w:r>
        <w:t>Monastère Sainte-Catherine, EG-JS, 1100.</w:t>
      </w:r>
      <w:hyperlink r:id="rId186">
        <w:r>
          <w:rPr>
            <w:rStyle w:val="Hyperlink"/>
          </w:rPr>
          <w:t xml:space="preserve"> </w:t>
        </w:r>
      </w:hyperlink>
      <w:hyperlink r:id="rId187">
        <w:r>
          <w:rPr>
            <w:rStyle w:val="Hyperlink"/>
          </w:rPr>
          <w:t>https://www.loc.gov/item/00279380435-ms</w:t>
        </w:r>
      </w:hyperlink>
      <w:r>
        <w:t>.</w:t>
      </w:r>
    </w:p>
    <w:p w14:paraId="0EDFD0EF" w14:textId="4D323B66" w:rsidR="0084489F" w:rsidRDefault="00110FE6">
      <w:pPr>
        <w:pStyle w:val="BlockText"/>
      </w:pPr>
      <w:r w:rsidRPr="1B9E7434">
        <w:rPr>
          <w:lang w:val="fr-FR"/>
        </w:rPr>
        <w:t xml:space="preserve">Lenormand, Louis Sébastien, et W. Maigne. « Tranchefile ». Dans </w:t>
      </w:r>
      <w:r w:rsidRPr="1B9E7434">
        <w:rPr>
          <w:i/>
          <w:iCs/>
          <w:lang w:val="fr-FR"/>
        </w:rPr>
        <w:t>Nouveau manuel complet du relieur en tous genres contenant les arts de l’assembleur, du satineur, du cartonneur, du marbreur sur tranches et du doreur sur tranches et sur cuir</w:t>
      </w:r>
      <w:r w:rsidRPr="1B9E7434">
        <w:rPr>
          <w:lang w:val="fr-FR"/>
        </w:rPr>
        <w:t xml:space="preserve">, édité par L. Mulo, 171‑75. Manuels Roret. 1900. </w:t>
      </w:r>
      <w:r w:rsidR="009D0EAD" w:rsidRPr="1B9E7434">
        <w:rPr>
          <w:lang w:val="fr-FR"/>
        </w:rPr>
        <w:t>Réimpression</w:t>
      </w:r>
      <w:r w:rsidRPr="1B9E7434">
        <w:rPr>
          <w:lang w:val="fr-FR"/>
        </w:rPr>
        <w:t>, Paris, FR-IDF: Encyclopédie-Roret, 2006.</w:t>
      </w:r>
      <w:hyperlink r:id="rId188">
        <w:r w:rsidRPr="1B9E7434">
          <w:rPr>
            <w:rStyle w:val="Hyperlink"/>
            <w:lang w:val="fr-FR"/>
          </w:rPr>
          <w:t xml:space="preserve"> </w:t>
        </w:r>
      </w:hyperlink>
      <w:hyperlink r:id="rId189">
        <w:r w:rsidRPr="1B9E7434">
          <w:rPr>
            <w:rStyle w:val="Hyperlink"/>
            <w:lang w:val="fr-FR"/>
          </w:rPr>
          <w:t>https://www.moulinduverger.com/reliure-manuelle/roret-69.php</w:t>
        </w:r>
      </w:hyperlink>
      <w:r w:rsidRPr="1B9E7434">
        <w:rPr>
          <w:lang w:val="fr-FR"/>
        </w:rPr>
        <w:t>.</w:t>
      </w:r>
    </w:p>
    <w:p w14:paraId="3B5F193F" w14:textId="77777777" w:rsidR="0084489F" w:rsidRDefault="00110FE6">
      <w:pPr>
        <w:pStyle w:val="BlockText"/>
      </w:pPr>
      <w:r w:rsidRPr="1B9E7434">
        <w:rPr>
          <w:lang w:val="fr-FR"/>
        </w:rPr>
        <w:t xml:space="preserve">Louis, Olivier. « Bâtonnets de tranchefile, fabrication, matériel utilisé et dimensions. » Blogue. </w:t>
      </w:r>
      <w:r w:rsidRPr="1B9E7434">
        <w:rPr>
          <w:i/>
          <w:iCs/>
          <w:lang w:val="fr-FR"/>
        </w:rPr>
        <w:t>Reliure d’art dare</w:t>
      </w:r>
      <w:r w:rsidRPr="1B9E7434">
        <w:rPr>
          <w:lang w:val="fr-FR"/>
        </w:rPr>
        <w:t xml:space="preserve"> (blog), 28 septembre 2021.</w:t>
      </w:r>
      <w:hyperlink r:id="rId190">
        <w:r w:rsidRPr="1B9E7434">
          <w:rPr>
            <w:rStyle w:val="Hyperlink"/>
            <w:lang w:val="fr-FR"/>
          </w:rPr>
          <w:t xml:space="preserve"> </w:t>
        </w:r>
      </w:hyperlink>
      <w:hyperlink r:id="rId191">
        <w:r w:rsidRPr="1B9E7434">
          <w:rPr>
            <w:rStyle w:val="Hyperlink"/>
            <w:lang w:val="fr-FR"/>
          </w:rPr>
          <w:t>https://reliuredartdare.com/2021/09/batonnets-tranchefile-fabrication/</w:t>
        </w:r>
      </w:hyperlink>
      <w:r w:rsidRPr="1B9E7434">
        <w:rPr>
          <w:lang w:val="fr-FR"/>
        </w:rPr>
        <w:t>.</w:t>
      </w:r>
    </w:p>
    <w:p w14:paraId="4A58571C" w14:textId="77777777" w:rsidR="0084489F" w:rsidRDefault="00110FE6">
      <w:pPr>
        <w:pStyle w:val="BlockText"/>
        <w:rPr>
          <w:lang w:val="en-CA"/>
        </w:rPr>
      </w:pPr>
      <w:r>
        <w:t xml:space="preserve">Smith, Shelagh, et Hélène Francœur. </w:t>
      </w:r>
      <w:r w:rsidRPr="008C0D99">
        <w:rPr>
          <w:i/>
          <w:iCs/>
          <w:lang w:val="en-CA"/>
        </w:rPr>
        <w:t>English to French Book Arts Terms</w:t>
      </w:r>
      <w:r w:rsidRPr="008C0D99">
        <w:rPr>
          <w:lang w:val="en-CA"/>
        </w:rPr>
        <w:t>. Toronto, CA-ON: Canadian Bookbinders and Book Artists Guild, 2021.</w:t>
      </w:r>
      <w:hyperlink r:id="rId192">
        <w:r w:rsidRPr="008C0D99">
          <w:rPr>
            <w:rStyle w:val="Hyperlink"/>
            <w:lang w:val="en-CA"/>
          </w:rPr>
          <w:t xml:space="preserve"> </w:t>
        </w:r>
      </w:hyperlink>
      <w:hyperlink r:id="rId193">
        <w:r w:rsidRPr="008C0D99">
          <w:rPr>
            <w:rStyle w:val="Hyperlink"/>
            <w:lang w:val="en-CA"/>
          </w:rPr>
          <w:t>https://www.cbbag.ca/resources/Public/Book%20Arts%20ENG%20FRE%20Translation.pdf</w:t>
        </w:r>
      </w:hyperlink>
      <w:r w:rsidRPr="008C0D99">
        <w:rPr>
          <w:lang w:val="en-CA"/>
        </w:rPr>
        <w:t>.</w:t>
      </w:r>
    </w:p>
    <w:p w14:paraId="492F4258" w14:textId="77777777" w:rsidR="004454E2" w:rsidRPr="004454E2" w:rsidRDefault="004454E2" w:rsidP="004454E2">
      <w:pPr>
        <w:pStyle w:val="BodyText"/>
        <w:rPr>
          <w:lang w:val="en-CA"/>
        </w:rPr>
      </w:pPr>
    </w:p>
    <w:p w14:paraId="3A12A31E" w14:textId="77777777" w:rsidR="0084489F" w:rsidRDefault="00110FE6">
      <w:pPr>
        <w:pStyle w:val="Heading2"/>
      </w:pPr>
      <w:bookmarkStart w:id="135" w:name="_Toc176864449"/>
      <w:bookmarkStart w:id="136" w:name="e15-assignation-didentifiant"/>
      <w:bookmarkEnd w:id="134"/>
      <w:r>
        <w:t>E15 Assignation d’identifiant</w:t>
      </w:r>
      <w:bookmarkEnd w:id="135"/>
    </w:p>
    <w:p w14:paraId="7808767C" w14:textId="77777777" w:rsidR="0084489F" w:rsidRDefault="00110FE6">
      <w:pPr>
        <w:pStyle w:val="FirstParagraph"/>
      </w:pPr>
      <w:r>
        <w:rPr>
          <w:b/>
          <w:bCs/>
        </w:rPr>
        <w:t>Sous-classe de</w:t>
      </w:r>
    </w:p>
    <w:p w14:paraId="77B662E9" w14:textId="77777777" w:rsidR="0084489F" w:rsidRDefault="00110FE6">
      <w:pPr>
        <w:pStyle w:val="BodyText"/>
      </w:pPr>
      <w:r>
        <w:rPr>
          <w:rStyle w:val="VerbatimChar"/>
        </w:rPr>
        <w:t>E13_Assignation_d’attribut</w:t>
      </w:r>
    </w:p>
    <w:p w14:paraId="2AFD8C31" w14:textId="77777777" w:rsidR="0084489F" w:rsidRDefault="00110FE6">
      <w:pPr>
        <w:pStyle w:val="BodyText"/>
      </w:pPr>
      <w:r>
        <w:rPr>
          <w:b/>
          <w:bCs/>
        </w:rPr>
        <w:t>Super-classe de</w:t>
      </w:r>
    </w:p>
    <w:p w14:paraId="5BF7FDE7" w14:textId="77777777" w:rsidR="0084489F" w:rsidRDefault="00110FE6">
      <w:pPr>
        <w:pStyle w:val="BodyText"/>
      </w:pPr>
      <w:r>
        <w:rPr>
          <w:b/>
          <w:bCs/>
        </w:rPr>
        <w:t>Note d’application</w:t>
      </w:r>
    </w:p>
    <w:p w14:paraId="53D47968" w14:textId="77777777" w:rsidR="0084489F" w:rsidRDefault="00110FE6">
      <w:pPr>
        <w:pStyle w:val="BodyText"/>
      </w:pPr>
      <w:r>
        <w:t xml:space="preserve">Cette classe comprend les activités desquelles résulte l’assignation d’un identifiant à une instance de </w:t>
      </w:r>
      <w:r>
        <w:rPr>
          <w:rStyle w:val="VerbatimChar"/>
        </w:rPr>
        <w:t>E1_Entité_CRM</w:t>
      </w:r>
      <w:r>
        <w:t xml:space="preserve">. Une instance de </w:t>
      </w:r>
      <w:r>
        <w:rPr>
          <w:rStyle w:val="VerbatimChar"/>
        </w:rPr>
        <w:t>E15_Assignation_d’identifiant</w:t>
      </w:r>
      <w:r>
        <w:t xml:space="preserve"> peut inclure la création de l’identifiant à partir de plusieurs éléments constitutifs, lesquels peuvent être des instances de </w:t>
      </w:r>
      <w:r>
        <w:rPr>
          <w:rStyle w:val="VerbatimChar"/>
        </w:rPr>
        <w:t>E41_Appellation</w:t>
      </w:r>
      <w:r>
        <w:t xml:space="preserve">. La syntaxe et les types d’éléments constitutifs utilisés peuvent être déclarés dans une règle constituant une instance de </w:t>
      </w:r>
      <w:r>
        <w:rPr>
          <w:rStyle w:val="VerbatimChar"/>
        </w:rPr>
        <w:t>E29_Conceptualisation_ou_procédure</w:t>
      </w:r>
      <w:r>
        <w:t>.</w:t>
      </w:r>
    </w:p>
    <w:p w14:paraId="1942799A" w14:textId="17B2BD69" w:rsidR="0084489F" w:rsidRDefault="00110FE6">
      <w:pPr>
        <w:pStyle w:val="BodyText"/>
      </w:pPr>
      <w:r w:rsidRPr="1B9E7434">
        <w:rPr>
          <w:lang w:val="fr-FR"/>
        </w:rPr>
        <w:t xml:space="preserve">Des exemples de tels identifiants comprennent les numéros de recherche et d'inventaire, les titres uniformes en bibliothéconomie et les identificateurs d’objets numériques. Documenter l’acte d’assignation et de désassignation est particulièrement utile lorsque les objets changent de garde ou que </w:t>
      </w:r>
      <w:r w:rsidRPr="1B9E7434">
        <w:rPr>
          <w:lang w:val="fr-FR"/>
        </w:rPr>
        <w:lastRenderedPageBreak/>
        <w:t>le système d’identification d’une organisation est modifié. Afin de conserver une trace de l’identité des choses dans de telles situations, il est important de documenter par qui, quand et dans quel but un identifiant a été assigné à une entité.</w:t>
      </w:r>
    </w:p>
    <w:p w14:paraId="263FD539" w14:textId="77777777" w:rsidR="0084489F" w:rsidRDefault="00110FE6">
      <w:pPr>
        <w:pStyle w:val="BodyText"/>
      </w:pPr>
      <w:r w:rsidRPr="1B9E7434">
        <w:rPr>
          <w:lang w:val="fr-FR"/>
        </w:rPr>
        <w:t xml:space="preserve">Le fait qu’un identifiant soit privilégié par une organisation peut être exprimé en utilisant le chemin sémantique suivant : </w:t>
      </w:r>
      <w:r w:rsidRPr="1B9E7434">
        <w:rPr>
          <w:rStyle w:val="VerbatimChar"/>
          <w:lang w:val="fr-FR"/>
        </w:rPr>
        <w:t>E1_Entité_CRM</w:t>
      </w:r>
      <w:r w:rsidRPr="1B9E7434">
        <w:rPr>
          <w:lang w:val="fr-FR"/>
        </w:rPr>
        <w:t xml:space="preserve">. </w:t>
      </w:r>
      <w:r w:rsidRPr="1B9E7434">
        <w:rPr>
          <w:rStyle w:val="VerbatimChar"/>
          <w:lang w:val="fr-FR"/>
        </w:rPr>
        <w:t>P48_a_pour_identifiant_préférentiel (est_l’identifiant_préférentiel_de)</w:t>
      </w:r>
      <w:r w:rsidRPr="1B9E7434">
        <w:rPr>
          <w:lang w:val="fr-FR"/>
        </w:rPr>
        <w:t xml:space="preserve"> : </w:t>
      </w:r>
      <w:r w:rsidRPr="1B9E7434">
        <w:rPr>
          <w:rStyle w:val="VerbatimChar"/>
          <w:lang w:val="fr-FR"/>
        </w:rPr>
        <w:t>E42_Identifiant</w:t>
      </w:r>
      <w:r w:rsidRPr="1B9E7434">
        <w:rPr>
          <w:lang w:val="fr-FR"/>
        </w:rPr>
        <w:t xml:space="preserve">. Il pourrait être préférable de l’exprimer sous une forme indépendante du contexte en assignant un </w:t>
      </w:r>
      <w:r w:rsidRPr="1B9E7434">
        <w:rPr>
          <w:rStyle w:val="VerbatimChar"/>
          <w:lang w:val="fr-FR"/>
        </w:rPr>
        <w:t>E55_Type</w:t>
      </w:r>
      <w:r w:rsidRPr="1B9E7434">
        <w:rPr>
          <w:lang w:val="fr-FR"/>
        </w:rPr>
        <w:t xml:space="preserve"> approprié, tel que « assignation d’identifiant privilégié » à l’instance de </w:t>
      </w:r>
      <w:r w:rsidRPr="1B9E7434">
        <w:rPr>
          <w:rStyle w:val="VerbatimChar"/>
          <w:lang w:val="fr-FR"/>
        </w:rPr>
        <w:t>E15_Assignation_d’identifiant</w:t>
      </w:r>
      <w:r w:rsidRPr="1B9E7434">
        <w:rPr>
          <w:lang w:val="fr-FR"/>
        </w:rPr>
        <w:t xml:space="preserve">, par le biais de la propriété </w:t>
      </w:r>
      <w:r w:rsidRPr="1B9E7434">
        <w:rPr>
          <w:rStyle w:val="VerbatimChar"/>
          <w:lang w:val="fr-FR"/>
        </w:rPr>
        <w:t>P2_a_pour_type (est_le_type_de)</w:t>
      </w:r>
      <w:r w:rsidRPr="1B9E7434">
        <w:rPr>
          <w:lang w:val="fr-FR"/>
        </w:rPr>
        <w:t>.</w:t>
      </w:r>
    </w:p>
    <w:p w14:paraId="79E3C219" w14:textId="77777777" w:rsidR="0084489F" w:rsidRDefault="00110FE6">
      <w:pPr>
        <w:pStyle w:val="BodyText"/>
      </w:pPr>
      <w:r>
        <w:rPr>
          <w:b/>
          <w:bCs/>
        </w:rPr>
        <w:t>Exemples</w:t>
      </w:r>
    </w:p>
    <w:p w14:paraId="319A237B" w14:textId="2E1D30BE" w:rsidR="0084489F" w:rsidRDefault="00110FE6" w:rsidP="00806324">
      <w:pPr>
        <w:numPr>
          <w:ilvl w:val="0"/>
          <w:numId w:val="66"/>
        </w:numPr>
      </w:pPr>
      <w:r w:rsidRPr="1B9E7434">
        <w:rPr>
          <w:lang w:val="fr-FR"/>
        </w:rPr>
        <w:t>Le remplacement du numéro d’inventaire « TA959a » par « GE34604 » pour un tissu liturgique du XVII</w:t>
      </w:r>
      <w:r w:rsidRPr="1B9E7434">
        <w:rPr>
          <w:vertAlign w:val="superscript"/>
          <w:lang w:val="fr-FR"/>
        </w:rPr>
        <w:t>e</w:t>
      </w:r>
      <w:r w:rsidRPr="1B9E7434">
        <w:rPr>
          <w:lang w:val="fr-FR"/>
        </w:rPr>
        <w:t> siècle au Musée Benaki à Athènes</w:t>
      </w:r>
    </w:p>
    <w:p w14:paraId="014FFCD4" w14:textId="7749150F" w:rsidR="0084489F" w:rsidRDefault="00110FE6" w:rsidP="00806324">
      <w:pPr>
        <w:numPr>
          <w:ilvl w:val="0"/>
          <w:numId w:val="66"/>
        </w:numPr>
      </w:pPr>
      <w:r w:rsidRPr="1B9E7434">
        <w:rPr>
          <w:lang w:val="fr-FR"/>
        </w:rPr>
        <w:t>Assignation de l'auteur et du titre uniforme « Gœthe, Johann Wolfgang von, 1749-1832. Faust. 1. Theil. » à l’œuvre</w:t>
      </w:r>
    </w:p>
    <w:p w14:paraId="74A30E01" w14:textId="2493A7F6" w:rsidR="0084489F" w:rsidRDefault="00110FE6" w:rsidP="00806324">
      <w:pPr>
        <w:numPr>
          <w:ilvl w:val="0"/>
          <w:numId w:val="66"/>
        </w:numPr>
      </w:pPr>
      <w:r w:rsidRPr="1B9E7434">
        <w:rPr>
          <w:lang w:val="fr-FR"/>
        </w:rPr>
        <w:t>Le 1</w:t>
      </w:r>
      <w:r w:rsidRPr="1B9E7434">
        <w:rPr>
          <w:vertAlign w:val="superscript"/>
          <w:lang w:val="fr-FR"/>
        </w:rPr>
        <w:t>er</w:t>
      </w:r>
      <w:r w:rsidRPr="1B9E7434">
        <w:rPr>
          <w:lang w:val="fr-FR"/>
        </w:rPr>
        <w:t xml:space="preserve"> juin 2001, assignation de la vedette de nom de personne « Guillaume, de Machaut, ca. 1300-1377 » à Guillaume de Machaut (Kelly, 2014)</w:t>
      </w:r>
    </w:p>
    <w:p w14:paraId="2E5D3706" w14:textId="77777777" w:rsidR="0084489F" w:rsidRDefault="00110FE6">
      <w:pPr>
        <w:pStyle w:val="FirstParagraph"/>
      </w:pPr>
      <w:r>
        <w:rPr>
          <w:b/>
          <w:bCs/>
        </w:rPr>
        <w:t>Logique</w:t>
      </w:r>
    </w:p>
    <w:p w14:paraId="4914AD88" w14:textId="77777777" w:rsidR="0084489F" w:rsidRDefault="00110FE6">
      <w:pPr>
        <w:pStyle w:val="BodyText"/>
      </w:pPr>
      <w:r>
        <w:t>E15(x) ⇒ E13(x)</w:t>
      </w:r>
    </w:p>
    <w:p w14:paraId="395217C5" w14:textId="77777777" w:rsidR="0084489F" w:rsidRDefault="00110FE6">
      <w:pPr>
        <w:pStyle w:val="BodyText"/>
      </w:pPr>
      <w:r>
        <w:rPr>
          <w:b/>
          <w:bCs/>
        </w:rPr>
        <w:t>Propriétés</w:t>
      </w:r>
    </w:p>
    <w:p w14:paraId="1D66A07C" w14:textId="77777777" w:rsidR="0084489F" w:rsidRDefault="00110FE6">
      <w:pPr>
        <w:pStyle w:val="BodyText"/>
      </w:pPr>
      <w:r w:rsidRPr="1B9E7434">
        <w:rPr>
          <w:rStyle w:val="VerbatimChar"/>
          <w:lang w:val="fr-FR"/>
        </w:rPr>
        <w:t>P37_a_assigné (a_été_assigné_par)</w:t>
      </w:r>
      <w:r w:rsidRPr="1B9E7434">
        <w:rPr>
          <w:lang w:val="fr-FR"/>
        </w:rPr>
        <w:t xml:space="preserve"> : </w:t>
      </w:r>
      <w:r w:rsidRPr="1B9E7434">
        <w:rPr>
          <w:rStyle w:val="VerbatimChar"/>
          <w:lang w:val="fr-FR"/>
        </w:rPr>
        <w:t>E42_Identifiant</w:t>
      </w:r>
    </w:p>
    <w:p w14:paraId="05276634" w14:textId="77777777" w:rsidR="0084489F" w:rsidRDefault="00110FE6">
      <w:pPr>
        <w:pStyle w:val="BodyText"/>
      </w:pPr>
      <w:r w:rsidRPr="1B9E7434">
        <w:rPr>
          <w:rStyle w:val="VerbatimChar"/>
          <w:lang w:val="fr-FR"/>
        </w:rPr>
        <w:t>P38_a_retiré_l’assignation (a_été_retiré_par)</w:t>
      </w:r>
    </w:p>
    <w:p w14:paraId="5388925C" w14:textId="77777777" w:rsidR="0084489F" w:rsidRDefault="00110FE6">
      <w:pPr>
        <w:pStyle w:val="BodyText"/>
      </w:pPr>
      <w:r>
        <w:rPr>
          <w:rStyle w:val="VerbatimChar"/>
        </w:rPr>
        <w:t>P142_a_mobilisé_comme_élément</w:t>
      </w:r>
      <w:r>
        <w:t xml:space="preserve"> : </w:t>
      </w:r>
      <w:r>
        <w:rPr>
          <w:rStyle w:val="VerbatimChar"/>
        </w:rPr>
        <w:t>E90_Objet_symbolique</w:t>
      </w:r>
    </w:p>
    <w:p w14:paraId="3963B97A" w14:textId="77777777" w:rsidR="0084489F" w:rsidRDefault="00110FE6">
      <w:pPr>
        <w:pStyle w:val="BlockText"/>
      </w:pPr>
      <w:r>
        <w:rPr>
          <w:b/>
          <w:bCs/>
          <w:i/>
          <w:iCs/>
        </w:rPr>
        <w:t>Note de traduction</w:t>
      </w:r>
    </w:p>
    <w:p w14:paraId="41CF3FEF" w14:textId="77777777" w:rsidR="0084489F" w:rsidRDefault="00110FE6">
      <w:pPr>
        <w:pStyle w:val="BlockText"/>
      </w:pPr>
      <w:r>
        <w:rPr>
          <w:b/>
          <w:bCs/>
          <w:i/>
          <w:iCs/>
        </w:rPr>
        <w:t>Références</w:t>
      </w:r>
    </w:p>
    <w:p w14:paraId="46D479A8" w14:textId="77777777" w:rsidR="0084489F" w:rsidRDefault="0084489F">
      <w:pPr>
        <w:pStyle w:val="BlockText"/>
      </w:pPr>
    </w:p>
    <w:p w14:paraId="604C06F5" w14:textId="77777777" w:rsidR="0084489F" w:rsidRDefault="00110FE6">
      <w:pPr>
        <w:pStyle w:val="Heading2"/>
      </w:pPr>
      <w:bookmarkStart w:id="137" w:name="_Toc176864450"/>
      <w:bookmarkStart w:id="138" w:name="e16-mesurage"/>
      <w:bookmarkEnd w:id="136"/>
      <w:r>
        <w:t>E16 Mesurage</w:t>
      </w:r>
      <w:bookmarkEnd w:id="137"/>
    </w:p>
    <w:p w14:paraId="5FB3D88B" w14:textId="77777777" w:rsidR="0084489F" w:rsidRDefault="00110FE6">
      <w:pPr>
        <w:pStyle w:val="FirstParagraph"/>
      </w:pPr>
      <w:r>
        <w:rPr>
          <w:b/>
          <w:bCs/>
        </w:rPr>
        <w:t>Sous-classe de</w:t>
      </w:r>
    </w:p>
    <w:p w14:paraId="118729C9" w14:textId="77777777" w:rsidR="0084489F" w:rsidRDefault="00110FE6">
      <w:pPr>
        <w:pStyle w:val="BodyText"/>
      </w:pPr>
      <w:r>
        <w:rPr>
          <w:rStyle w:val="VerbatimChar"/>
        </w:rPr>
        <w:t>E13_Assignation_d’attribut</w:t>
      </w:r>
    </w:p>
    <w:p w14:paraId="095ABCF8" w14:textId="77777777" w:rsidR="0084489F" w:rsidRDefault="00110FE6">
      <w:pPr>
        <w:pStyle w:val="BodyText"/>
      </w:pPr>
      <w:r>
        <w:rPr>
          <w:b/>
          <w:bCs/>
        </w:rPr>
        <w:t>Super-classe de</w:t>
      </w:r>
    </w:p>
    <w:p w14:paraId="79102B5D" w14:textId="77777777" w:rsidR="0084489F" w:rsidRDefault="00110FE6">
      <w:pPr>
        <w:pStyle w:val="BodyText"/>
      </w:pPr>
      <w:r>
        <w:rPr>
          <w:b/>
          <w:bCs/>
        </w:rPr>
        <w:t>Note d’application</w:t>
      </w:r>
    </w:p>
    <w:p w14:paraId="7C5C949B" w14:textId="77777777" w:rsidR="0084489F" w:rsidRDefault="00110FE6">
      <w:pPr>
        <w:pStyle w:val="BodyText"/>
      </w:pPr>
      <w:r>
        <w:t>Cette classe comprend les actions permettant de mesurer les propriétés physiques et les autres valeurs qui peuvent être déterminées par une procédure systématique et objective d'observation directe des états particuliers de la réalité physique.</w:t>
      </w:r>
    </w:p>
    <w:p w14:paraId="06BDE809" w14:textId="136CFFB5" w:rsidR="0084489F" w:rsidRDefault="00110FE6">
      <w:pPr>
        <w:pStyle w:val="BodyText"/>
      </w:pPr>
      <w:r w:rsidRPr="1B9E7434">
        <w:rPr>
          <w:lang w:val="fr-FR"/>
        </w:rPr>
        <w:t xml:space="preserve">Une instance de </w:t>
      </w:r>
      <w:r w:rsidRPr="1B9E7434">
        <w:rPr>
          <w:rStyle w:val="VerbatimChar"/>
          <w:lang w:val="fr-FR"/>
        </w:rPr>
        <w:t>E16_Mesurage</w:t>
      </w:r>
      <w:r w:rsidRPr="1B9E7434">
        <w:rPr>
          <w:lang w:val="fr-FR"/>
        </w:rPr>
        <w:t xml:space="preserve"> peut impliquer un simple comptage ou l'utilisation d'outils, tels que des étalons ou des détecteurs de radiation. L'intérêt de cette approche est dans la méthode appliquée et le soin apporté, de manière à pouvoir juger ultérieurement de la fiabilité du résultat ou de poursuivre la recherche sur les documents associés. La date de l'événement est importante pour les dimensions, qui peuvent changer de valeur au fil du temps, comme la longueur d'un objet sujet au rétrécissement. Les </w:t>
      </w:r>
      <w:r w:rsidRPr="1B9E7434">
        <w:rPr>
          <w:lang w:val="fr-FR"/>
        </w:rPr>
        <w:lastRenderedPageBreak/>
        <w:t xml:space="preserve">méthodes et dispositifs employés doivent être associés à des instances de </w:t>
      </w:r>
      <w:r w:rsidRPr="1B9E7434">
        <w:rPr>
          <w:rStyle w:val="VerbatimChar"/>
          <w:lang w:val="fr-FR"/>
        </w:rPr>
        <w:t>E16_Mesurage</w:t>
      </w:r>
      <w:r w:rsidRPr="1B9E7434">
        <w:rPr>
          <w:lang w:val="fr-FR"/>
        </w:rPr>
        <w:t xml:space="preserve"> par des propriétés telles que </w:t>
      </w:r>
      <w:r w:rsidRPr="1B9E7434">
        <w:rPr>
          <w:rStyle w:val="VerbatimChar"/>
          <w:lang w:val="fr-FR"/>
        </w:rPr>
        <w:t>P33_a_mobilisé_comme_technique_spécifique</w:t>
      </w:r>
      <w:r w:rsidRPr="1B9E7434">
        <w:rPr>
          <w:lang w:val="fr-FR"/>
        </w:rPr>
        <w:t xml:space="preserve"> : </w:t>
      </w:r>
      <w:r w:rsidRPr="1B9E7434">
        <w:rPr>
          <w:rStyle w:val="VerbatimChar"/>
          <w:lang w:val="fr-FR"/>
        </w:rPr>
        <w:t>E29_Conceptualisation_ou_procédure</w:t>
      </w:r>
      <w:r w:rsidRPr="1B9E7434">
        <w:rPr>
          <w:lang w:val="fr-FR"/>
        </w:rPr>
        <w:t xml:space="preserve">, </w:t>
      </w:r>
      <w:r w:rsidRPr="1B9E7434">
        <w:rPr>
          <w:rStyle w:val="VerbatimChar"/>
          <w:lang w:val="fr-FR"/>
        </w:rPr>
        <w:t>P125_a_mobilisé_l'objet_du_type</w:t>
      </w:r>
      <w:r w:rsidRPr="1B9E7434">
        <w:rPr>
          <w:lang w:val="fr-FR"/>
        </w:rPr>
        <w:t xml:space="preserve"> : </w:t>
      </w:r>
      <w:r w:rsidRPr="1B9E7434">
        <w:rPr>
          <w:rStyle w:val="VerbatimChar"/>
          <w:lang w:val="fr-FR"/>
        </w:rPr>
        <w:t>E55_Type</w:t>
      </w:r>
      <w:r w:rsidRPr="1B9E7434">
        <w:rPr>
          <w:lang w:val="fr-FR"/>
        </w:rPr>
        <w:t xml:space="preserve">, </w:t>
      </w:r>
      <w:r w:rsidRPr="1B9E7434">
        <w:rPr>
          <w:rStyle w:val="VerbatimChar"/>
          <w:lang w:val="fr-FR"/>
        </w:rPr>
        <w:t>P16_a_mobilisé_l’objet_spécifique (a_été_mobilisé_pour)</w:t>
      </w:r>
      <w:r w:rsidRPr="1B9E7434">
        <w:rPr>
          <w:lang w:val="fr-FR"/>
        </w:rPr>
        <w:t xml:space="preserve"> : </w:t>
      </w:r>
      <w:r w:rsidRPr="1B9E7434">
        <w:rPr>
          <w:rStyle w:val="VerbatimChar"/>
          <w:lang w:val="fr-FR"/>
        </w:rPr>
        <w:t>E70_Chose</w:t>
      </w:r>
      <w:r w:rsidRPr="1B9E7434">
        <w:rPr>
          <w:lang w:val="fr-FR"/>
        </w:rPr>
        <w:t xml:space="preserve">, alors que les techniques de base telles que la datation au carbone 14 doivent être encodées en utilisant </w:t>
      </w:r>
      <w:r w:rsidRPr="1B9E7434">
        <w:rPr>
          <w:rStyle w:val="VerbatimChar"/>
          <w:lang w:val="fr-FR"/>
        </w:rPr>
        <w:t>P2_a_pour_type (est_le_type_de)</w:t>
      </w:r>
      <w:r w:rsidRPr="1B9E7434">
        <w:rPr>
          <w:lang w:val="fr-FR"/>
        </w:rPr>
        <w:t xml:space="preserve"> : </w:t>
      </w:r>
      <w:r w:rsidRPr="1B9E7434">
        <w:rPr>
          <w:rStyle w:val="VerbatimChar"/>
          <w:lang w:val="fr-FR"/>
        </w:rPr>
        <w:t>E55_Type</w:t>
      </w:r>
      <w:r w:rsidRPr="1B9E7434">
        <w:rPr>
          <w:lang w:val="fr-FR"/>
        </w:rPr>
        <w:t xml:space="preserve">. Les détails concernant les méthodes et les dispositifs réutilisés ou réutilisables dans d'autres instances de </w:t>
      </w:r>
      <w:r w:rsidRPr="1B9E7434">
        <w:rPr>
          <w:rStyle w:val="VerbatimChar"/>
          <w:lang w:val="fr-FR"/>
        </w:rPr>
        <w:t>E16_Mesurage</w:t>
      </w:r>
      <w:r w:rsidRPr="1B9E7434">
        <w:rPr>
          <w:lang w:val="fr-FR"/>
        </w:rPr>
        <w:t xml:space="preserve"> doivent être documentés pour ces entités plutôt que pour les mesures elles-mêmes, tandis que les détails concernant une exécution particulière peuvent être documentés en texte libre ou en instanciant des sous-activités adéquates, si ces détails peuvent être d'intérêt pour une requête plus globale.</w:t>
      </w:r>
    </w:p>
    <w:p w14:paraId="3E7B6023" w14:textId="77777777" w:rsidR="0084489F" w:rsidRDefault="00110FE6">
      <w:pPr>
        <w:pStyle w:val="BodyText"/>
      </w:pPr>
      <w:r w:rsidRPr="1B9E7434">
        <w:rPr>
          <w:lang w:val="fr-FR"/>
        </w:rPr>
        <w:t xml:space="preserve">Qu'une mesure soit effectuée par un instrument ou par les sens humains, celle-ci représente la transition initiale de la réalité physique à l'information sans qu'aucun autre objet d'information documenté entre les deux dans la chaîne de raisonnement puisse représenter le résultat de l'interaction de l'observateur ou de l'appareil avec la réalité. Par conséquent, le fait de déterminer des propriétés d’une instance de </w:t>
      </w:r>
      <w:r w:rsidRPr="1B9E7434">
        <w:rPr>
          <w:rStyle w:val="VerbatimChar"/>
          <w:lang w:val="fr-FR"/>
        </w:rPr>
        <w:t>E90_Objet_symbolique</w:t>
      </w:r>
      <w:r w:rsidRPr="1B9E7434">
        <w:rPr>
          <w:lang w:val="fr-FR"/>
        </w:rPr>
        <w:t xml:space="preserve"> est considéré comme une instance de </w:t>
      </w:r>
      <w:r w:rsidRPr="1B9E7434">
        <w:rPr>
          <w:rStyle w:val="VerbatimChar"/>
          <w:lang w:val="fr-FR"/>
        </w:rPr>
        <w:t>E13_Assignation_d’attribut</w:t>
      </w:r>
      <w:r w:rsidRPr="1B9E7434">
        <w:rPr>
          <w:lang w:val="fr-FR"/>
        </w:rPr>
        <w:t xml:space="preserve">, qui peut être inférée de l’observation et du mesurage de supports représentatifs de l’objet. Dans le cas où le support peut être nommé, la propriété </w:t>
      </w:r>
      <w:r w:rsidRPr="1B9E7434">
        <w:rPr>
          <w:rStyle w:val="VerbatimChar"/>
          <w:lang w:val="fr-FR"/>
        </w:rPr>
        <w:t>P16_a_mobilisé_l’objet_spécifique (a_été_mobilisé_pour)</w:t>
      </w:r>
      <w:r w:rsidRPr="1B9E7434">
        <w:rPr>
          <w:lang w:val="fr-FR"/>
        </w:rPr>
        <w:t xml:space="preserve"> doit être utilisée pour indiquer la ou les instances de </w:t>
      </w:r>
      <w:r w:rsidRPr="1B9E7434">
        <w:rPr>
          <w:rStyle w:val="VerbatimChar"/>
          <w:lang w:val="fr-FR"/>
        </w:rPr>
        <w:t>E18_Chose_matérielle</w:t>
      </w:r>
      <w:r w:rsidRPr="1B9E7434">
        <w:rPr>
          <w:lang w:val="fr-FR"/>
        </w:rPr>
        <w:t xml:space="preserve"> qui ont été utilisées comme base empirique pour l’assignation d’attribut. Par exemple, les propriétés inférées des entités représentées à l'aide d'images, comme des images satellites, ne sont pas considérées comme des instances de </w:t>
      </w:r>
      <w:r w:rsidRPr="1B9E7434">
        <w:rPr>
          <w:rStyle w:val="VerbatimChar"/>
          <w:lang w:val="fr-FR"/>
        </w:rPr>
        <w:t>E16_Mesurage</w:t>
      </w:r>
      <w:r w:rsidRPr="1B9E7434">
        <w:rPr>
          <w:lang w:val="fr-FR"/>
        </w:rPr>
        <w:t xml:space="preserve">, mais comme des instances subséquentes de </w:t>
      </w:r>
      <w:r w:rsidRPr="1B9E7434">
        <w:rPr>
          <w:rStyle w:val="VerbatimChar"/>
          <w:lang w:val="fr-FR"/>
        </w:rPr>
        <w:t>E13_Assignation_d’attribut</w:t>
      </w:r>
      <w:r w:rsidRPr="1B9E7434">
        <w:rPr>
          <w:lang w:val="fr-FR"/>
        </w:rPr>
        <w:t xml:space="preserve">. Plutôt, seule la production des images, comprises comme des réseaux d'intensités de radiation, est considérée comme une instance de </w:t>
      </w:r>
      <w:r w:rsidRPr="1B9E7434">
        <w:rPr>
          <w:rStyle w:val="VerbatimChar"/>
          <w:lang w:val="fr-FR"/>
        </w:rPr>
        <w:t>E16_Mesurage</w:t>
      </w:r>
      <w:r w:rsidRPr="1B9E7434">
        <w:rPr>
          <w:lang w:val="fr-FR"/>
        </w:rPr>
        <w:t>. Le même raisonnement vaut pour les autres données captées.</w:t>
      </w:r>
    </w:p>
    <w:p w14:paraId="1E23E167" w14:textId="77777777" w:rsidR="0084489F" w:rsidRDefault="00110FE6">
      <w:pPr>
        <w:pStyle w:val="BodyText"/>
      </w:pPr>
      <w:r>
        <w:rPr>
          <w:b/>
          <w:bCs/>
        </w:rPr>
        <w:t>Exemples</w:t>
      </w:r>
    </w:p>
    <w:p w14:paraId="618AF938" w14:textId="77777777" w:rsidR="0084489F" w:rsidRDefault="00110FE6" w:rsidP="00806324">
      <w:pPr>
        <w:numPr>
          <w:ilvl w:val="0"/>
          <w:numId w:val="67"/>
        </w:numPr>
      </w:pPr>
      <w:r>
        <w:t>La mesure de la hauteur de la coupe en argent « 232 » le 31 août 1997 (fictif)</w:t>
      </w:r>
    </w:p>
    <w:p w14:paraId="2B87BA27" w14:textId="72B18072" w:rsidR="0084489F" w:rsidRDefault="00110FE6" w:rsidP="00806324">
      <w:pPr>
        <w:numPr>
          <w:ilvl w:val="0"/>
          <w:numId w:val="67"/>
        </w:numPr>
      </w:pPr>
      <w:r w:rsidRPr="1B9E7434">
        <w:rPr>
          <w:lang w:val="fr-FR"/>
        </w:rPr>
        <w:t>La datation au carbone 14 de la « Schœninger Speer II » en 1996 [la datation au carbone 14 d'une lance en bois paléolithique complète datant d'environ 400 000 ans trouvée en 1995 à Schœningen, Niedersachsen, en Allemagne] (Kouwenhoven, 1997)</w:t>
      </w:r>
    </w:p>
    <w:p w14:paraId="10FD37B9" w14:textId="77777777" w:rsidR="0084489F" w:rsidRDefault="00110FE6">
      <w:pPr>
        <w:pStyle w:val="FirstParagraph"/>
      </w:pPr>
      <w:r>
        <w:rPr>
          <w:b/>
          <w:bCs/>
        </w:rPr>
        <w:t>Logique</w:t>
      </w:r>
    </w:p>
    <w:p w14:paraId="5D4F679B" w14:textId="77777777" w:rsidR="0084489F" w:rsidRDefault="00110FE6">
      <w:pPr>
        <w:pStyle w:val="BodyText"/>
      </w:pPr>
      <w:r>
        <w:t>E16(x) ⇒ E13(x)</w:t>
      </w:r>
    </w:p>
    <w:p w14:paraId="4A469660" w14:textId="77777777" w:rsidR="0084489F" w:rsidRDefault="00110FE6">
      <w:pPr>
        <w:pStyle w:val="BodyText"/>
      </w:pPr>
      <w:r>
        <w:rPr>
          <w:b/>
          <w:bCs/>
        </w:rPr>
        <w:t>Propriétés</w:t>
      </w:r>
    </w:p>
    <w:p w14:paraId="1103BE64" w14:textId="77777777" w:rsidR="0084489F" w:rsidRDefault="00110FE6">
      <w:pPr>
        <w:pStyle w:val="BodyText"/>
      </w:pPr>
      <w:r w:rsidRPr="1B9E7434">
        <w:rPr>
          <w:rStyle w:val="VerbatimChar"/>
          <w:lang w:val="fr-FR"/>
        </w:rPr>
        <w:t>P39_a_mesuré (a_été_mesuré_par)</w:t>
      </w:r>
      <w:r w:rsidRPr="1B9E7434">
        <w:rPr>
          <w:lang w:val="fr-FR"/>
        </w:rPr>
        <w:t xml:space="preserve"> : </w:t>
      </w:r>
      <w:r w:rsidRPr="1B9E7434">
        <w:rPr>
          <w:rStyle w:val="VerbatimChar"/>
          <w:lang w:val="fr-FR"/>
        </w:rPr>
        <w:t>E18_Chose_matérielle</w:t>
      </w:r>
    </w:p>
    <w:p w14:paraId="57ABA9D0" w14:textId="77777777" w:rsidR="0084489F" w:rsidRDefault="00110FE6">
      <w:pPr>
        <w:pStyle w:val="BodyText"/>
      </w:pPr>
      <w:r w:rsidRPr="1B9E7434">
        <w:rPr>
          <w:rStyle w:val="VerbatimChar"/>
          <w:lang w:val="fr-FR"/>
        </w:rPr>
        <w:t>P40_a_relevé_comme_dimension (a_été_relevé_par)</w:t>
      </w:r>
      <w:r w:rsidRPr="1B9E7434">
        <w:rPr>
          <w:lang w:val="fr-FR"/>
        </w:rPr>
        <w:t xml:space="preserve"> : </w:t>
      </w:r>
      <w:r w:rsidRPr="1B9E7434">
        <w:rPr>
          <w:rStyle w:val="VerbatimChar"/>
          <w:lang w:val="fr-FR"/>
        </w:rPr>
        <w:t>E54_Dimension</w:t>
      </w:r>
    </w:p>
    <w:p w14:paraId="6F9E8633" w14:textId="77777777" w:rsidR="0084489F" w:rsidRDefault="00110FE6">
      <w:pPr>
        <w:pStyle w:val="BlockText"/>
      </w:pPr>
      <w:r>
        <w:rPr>
          <w:b/>
          <w:bCs/>
          <w:i/>
          <w:iCs/>
        </w:rPr>
        <w:t>Note de traduction</w:t>
      </w:r>
    </w:p>
    <w:p w14:paraId="2F8F331C" w14:textId="77777777" w:rsidR="0084489F" w:rsidRDefault="00110FE6">
      <w:pPr>
        <w:pStyle w:val="BlockText"/>
      </w:pPr>
      <w:r>
        <w:rPr>
          <w:b/>
          <w:bCs/>
          <w:i/>
          <w:iCs/>
        </w:rPr>
        <w:t>Références</w:t>
      </w:r>
    </w:p>
    <w:p w14:paraId="23A89842" w14:textId="77777777" w:rsidR="0084489F" w:rsidRDefault="0084489F">
      <w:pPr>
        <w:pStyle w:val="BlockText"/>
      </w:pPr>
    </w:p>
    <w:p w14:paraId="15E5E2B6" w14:textId="77777777" w:rsidR="0084489F" w:rsidRDefault="00110FE6">
      <w:pPr>
        <w:pStyle w:val="Heading2"/>
      </w:pPr>
      <w:bookmarkStart w:id="139" w:name="_Toc176864451"/>
      <w:bookmarkStart w:id="140" w:name="e17-assignation-de-type"/>
      <w:bookmarkEnd w:id="138"/>
      <w:r>
        <w:t>E17 Assignation de type</w:t>
      </w:r>
      <w:bookmarkEnd w:id="139"/>
    </w:p>
    <w:p w14:paraId="2F372594" w14:textId="77777777" w:rsidR="0084489F" w:rsidRDefault="00110FE6">
      <w:pPr>
        <w:pStyle w:val="FirstParagraph"/>
      </w:pPr>
      <w:r>
        <w:rPr>
          <w:b/>
          <w:bCs/>
        </w:rPr>
        <w:t>Sous-classe de</w:t>
      </w:r>
    </w:p>
    <w:p w14:paraId="71A960DA" w14:textId="77777777" w:rsidR="0084489F" w:rsidRDefault="00110FE6">
      <w:pPr>
        <w:pStyle w:val="BodyText"/>
      </w:pPr>
      <w:r>
        <w:rPr>
          <w:rStyle w:val="VerbatimChar"/>
        </w:rPr>
        <w:t>E13_Assignation_d’attribut</w:t>
      </w:r>
    </w:p>
    <w:p w14:paraId="09F56CFB" w14:textId="77777777" w:rsidR="0084489F" w:rsidRDefault="00110FE6">
      <w:pPr>
        <w:pStyle w:val="BodyText"/>
      </w:pPr>
      <w:r>
        <w:rPr>
          <w:b/>
          <w:bCs/>
        </w:rPr>
        <w:t>Super-classe de</w:t>
      </w:r>
    </w:p>
    <w:p w14:paraId="27628E4F" w14:textId="77777777" w:rsidR="0084489F" w:rsidRDefault="00110FE6">
      <w:pPr>
        <w:pStyle w:val="BodyText"/>
      </w:pPr>
      <w:r>
        <w:rPr>
          <w:b/>
          <w:bCs/>
        </w:rPr>
        <w:lastRenderedPageBreak/>
        <w:t>Note d’application</w:t>
      </w:r>
    </w:p>
    <w:p w14:paraId="0AFA3E3A" w14:textId="77777777" w:rsidR="0084489F" w:rsidRDefault="00110FE6">
      <w:pPr>
        <w:pStyle w:val="BodyText"/>
      </w:pPr>
      <w:r>
        <w:t>Cette classe comprend les actions de classification d'éléments de toute nature. Ces éléments comprennent des objets, des spécimens, des personnes, des actions et des concepts.</w:t>
      </w:r>
    </w:p>
    <w:p w14:paraId="3D31DC29" w14:textId="77777777" w:rsidR="0084489F" w:rsidRDefault="00110FE6">
      <w:pPr>
        <w:pStyle w:val="BodyText"/>
      </w:pPr>
      <w:r>
        <w:t>Cette classe permet de documenter le contexte des actions de classification pour lesquelles la valeur dépend de l'opinion de la personne effectuant la classification et de la date à laquelle la classification a été effectuée. Cette classe englobe également la notion de « détermination », c.-à-d. l'identification systématique et moléculaire d'un spécimen en biologie.</w:t>
      </w:r>
    </w:p>
    <w:p w14:paraId="3CD7E75D" w14:textId="77777777" w:rsidR="0084489F" w:rsidRDefault="00110FE6">
      <w:pPr>
        <w:pStyle w:val="BodyText"/>
      </w:pPr>
      <w:r>
        <w:rPr>
          <w:b/>
          <w:bCs/>
        </w:rPr>
        <w:t>Exemples</w:t>
      </w:r>
    </w:p>
    <w:p w14:paraId="41D3A5CA" w14:textId="61883ECD" w:rsidR="0084489F" w:rsidRDefault="00110FE6" w:rsidP="00806324">
      <w:pPr>
        <w:numPr>
          <w:ilvl w:val="0"/>
          <w:numId w:val="68"/>
        </w:numPr>
      </w:pPr>
      <w:r w:rsidRPr="1B9E7434">
        <w:rPr>
          <w:lang w:val="fr-FR"/>
        </w:rPr>
        <w:t>La première classification de l'objet « GE34604 » comme tissu liturgique au musée Benaki à Athènes</w:t>
      </w:r>
    </w:p>
    <w:p w14:paraId="6F8C0967" w14:textId="3CBD3F1D" w:rsidR="0084489F" w:rsidRDefault="00110FE6" w:rsidP="00806324">
      <w:pPr>
        <w:numPr>
          <w:ilvl w:val="0"/>
          <w:numId w:val="68"/>
        </w:numPr>
      </w:pPr>
      <w:r w:rsidRPr="1B9E7434">
        <w:rPr>
          <w:lang w:val="fr-FR"/>
        </w:rPr>
        <w:t xml:space="preserve">L'identification d'un cactus dans le jardin de Martin Doerr comme </w:t>
      </w:r>
      <w:r w:rsidRPr="1B9E7434">
        <w:rPr>
          <w:i/>
          <w:iCs/>
          <w:lang w:val="fr-FR"/>
        </w:rPr>
        <w:t>Cereus hildmannianus</w:t>
      </w:r>
      <w:r w:rsidRPr="1B9E7434">
        <w:rPr>
          <w:lang w:val="fr-FR"/>
        </w:rPr>
        <w:t xml:space="preserve"> K. Schum en juillet 2003</w:t>
      </w:r>
    </w:p>
    <w:p w14:paraId="6A519825" w14:textId="77777777" w:rsidR="0084489F" w:rsidRDefault="00110FE6">
      <w:pPr>
        <w:pStyle w:val="FirstParagraph"/>
      </w:pPr>
      <w:r>
        <w:rPr>
          <w:b/>
          <w:bCs/>
        </w:rPr>
        <w:t>Logique</w:t>
      </w:r>
    </w:p>
    <w:p w14:paraId="5746BAA7" w14:textId="77777777" w:rsidR="0084489F" w:rsidRDefault="00110FE6">
      <w:pPr>
        <w:pStyle w:val="BodyText"/>
      </w:pPr>
      <w:r>
        <w:t>E17(x) ⇒ E13(x)</w:t>
      </w:r>
    </w:p>
    <w:p w14:paraId="4F737222" w14:textId="77777777" w:rsidR="0084489F" w:rsidRDefault="00110FE6">
      <w:pPr>
        <w:pStyle w:val="BodyText"/>
      </w:pPr>
      <w:r>
        <w:rPr>
          <w:b/>
          <w:bCs/>
        </w:rPr>
        <w:t>Propriétés</w:t>
      </w:r>
    </w:p>
    <w:p w14:paraId="1AEE578C" w14:textId="77777777" w:rsidR="0084489F" w:rsidRDefault="00110FE6">
      <w:pPr>
        <w:pStyle w:val="BodyText"/>
      </w:pPr>
      <w:r w:rsidRPr="1B9E7434">
        <w:rPr>
          <w:rStyle w:val="VerbatimChar"/>
          <w:lang w:val="fr-FR"/>
        </w:rPr>
        <w:t>P41_a_classifié (a_été_classifié_par)</w:t>
      </w:r>
      <w:r w:rsidRPr="1B9E7434">
        <w:rPr>
          <w:lang w:val="fr-FR"/>
        </w:rPr>
        <w:t xml:space="preserve"> : </w:t>
      </w:r>
      <w:r w:rsidRPr="1B9E7434">
        <w:rPr>
          <w:rStyle w:val="VerbatimChar"/>
          <w:lang w:val="fr-FR"/>
        </w:rPr>
        <w:t>E1_Entité_CRM</w:t>
      </w:r>
    </w:p>
    <w:p w14:paraId="44A15D7E" w14:textId="77777777" w:rsidR="0084489F" w:rsidRDefault="00110FE6">
      <w:pPr>
        <w:pStyle w:val="BodyText"/>
      </w:pPr>
      <w:r w:rsidRPr="1B9E7434">
        <w:rPr>
          <w:rStyle w:val="VerbatimChar"/>
          <w:lang w:val="fr-FR"/>
        </w:rPr>
        <w:t>P42_a_assigné (a_été_assigné_par)</w:t>
      </w:r>
      <w:r w:rsidRPr="1B9E7434">
        <w:rPr>
          <w:lang w:val="fr-FR"/>
        </w:rPr>
        <w:t xml:space="preserve"> : </w:t>
      </w:r>
      <w:r w:rsidRPr="1B9E7434">
        <w:rPr>
          <w:rStyle w:val="VerbatimChar"/>
          <w:lang w:val="fr-FR"/>
        </w:rPr>
        <w:t>E55_Type</w:t>
      </w:r>
    </w:p>
    <w:p w14:paraId="7D8C771F" w14:textId="77777777" w:rsidR="0084489F" w:rsidRDefault="00110FE6">
      <w:pPr>
        <w:pStyle w:val="BlockText"/>
      </w:pPr>
      <w:r>
        <w:rPr>
          <w:b/>
          <w:bCs/>
          <w:i/>
          <w:iCs/>
        </w:rPr>
        <w:t>Note de traduction</w:t>
      </w:r>
    </w:p>
    <w:p w14:paraId="10C2E3FD" w14:textId="77777777" w:rsidR="0084489F" w:rsidRDefault="00110FE6">
      <w:pPr>
        <w:pStyle w:val="BlockText"/>
      </w:pPr>
      <w:r>
        <w:rPr>
          <w:b/>
          <w:bCs/>
          <w:i/>
          <w:iCs/>
        </w:rPr>
        <w:t>Références</w:t>
      </w:r>
    </w:p>
    <w:p w14:paraId="1FB120FA" w14:textId="77777777" w:rsidR="0084489F" w:rsidRDefault="0084489F">
      <w:pPr>
        <w:pStyle w:val="BlockText"/>
      </w:pPr>
    </w:p>
    <w:p w14:paraId="694AD5E8" w14:textId="77777777" w:rsidR="0084489F" w:rsidRDefault="00110FE6">
      <w:pPr>
        <w:pStyle w:val="Heading2"/>
      </w:pPr>
      <w:bookmarkStart w:id="141" w:name="_Toc176864452"/>
      <w:bookmarkStart w:id="142" w:name="e18-chose-materielle"/>
      <w:bookmarkEnd w:id="140"/>
      <w:r>
        <w:t>E18 Chose matérielle</w:t>
      </w:r>
      <w:bookmarkEnd w:id="141"/>
    </w:p>
    <w:p w14:paraId="76FD233C" w14:textId="77777777" w:rsidR="0084489F" w:rsidRDefault="00110FE6">
      <w:pPr>
        <w:pStyle w:val="FirstParagraph"/>
      </w:pPr>
      <w:r>
        <w:rPr>
          <w:b/>
          <w:bCs/>
        </w:rPr>
        <w:t>Sous-classe de</w:t>
      </w:r>
    </w:p>
    <w:p w14:paraId="683D9B99" w14:textId="77777777" w:rsidR="0084489F" w:rsidRDefault="00110FE6">
      <w:pPr>
        <w:pStyle w:val="BodyText"/>
      </w:pPr>
      <w:r>
        <w:rPr>
          <w:rStyle w:val="VerbatimChar"/>
        </w:rPr>
        <w:t>E72_Objet_juridique</w:t>
      </w:r>
    </w:p>
    <w:p w14:paraId="1E871E84" w14:textId="77777777" w:rsidR="0084489F" w:rsidRDefault="00110FE6">
      <w:pPr>
        <w:pStyle w:val="BodyText"/>
      </w:pPr>
      <w:r>
        <w:rPr>
          <w:b/>
          <w:bCs/>
        </w:rPr>
        <w:t>Super-classe de</w:t>
      </w:r>
    </w:p>
    <w:p w14:paraId="40AA70F0" w14:textId="77777777" w:rsidR="0084489F" w:rsidRDefault="00110FE6">
      <w:pPr>
        <w:pStyle w:val="BodyText"/>
      </w:pPr>
      <w:r>
        <w:rPr>
          <w:rStyle w:val="VerbatimChar"/>
        </w:rPr>
        <w:t>E19_Objet_matérielE24_Chose_matérielle_élaborée_par_l’humain</w:t>
      </w:r>
    </w:p>
    <w:p w14:paraId="65BB8FDC" w14:textId="77777777" w:rsidR="0084489F" w:rsidRDefault="00110FE6">
      <w:pPr>
        <w:pStyle w:val="BodyText"/>
      </w:pPr>
      <w:r>
        <w:rPr>
          <w:rStyle w:val="VerbatimChar"/>
        </w:rPr>
        <w:t>E26_Caractéristique_physique</w:t>
      </w:r>
    </w:p>
    <w:p w14:paraId="678AE19B" w14:textId="77777777" w:rsidR="0084489F" w:rsidRDefault="00110FE6">
      <w:pPr>
        <w:pStyle w:val="BodyText"/>
      </w:pPr>
      <w:r>
        <w:rPr>
          <w:b/>
          <w:bCs/>
        </w:rPr>
        <w:t>Note d’application</w:t>
      </w:r>
    </w:p>
    <w:p w14:paraId="55FDECB8" w14:textId="77777777" w:rsidR="0084489F" w:rsidRDefault="00110FE6">
      <w:pPr>
        <w:pStyle w:val="BodyText"/>
      </w:pPr>
      <w:r w:rsidRPr="1B9E7434">
        <w:rPr>
          <w:lang w:val="fr-FR"/>
        </w:rPr>
        <w:t>Cette classe comprend toutes les entités physiques persistantes présentant une forme raisonnablement stable, [n.d.t.qu’elles aient été] élaborées par l’humain ou [n.d.t. qu’elles soient] naturelles.</w:t>
      </w:r>
    </w:p>
    <w:p w14:paraId="096F40E3" w14:textId="77777777" w:rsidR="0084489F" w:rsidRDefault="00110FE6">
      <w:pPr>
        <w:pStyle w:val="BodyText"/>
      </w:pPr>
      <w:r w:rsidRPr="1B9E7434">
        <w:rPr>
          <w:lang w:val="fr-FR"/>
        </w:rPr>
        <w:t xml:space="preserve">[n.d.t. Selon que ces instances de </w:t>
      </w:r>
      <w:r w:rsidRPr="1B9E7434">
        <w:rPr>
          <w:rStyle w:val="VerbatimChar"/>
          <w:lang w:val="fr-FR"/>
        </w:rPr>
        <w:t>E18_Chose_matérielle</w:t>
      </w:r>
      <w:r w:rsidRPr="1B9E7434">
        <w:rPr>
          <w:lang w:val="fr-FR"/>
        </w:rPr>
        <w:t xml:space="preserve"> présentent ou non des limites naturelles, le CIDOC CRM les considère soit comme des instances de </w:t>
      </w:r>
      <w:r w:rsidRPr="1B9E7434">
        <w:rPr>
          <w:rStyle w:val="VerbatimChar"/>
          <w:lang w:val="fr-FR"/>
        </w:rPr>
        <w:t>E19_Objet_matériel</w:t>
      </w:r>
      <w:r w:rsidRPr="1B9E7434">
        <w:rPr>
          <w:lang w:val="fr-FR"/>
        </w:rPr>
        <w:t xml:space="preserve">, soit comme des instances de </w:t>
      </w:r>
      <w:r w:rsidRPr="1B9E7434">
        <w:rPr>
          <w:rStyle w:val="VerbatimChar"/>
          <w:lang w:val="fr-FR"/>
        </w:rPr>
        <w:t>E26_Caractéristique_physique</w:t>
      </w:r>
      <w:r w:rsidRPr="1B9E7434">
        <w:rPr>
          <w:lang w:val="fr-FR"/>
        </w:rPr>
        <w:t xml:space="preserve">, comme les trous, les rivières, les terrains, etc.] La plupart des instances de </w:t>
      </w:r>
      <w:r w:rsidRPr="1B9E7434">
        <w:rPr>
          <w:rStyle w:val="VerbatimChar"/>
          <w:lang w:val="fr-FR"/>
        </w:rPr>
        <w:t>E19_Objet_matériel</w:t>
      </w:r>
      <w:r w:rsidRPr="1B9E7434">
        <w:rPr>
          <w:lang w:val="fr-FR"/>
        </w:rPr>
        <w:t xml:space="preserve"> peuvent être déplacées (si celles-ci ne sont pas trop lourdes), tandis que les caractéristiques [n.d.t. (</w:t>
      </w:r>
      <w:r w:rsidRPr="1B9E7434">
        <w:rPr>
          <w:rStyle w:val="VerbatimChar"/>
          <w:lang w:val="fr-FR"/>
        </w:rPr>
        <w:t>E26_Caractéristique_physique</w:t>
      </w:r>
      <w:r w:rsidRPr="1B9E7434">
        <w:rPr>
          <w:lang w:val="fr-FR"/>
        </w:rPr>
        <w:t>)] font partie intégrante de la matière environnante.</w:t>
      </w:r>
    </w:p>
    <w:p w14:paraId="0C19097A" w14:textId="77777777" w:rsidR="0084489F" w:rsidRDefault="00110FE6">
      <w:pPr>
        <w:pStyle w:val="BodyText"/>
      </w:pPr>
      <w:r w:rsidRPr="1B9E7434">
        <w:rPr>
          <w:lang w:val="fr-FR"/>
        </w:rPr>
        <w:lastRenderedPageBreak/>
        <w:t xml:space="preserve">Une instance de </w:t>
      </w:r>
      <w:r w:rsidRPr="1B9E7434">
        <w:rPr>
          <w:rStyle w:val="VerbatimChar"/>
          <w:lang w:val="fr-FR"/>
        </w:rPr>
        <w:t>E18_Chose_matérielle</w:t>
      </w:r>
      <w:r w:rsidRPr="1B9E7434">
        <w:rPr>
          <w:lang w:val="fr-FR"/>
        </w:rPr>
        <w:t xml:space="preserve"> occupe non seulement un espace géométrique particulier à tout instant de son existence, mais au cours de cette dernière elle forme également une trajectoire dans l’espace et le temps. Celle-ci occupe un volume réel dans l’espace-temps, c.-à-d. que ce volume est de nature phénoménale [n.d.t. en d’autres termes, il peut être perçu par les sens ou lors d’une expérience.] L’espace que la matière de la chose matérielle remplit ainsi que tous ses espaces intérieurs, comme l’intérieur d’une boîte, sont inclus dans cette conception de l’espace occupé. Aux fins des descriptions plus détaillées de la présence d’une instance de </w:t>
      </w:r>
      <w:r w:rsidRPr="1B9E7434">
        <w:rPr>
          <w:rStyle w:val="VerbatimChar"/>
          <w:lang w:val="fr-FR"/>
        </w:rPr>
        <w:t>E18_Chose_matérielle</w:t>
      </w:r>
      <w:r w:rsidRPr="1B9E7434">
        <w:rPr>
          <w:lang w:val="fr-FR"/>
        </w:rPr>
        <w:t xml:space="preserve"> dans l’espace et le temps, elle peut être associée à son instance spécifique de </w:t>
      </w:r>
      <w:r w:rsidRPr="1B9E7434">
        <w:rPr>
          <w:rStyle w:val="VerbatimChar"/>
          <w:lang w:val="fr-FR"/>
        </w:rPr>
        <w:t>E92_Volume_spatio-temporel</w:t>
      </w:r>
      <w:r w:rsidRPr="1B9E7434">
        <w:rPr>
          <w:lang w:val="fr-FR"/>
        </w:rPr>
        <w:t xml:space="preserve"> par la propriété </w:t>
      </w:r>
      <w:r w:rsidRPr="1B9E7434">
        <w:rPr>
          <w:rStyle w:val="VerbatimChar"/>
          <w:lang w:val="fr-FR"/>
        </w:rPr>
        <w:t>P196_définit (est_défini_par)</w:t>
      </w:r>
      <w:r w:rsidRPr="1B9E7434">
        <w:rPr>
          <w:lang w:val="fr-FR"/>
        </w:rPr>
        <w:t>.</w:t>
      </w:r>
    </w:p>
    <w:p w14:paraId="378D4BF6" w14:textId="77777777" w:rsidR="0084489F" w:rsidRDefault="00110FE6">
      <w:pPr>
        <w:pStyle w:val="BodyText"/>
      </w:pPr>
      <w:r>
        <w:t>Le CIDOC CRM ne traite généralement pas des cas d’amas de matière à l’état liquide ou gazeux tant qu’ils ne sont pas confinés d’une manière identifiable au sein d’un intervalle temporel minimalement identifiable.</w:t>
      </w:r>
    </w:p>
    <w:p w14:paraId="42A7F083" w14:textId="77777777" w:rsidR="0084489F" w:rsidRDefault="00110FE6">
      <w:pPr>
        <w:pStyle w:val="BodyText"/>
      </w:pPr>
      <w:r>
        <w:rPr>
          <w:b/>
          <w:bCs/>
        </w:rPr>
        <w:t>Exemples</w:t>
      </w:r>
    </w:p>
    <w:p w14:paraId="3FC2AAC1" w14:textId="7B625E28" w:rsidR="0084489F" w:rsidRDefault="00110FE6" w:rsidP="00806324">
      <w:pPr>
        <w:numPr>
          <w:ilvl w:val="0"/>
          <w:numId w:val="69"/>
        </w:numPr>
      </w:pPr>
      <w:r w:rsidRPr="1B9E7434">
        <w:rPr>
          <w:lang w:val="fr-FR"/>
        </w:rPr>
        <w:t>Le diamant Cullinan (</w:t>
      </w:r>
      <w:r w:rsidRPr="1B9E7434">
        <w:rPr>
          <w:rStyle w:val="VerbatimChar"/>
          <w:lang w:val="fr-FR"/>
        </w:rPr>
        <w:t>E19_Objet_matériel</w:t>
      </w:r>
      <w:r w:rsidRPr="1B9E7434">
        <w:rPr>
          <w:lang w:val="fr-FR"/>
        </w:rPr>
        <w:t>) (Scarratt &amp; Shor, 2006)</w:t>
      </w:r>
    </w:p>
    <w:p w14:paraId="2A1D8DCC" w14:textId="6FDAFFC0" w:rsidR="0084489F" w:rsidRDefault="00110FE6" w:rsidP="00806324">
      <w:pPr>
        <w:numPr>
          <w:ilvl w:val="0"/>
          <w:numId w:val="69"/>
        </w:numPr>
      </w:pPr>
      <w:r w:rsidRPr="1B9E7434">
        <w:rPr>
          <w:lang w:val="fr-FR"/>
        </w:rPr>
        <w:t xml:space="preserve">La grotte </w:t>
      </w:r>
      <w:r w:rsidRPr="1B9E7434">
        <w:rPr>
          <w:i/>
          <w:iCs/>
          <w:lang w:val="fr-FR"/>
        </w:rPr>
        <w:t>Ideon Andron</w:t>
      </w:r>
      <w:r w:rsidRPr="1B9E7434">
        <w:rPr>
          <w:lang w:val="fr-FR"/>
        </w:rPr>
        <w:t xml:space="preserve"> en Crète (</w:t>
      </w:r>
      <w:r w:rsidRPr="1B9E7434">
        <w:rPr>
          <w:rStyle w:val="VerbatimChar"/>
          <w:lang w:val="fr-FR"/>
        </w:rPr>
        <w:t>E26_Caractéristique_physique</w:t>
      </w:r>
      <w:r w:rsidRPr="1B9E7434">
        <w:rPr>
          <w:lang w:val="fr-FR"/>
        </w:rPr>
        <w:t>) (Smith, 1844-49)</w:t>
      </w:r>
    </w:p>
    <w:p w14:paraId="4AD5A33A" w14:textId="1DEBA681" w:rsidR="0084489F" w:rsidRDefault="00110FE6" w:rsidP="00806324">
      <w:pPr>
        <w:numPr>
          <w:ilvl w:val="0"/>
          <w:numId w:val="69"/>
        </w:numPr>
      </w:pPr>
      <w:r w:rsidRPr="1B9E7434">
        <w:rPr>
          <w:lang w:val="fr-FR"/>
        </w:rPr>
        <w:t xml:space="preserve">La </w:t>
      </w:r>
      <w:r w:rsidRPr="1B9E7434">
        <w:rPr>
          <w:i/>
          <w:iCs/>
          <w:lang w:val="fr-FR"/>
        </w:rPr>
        <w:t>Monna Lisa</w:t>
      </w:r>
      <w:r w:rsidRPr="1B9E7434">
        <w:rPr>
          <w:lang w:val="fr-FR"/>
        </w:rPr>
        <w:t xml:space="preserve"> (</w:t>
      </w:r>
      <w:r w:rsidRPr="1B9E7434">
        <w:rPr>
          <w:rStyle w:val="VerbatimChar"/>
          <w:lang w:val="fr-FR"/>
        </w:rPr>
        <w:t>E22_Objet_élaboré_par_l’humain</w:t>
      </w:r>
      <w:r w:rsidRPr="1B9E7434">
        <w:rPr>
          <w:lang w:val="fr-FR"/>
        </w:rPr>
        <w:t>) (Mohen, 2006)</w:t>
      </w:r>
    </w:p>
    <w:p w14:paraId="00E3B2EE" w14:textId="77777777" w:rsidR="0084489F" w:rsidRDefault="00110FE6">
      <w:pPr>
        <w:pStyle w:val="FirstParagraph"/>
      </w:pPr>
      <w:r>
        <w:rPr>
          <w:b/>
          <w:bCs/>
        </w:rPr>
        <w:t>Logique</w:t>
      </w:r>
    </w:p>
    <w:p w14:paraId="3A53F32F" w14:textId="77777777" w:rsidR="0084489F" w:rsidRDefault="00110FE6">
      <w:pPr>
        <w:pStyle w:val="BodyText"/>
      </w:pPr>
      <w:r>
        <w:t>E18(x) ⇒ E72(x)</w:t>
      </w:r>
    </w:p>
    <w:p w14:paraId="41A517AF" w14:textId="77777777" w:rsidR="0084489F" w:rsidRDefault="00110FE6">
      <w:pPr>
        <w:pStyle w:val="BodyText"/>
      </w:pPr>
      <w:r>
        <w:rPr>
          <w:b/>
          <w:bCs/>
        </w:rPr>
        <w:t>Propriétés</w:t>
      </w:r>
    </w:p>
    <w:p w14:paraId="758A700F" w14:textId="77777777" w:rsidR="0084489F" w:rsidRDefault="00110FE6">
      <w:pPr>
        <w:pStyle w:val="BodyText"/>
      </w:pPr>
      <w:r w:rsidRPr="1B9E7434">
        <w:rPr>
          <w:rStyle w:val="VerbatimChar"/>
          <w:lang w:val="fr-FR"/>
        </w:rPr>
        <w:t>P44_a_pour_état_matériel (est_l'état_matériel_de)</w:t>
      </w:r>
      <w:r w:rsidRPr="1B9E7434">
        <w:rPr>
          <w:lang w:val="fr-FR"/>
        </w:rPr>
        <w:t xml:space="preserve"> : </w:t>
      </w:r>
      <w:r w:rsidRPr="1B9E7434">
        <w:rPr>
          <w:rStyle w:val="VerbatimChar"/>
          <w:lang w:val="fr-FR"/>
        </w:rPr>
        <w:t>E3_État_matérielP45_comprend (est_inclus_dans)</w:t>
      </w:r>
      <w:r w:rsidRPr="1B9E7434">
        <w:rPr>
          <w:lang w:val="fr-FR"/>
        </w:rPr>
        <w:t xml:space="preserve"> : </w:t>
      </w:r>
      <w:r w:rsidRPr="1B9E7434">
        <w:rPr>
          <w:rStyle w:val="VerbatimChar"/>
          <w:lang w:val="fr-FR"/>
        </w:rPr>
        <w:t>E57_Matériau</w:t>
      </w:r>
    </w:p>
    <w:p w14:paraId="5AF9E755" w14:textId="77777777" w:rsidR="0084489F" w:rsidRDefault="00110FE6">
      <w:pPr>
        <w:pStyle w:val="BodyText"/>
      </w:pPr>
      <w:r w:rsidRPr="1B9E7434">
        <w:rPr>
          <w:rStyle w:val="VerbatimChar"/>
          <w:lang w:val="fr-FR"/>
        </w:rPr>
        <w:t>P46_est_composé_de (fait_partie_de)</w:t>
      </w:r>
      <w:r w:rsidRPr="1B9E7434">
        <w:rPr>
          <w:lang w:val="fr-FR"/>
        </w:rPr>
        <w:t xml:space="preserve"> : </w:t>
      </w:r>
      <w:r w:rsidRPr="1B9E7434">
        <w:rPr>
          <w:rStyle w:val="VerbatimChar"/>
          <w:lang w:val="fr-FR"/>
        </w:rPr>
        <w:t>E18_Chose_matérielle</w:t>
      </w:r>
    </w:p>
    <w:p w14:paraId="402C99B2" w14:textId="77777777" w:rsidR="0084489F" w:rsidRDefault="00110FE6">
      <w:pPr>
        <w:pStyle w:val="BodyText"/>
      </w:pPr>
      <w:r w:rsidRPr="1B9E7434">
        <w:rPr>
          <w:rStyle w:val="VerbatimChar"/>
          <w:lang w:val="fr-FR"/>
        </w:rPr>
        <w:t>P49_a_pour_actant_détenteur_actuel_ou_antérieur (est_l'actant_détenteur_actuel_ou_antérieur_de)</w:t>
      </w:r>
      <w:r w:rsidRPr="1B9E7434">
        <w:rPr>
          <w:lang w:val="fr-FR"/>
        </w:rPr>
        <w:t xml:space="preserve"> : </w:t>
      </w:r>
      <w:r w:rsidRPr="1B9E7434">
        <w:rPr>
          <w:rStyle w:val="VerbatimChar"/>
          <w:lang w:val="fr-FR"/>
        </w:rPr>
        <w:t>E39_Actant</w:t>
      </w:r>
    </w:p>
    <w:p w14:paraId="0A111823" w14:textId="77777777" w:rsidR="0084489F" w:rsidRDefault="00110FE6">
      <w:pPr>
        <w:pStyle w:val="BodyText"/>
      </w:pPr>
      <w:r w:rsidRPr="1B9E7434">
        <w:rPr>
          <w:rStyle w:val="VerbatimChar"/>
          <w:lang w:val="fr-FR"/>
        </w:rPr>
        <w:t>P50_a_pour_actant_détenteur_actuel (est_actant_détenteur_actuel_de)</w:t>
      </w:r>
      <w:r w:rsidRPr="1B9E7434">
        <w:rPr>
          <w:lang w:val="fr-FR"/>
        </w:rPr>
        <w:t xml:space="preserve"> : </w:t>
      </w:r>
      <w:r w:rsidRPr="1B9E7434">
        <w:rPr>
          <w:rStyle w:val="VerbatimChar"/>
          <w:lang w:val="fr-FR"/>
        </w:rPr>
        <w:t>E39_Actant</w:t>
      </w:r>
    </w:p>
    <w:p w14:paraId="4CD79B5B" w14:textId="77777777" w:rsidR="0084489F" w:rsidRDefault="00110FE6">
      <w:pPr>
        <w:pStyle w:val="BodyText"/>
      </w:pPr>
      <w:r w:rsidRPr="1B9E7434">
        <w:rPr>
          <w:rStyle w:val="VerbatimChar"/>
          <w:lang w:val="fr-FR"/>
        </w:rPr>
        <w:t>P51_a_pour_propriétaire_actuel_ou_antérieur (est_l’actant_propriétaire_actuel_ou_antérieur_de)</w:t>
      </w:r>
      <w:r w:rsidRPr="1B9E7434">
        <w:rPr>
          <w:lang w:val="fr-FR"/>
        </w:rPr>
        <w:t xml:space="preserve"> : </w:t>
      </w:r>
      <w:r w:rsidRPr="1B9E7434">
        <w:rPr>
          <w:rStyle w:val="VerbatimChar"/>
          <w:lang w:val="fr-FR"/>
        </w:rPr>
        <w:t>E39_Actant</w:t>
      </w:r>
    </w:p>
    <w:p w14:paraId="066FC515" w14:textId="77777777" w:rsidR="0084489F" w:rsidRDefault="00110FE6">
      <w:pPr>
        <w:pStyle w:val="BodyText"/>
      </w:pPr>
      <w:r w:rsidRPr="1B9E7434">
        <w:rPr>
          <w:rStyle w:val="VerbatimChar"/>
          <w:lang w:val="fr-FR"/>
        </w:rPr>
        <w:t>P52_a_pour_propriétaire_actuel (est_l’actant_propriétaire_actuel_de)</w:t>
      </w:r>
      <w:r w:rsidRPr="1B9E7434">
        <w:rPr>
          <w:lang w:val="fr-FR"/>
        </w:rPr>
        <w:t xml:space="preserve"> : </w:t>
      </w:r>
      <w:r w:rsidRPr="1B9E7434">
        <w:rPr>
          <w:rStyle w:val="VerbatimChar"/>
          <w:lang w:val="fr-FR"/>
        </w:rPr>
        <w:t>E39_Actant</w:t>
      </w:r>
    </w:p>
    <w:p w14:paraId="08E87400" w14:textId="77777777" w:rsidR="0084489F" w:rsidRDefault="00110FE6">
      <w:pPr>
        <w:pStyle w:val="BodyText"/>
      </w:pPr>
      <w:r w:rsidRPr="1B9E7434">
        <w:rPr>
          <w:rStyle w:val="VerbatimChar"/>
          <w:lang w:val="fr-FR"/>
        </w:rPr>
        <w:t>P53_a_pour_localisation_actuelle_ou_antérieure (est_la_localisation_actuelle_ou_antérieure_de)</w:t>
      </w:r>
      <w:r w:rsidRPr="1B9E7434">
        <w:rPr>
          <w:lang w:val="fr-FR"/>
        </w:rPr>
        <w:t xml:space="preserve"> : </w:t>
      </w:r>
      <w:r w:rsidRPr="1B9E7434">
        <w:rPr>
          <w:rStyle w:val="VerbatimChar"/>
          <w:lang w:val="fr-FR"/>
        </w:rPr>
        <w:t>E53_Lieu</w:t>
      </w:r>
      <w:r w:rsidRPr="1B9E7434">
        <w:rPr>
          <w:lang w:val="fr-FR"/>
        </w:rPr>
        <w:t xml:space="preserve"> </w:t>
      </w:r>
      <w:r w:rsidRPr="1B9E7434">
        <w:rPr>
          <w:rStyle w:val="VerbatimChar"/>
          <w:lang w:val="fr-FR"/>
        </w:rPr>
        <w:t>P59_a_pour_section (se_situe_sur_ou_dans)</w:t>
      </w:r>
      <w:r w:rsidRPr="1B9E7434">
        <w:rPr>
          <w:lang w:val="fr-FR"/>
        </w:rPr>
        <w:t xml:space="preserve"> : </w:t>
      </w:r>
      <w:r w:rsidRPr="1B9E7434">
        <w:rPr>
          <w:rStyle w:val="VerbatimChar"/>
          <w:lang w:val="fr-FR"/>
        </w:rPr>
        <w:t>E53_Lieu</w:t>
      </w:r>
    </w:p>
    <w:p w14:paraId="58B6CE69" w14:textId="77777777" w:rsidR="0084489F" w:rsidRDefault="00110FE6">
      <w:pPr>
        <w:pStyle w:val="BodyText"/>
      </w:pPr>
      <w:r w:rsidRPr="1B9E7434">
        <w:rPr>
          <w:rStyle w:val="VerbatimChar"/>
          <w:lang w:val="fr-FR"/>
        </w:rPr>
        <w:t>P128_est_le_support_de (a_pour_support)</w:t>
      </w:r>
      <w:r w:rsidRPr="1B9E7434">
        <w:rPr>
          <w:lang w:val="fr-FR"/>
        </w:rPr>
        <w:t xml:space="preserve"> : </w:t>
      </w:r>
      <w:r w:rsidRPr="1B9E7434">
        <w:rPr>
          <w:rStyle w:val="VerbatimChar"/>
          <w:lang w:val="fr-FR"/>
        </w:rPr>
        <w:t>E90_Objet_symbolique</w:t>
      </w:r>
    </w:p>
    <w:p w14:paraId="781964A3" w14:textId="77777777" w:rsidR="0084489F" w:rsidRDefault="00110FE6">
      <w:pPr>
        <w:pStyle w:val="BodyText"/>
      </w:pPr>
      <w:r w:rsidRPr="1B9E7434">
        <w:rPr>
          <w:rStyle w:val="VerbatimChar"/>
          <w:lang w:val="fr-FR"/>
        </w:rPr>
        <w:t>P156_occupe (est_occupé_par)</w:t>
      </w:r>
      <w:r w:rsidRPr="1B9E7434">
        <w:rPr>
          <w:lang w:val="fr-FR"/>
        </w:rPr>
        <w:t xml:space="preserve"> : </w:t>
      </w:r>
      <w:r w:rsidRPr="1B9E7434">
        <w:rPr>
          <w:rStyle w:val="VerbatimChar"/>
          <w:lang w:val="fr-FR"/>
        </w:rPr>
        <w:t>E53_Lieu</w:t>
      </w:r>
    </w:p>
    <w:p w14:paraId="0136C0E6" w14:textId="77777777" w:rsidR="0084489F" w:rsidRDefault="00110FE6">
      <w:pPr>
        <w:pStyle w:val="BodyText"/>
      </w:pPr>
      <w:r w:rsidRPr="1B9E7434">
        <w:rPr>
          <w:rStyle w:val="VerbatimChar"/>
          <w:lang w:val="fr-FR"/>
        </w:rPr>
        <w:t>P196_définit (est_défini_par)</w:t>
      </w:r>
      <w:r w:rsidRPr="1B9E7434">
        <w:rPr>
          <w:lang w:val="fr-FR"/>
        </w:rPr>
        <w:t xml:space="preserve"> : </w:t>
      </w:r>
      <w:r w:rsidRPr="1B9E7434">
        <w:rPr>
          <w:rStyle w:val="VerbatimChar"/>
          <w:lang w:val="fr-FR"/>
        </w:rPr>
        <w:t>E92_Volume_spatio-temporel</w:t>
      </w:r>
    </w:p>
    <w:p w14:paraId="2C92D873" w14:textId="77777777" w:rsidR="0084489F" w:rsidRDefault="00110FE6">
      <w:pPr>
        <w:pStyle w:val="BodyText"/>
      </w:pPr>
      <w:r w:rsidRPr="1B9E7434">
        <w:rPr>
          <w:rStyle w:val="VerbatimChar"/>
          <w:lang w:val="fr-FR"/>
        </w:rPr>
        <w:t>P198_contient_ou_soutient (est_contenu_ou_soutenu_par)</w:t>
      </w:r>
      <w:r w:rsidRPr="1B9E7434">
        <w:rPr>
          <w:lang w:val="fr-FR"/>
        </w:rPr>
        <w:t xml:space="preserve"> : </w:t>
      </w:r>
      <w:r w:rsidRPr="1B9E7434">
        <w:rPr>
          <w:rStyle w:val="VerbatimChar"/>
          <w:lang w:val="fr-FR"/>
        </w:rPr>
        <w:t>E18_Chose_matérielle</w:t>
      </w:r>
    </w:p>
    <w:p w14:paraId="188683A8" w14:textId="77777777" w:rsidR="0084489F" w:rsidRDefault="00110FE6">
      <w:pPr>
        <w:pStyle w:val="BlockText"/>
      </w:pPr>
      <w:r>
        <w:rPr>
          <w:b/>
          <w:bCs/>
          <w:i/>
          <w:iCs/>
        </w:rPr>
        <w:t>Note de traduction</w:t>
      </w:r>
    </w:p>
    <w:p w14:paraId="7B7574C5" w14:textId="57CED4CB" w:rsidR="0084489F" w:rsidRDefault="00110FE6">
      <w:pPr>
        <w:pStyle w:val="BlockText"/>
      </w:pPr>
      <w:r w:rsidRPr="1B9E7434">
        <w:rPr>
          <w:lang w:val="fr-FR"/>
        </w:rPr>
        <w:t xml:space="preserve">Dans la première phrase de la note d’application, il existe une incertitude à savoir si « human-made » et « natural » font référence aux « items » ou à la « stable form ». Cette incertitude n'empêche pas la </w:t>
      </w:r>
      <w:r w:rsidRPr="1B9E7434">
        <w:rPr>
          <w:lang w:val="fr-FR"/>
        </w:rPr>
        <w:lastRenderedPageBreak/>
        <w:t>compréhension de la phrase, mais la décision a été prise de faire référence aux « items » par l’ajout de « qu’elles soient ».</w:t>
      </w:r>
    </w:p>
    <w:p w14:paraId="640D9C9E" w14:textId="77777777" w:rsidR="0084489F" w:rsidRDefault="00110FE6">
      <w:pPr>
        <w:pStyle w:val="BlockText"/>
      </w:pPr>
      <w:r>
        <w:t>La première phrase du second paragraphe de la note d’application a été revue entièrement, c’est pour cette raison que la traduction se trouve entre crochets.</w:t>
      </w:r>
    </w:p>
    <w:p w14:paraId="793E42F8" w14:textId="77777777" w:rsidR="0084489F" w:rsidRDefault="00110FE6">
      <w:pPr>
        <w:pStyle w:val="BlockText"/>
      </w:pPr>
      <w:r w:rsidRPr="1B9E7434">
        <w:rPr>
          <w:lang w:val="fr-FR"/>
        </w:rPr>
        <w:t>À la fin du second paragraphe, il a été décidé d’ajouter « </w:t>
      </w:r>
      <w:r w:rsidRPr="1B9E7434">
        <w:rPr>
          <w:rStyle w:val="VerbatimChar"/>
          <w:lang w:val="fr-FR"/>
        </w:rPr>
        <w:t>E26_Caractéristique_physique</w:t>
      </w:r>
      <w:r w:rsidRPr="1B9E7434">
        <w:rPr>
          <w:lang w:val="fr-FR"/>
        </w:rPr>
        <w:t> » afin d’indiquer plus clairement le sens du terme « features ».</w:t>
      </w:r>
    </w:p>
    <w:p w14:paraId="649C21AC" w14:textId="77777777" w:rsidR="0084489F" w:rsidRDefault="00110FE6">
      <w:pPr>
        <w:pStyle w:val="BlockText"/>
      </w:pPr>
      <w:r>
        <w:rPr>
          <w:b/>
          <w:bCs/>
          <w:i/>
          <w:iCs/>
        </w:rPr>
        <w:t>Références</w:t>
      </w:r>
    </w:p>
    <w:p w14:paraId="54C4ADCF" w14:textId="77777777" w:rsidR="0084489F" w:rsidRDefault="00110FE6">
      <w:pPr>
        <w:pStyle w:val="BlockText"/>
      </w:pPr>
      <w:r w:rsidRPr="1B9E7434">
        <w:rPr>
          <w:lang w:val="fr-FR"/>
        </w:rPr>
        <w:t xml:space="preserve">De Vinci, Léonard. </w:t>
      </w:r>
      <w:r w:rsidRPr="1B9E7434">
        <w:rPr>
          <w:i/>
          <w:iCs/>
          <w:lang w:val="fr-FR"/>
        </w:rPr>
        <w:t>Portrait de Lisa Gherardini, épouse de Francesco del Giocondo, dit La Joconde ou Monna Lisa</w:t>
      </w:r>
      <w:r w:rsidRPr="1B9E7434">
        <w:rPr>
          <w:lang w:val="fr-FR"/>
        </w:rPr>
        <w:t>. 1503. Huile sur bois (peuplier), 77 x 53 cm. Salle 711. Musée du Louvre.</w:t>
      </w:r>
      <w:hyperlink r:id="rId194">
        <w:r w:rsidRPr="1B9E7434">
          <w:rPr>
            <w:rStyle w:val="Hyperlink"/>
            <w:lang w:val="fr-FR"/>
          </w:rPr>
          <w:t xml:space="preserve"> </w:t>
        </w:r>
      </w:hyperlink>
      <w:hyperlink r:id="rId195">
        <w:r w:rsidRPr="1B9E7434">
          <w:rPr>
            <w:rStyle w:val="Hyperlink"/>
            <w:lang w:val="fr-FR"/>
          </w:rPr>
          <w:t>https://collections.louvre.fr/en/ark:/53355/cl010062370</w:t>
        </w:r>
      </w:hyperlink>
      <w:r w:rsidRPr="1B9E7434">
        <w:rPr>
          <w:lang w:val="fr-FR"/>
        </w:rPr>
        <w:t>.</w:t>
      </w:r>
    </w:p>
    <w:p w14:paraId="6B44516B" w14:textId="77777777" w:rsidR="004454E2" w:rsidRPr="004454E2" w:rsidRDefault="004454E2" w:rsidP="004454E2">
      <w:pPr>
        <w:pStyle w:val="BodyText"/>
      </w:pPr>
    </w:p>
    <w:p w14:paraId="184CAE60" w14:textId="77777777" w:rsidR="0084489F" w:rsidRDefault="00110FE6">
      <w:pPr>
        <w:pStyle w:val="Heading2"/>
      </w:pPr>
      <w:bookmarkStart w:id="143" w:name="_Toc176864453"/>
      <w:bookmarkStart w:id="144" w:name="e19-objet-materiel"/>
      <w:bookmarkEnd w:id="142"/>
      <w:r>
        <w:t>E19 Objet matériel</w:t>
      </w:r>
      <w:bookmarkEnd w:id="143"/>
    </w:p>
    <w:p w14:paraId="50CA59FD" w14:textId="77777777" w:rsidR="0084489F" w:rsidRDefault="00110FE6">
      <w:pPr>
        <w:pStyle w:val="FirstParagraph"/>
      </w:pPr>
      <w:r>
        <w:rPr>
          <w:b/>
          <w:bCs/>
        </w:rPr>
        <w:t>Sous-classe de</w:t>
      </w:r>
    </w:p>
    <w:p w14:paraId="7DEB12D4" w14:textId="77777777" w:rsidR="0084489F" w:rsidRDefault="00110FE6">
      <w:pPr>
        <w:pStyle w:val="BodyText"/>
      </w:pPr>
      <w:r>
        <w:rPr>
          <w:rStyle w:val="VerbatimChar"/>
        </w:rPr>
        <w:t>E18_Chose_matérielle</w:t>
      </w:r>
    </w:p>
    <w:p w14:paraId="3E3E39A4" w14:textId="77777777" w:rsidR="0084489F" w:rsidRDefault="00110FE6">
      <w:pPr>
        <w:pStyle w:val="BodyText"/>
      </w:pPr>
      <w:r>
        <w:rPr>
          <w:b/>
          <w:bCs/>
        </w:rPr>
        <w:t>Super-classe de</w:t>
      </w:r>
    </w:p>
    <w:p w14:paraId="74360E55" w14:textId="77777777" w:rsidR="0084489F" w:rsidRDefault="00110FE6">
      <w:pPr>
        <w:pStyle w:val="BodyText"/>
      </w:pPr>
      <w:r>
        <w:rPr>
          <w:rStyle w:val="VerbatimChar"/>
        </w:rPr>
        <w:t>E20_Objet_biologique</w:t>
      </w:r>
    </w:p>
    <w:p w14:paraId="58D0D733" w14:textId="77777777" w:rsidR="0084489F" w:rsidRDefault="00110FE6">
      <w:pPr>
        <w:pStyle w:val="BodyText"/>
      </w:pPr>
      <w:r>
        <w:rPr>
          <w:rStyle w:val="VerbatimChar"/>
        </w:rPr>
        <w:t>E22_Objet_élaboré_par_l’humain</w:t>
      </w:r>
    </w:p>
    <w:p w14:paraId="5EDCB756" w14:textId="77777777" w:rsidR="0084489F" w:rsidRDefault="00110FE6">
      <w:pPr>
        <w:pStyle w:val="BodyText"/>
      </w:pPr>
      <w:r>
        <w:rPr>
          <w:b/>
          <w:bCs/>
        </w:rPr>
        <w:t>Note d’application</w:t>
      </w:r>
    </w:p>
    <w:p w14:paraId="54724917" w14:textId="77777777" w:rsidR="0084489F" w:rsidRDefault="00110FE6">
      <w:pPr>
        <w:pStyle w:val="BodyText"/>
      </w:pPr>
      <w:r>
        <w:t>Cette classe comprend les entités de nature matérielle qui constituent des unités pour la documentation et possèdent des limites physiques qui les séparent complètement et objectivement d’autres objets.</w:t>
      </w:r>
    </w:p>
    <w:p w14:paraId="3F6AD1F2" w14:textId="77777777" w:rsidR="0084489F" w:rsidRDefault="00110FE6">
      <w:pPr>
        <w:pStyle w:val="BodyText"/>
      </w:pPr>
      <w:r>
        <w:t xml:space="preserve">Cette classe inclut aussi toutes les agrégations d’objets produits pour de quelconques buts fonctionnels, indépendamment de leur cohérence physique, comme un ensemble de pièces de jeu d’échecs. Généralement, les instances de </w:t>
      </w:r>
      <w:r>
        <w:rPr>
          <w:rStyle w:val="VerbatimChar"/>
        </w:rPr>
        <w:t>E19_Objet_matériel</w:t>
      </w:r>
      <w:r>
        <w:t xml:space="preserve"> peuvent être déplacées (si elles ne sont pas trop lourdes).</w:t>
      </w:r>
    </w:p>
    <w:p w14:paraId="0004FB8C" w14:textId="77777777" w:rsidR="0084489F" w:rsidRDefault="00110FE6">
      <w:pPr>
        <w:pStyle w:val="BodyText"/>
      </w:pPr>
      <w:r w:rsidRPr="1B9E7434">
        <w:rPr>
          <w:lang w:val="fr-FR"/>
        </w:rPr>
        <w:t>Dans certains contextes [n.d.t. comme dans le domaine de la philosophie de la spatialité], de tels objets, à l’exception des agrégats, sont aussi appelés « objets bona fide », c.-à-d. des objets naturellement définis (Smith &amp; Varzi, 2000).</w:t>
      </w:r>
    </w:p>
    <w:p w14:paraId="5A32DA09" w14:textId="77777777" w:rsidR="0084489F" w:rsidRDefault="00110FE6">
      <w:pPr>
        <w:pStyle w:val="BodyText"/>
      </w:pPr>
      <w:r>
        <w:t>La décision de documenter un objet comme un ensemble complet plutôt que de documenter ses parties ou composants peut être motivée par des raisons purement administratives ou être le résultat de l’ordre d’acquisition des objets.</w:t>
      </w:r>
    </w:p>
    <w:p w14:paraId="6BE3839A" w14:textId="77777777" w:rsidR="0084489F" w:rsidRDefault="00110FE6">
      <w:pPr>
        <w:pStyle w:val="BodyText"/>
      </w:pPr>
      <w:r>
        <w:rPr>
          <w:b/>
          <w:bCs/>
        </w:rPr>
        <w:t>Exemples</w:t>
      </w:r>
    </w:p>
    <w:p w14:paraId="123CAE13" w14:textId="684F92A4" w:rsidR="0084489F" w:rsidRDefault="00110FE6" w:rsidP="00806324">
      <w:pPr>
        <w:numPr>
          <w:ilvl w:val="0"/>
          <w:numId w:val="70"/>
        </w:numPr>
      </w:pPr>
      <w:r w:rsidRPr="1B9E7434">
        <w:rPr>
          <w:lang w:val="fr-FR"/>
        </w:rPr>
        <w:t>L’Aphrodite de Milos (</w:t>
      </w:r>
      <w:r w:rsidRPr="1B9E7434">
        <w:rPr>
          <w:rStyle w:val="VerbatimChar"/>
          <w:lang w:val="fr-FR"/>
        </w:rPr>
        <w:t>E22_Objet_élaboré_par_l’humain</w:t>
      </w:r>
      <w:r w:rsidRPr="1B9E7434">
        <w:rPr>
          <w:lang w:val="fr-FR"/>
        </w:rPr>
        <w:t>) (Kousser, 2005)</w:t>
      </w:r>
    </w:p>
    <w:p w14:paraId="3CEEBD95" w14:textId="503ABA20" w:rsidR="0084489F" w:rsidRDefault="00110FE6" w:rsidP="00806324">
      <w:pPr>
        <w:numPr>
          <w:ilvl w:val="0"/>
          <w:numId w:val="70"/>
        </w:numPr>
      </w:pPr>
      <w:r w:rsidRPr="1B9E7434">
        <w:rPr>
          <w:lang w:val="fr-FR"/>
        </w:rPr>
        <w:t>Le diamant Cullinan (Scarratt &amp; Shor, 2006)</w:t>
      </w:r>
    </w:p>
    <w:p w14:paraId="2DEBDD30" w14:textId="0230E2D0" w:rsidR="0084489F" w:rsidRDefault="00110FE6" w:rsidP="00806324">
      <w:pPr>
        <w:numPr>
          <w:ilvl w:val="0"/>
          <w:numId w:val="70"/>
        </w:numPr>
      </w:pPr>
      <w:r w:rsidRPr="1B9E7434">
        <w:rPr>
          <w:lang w:val="fr-FR"/>
        </w:rPr>
        <w:t>Apollo 13 au moment de son lancement (</w:t>
      </w:r>
      <w:r w:rsidRPr="1B9E7434">
        <w:rPr>
          <w:rStyle w:val="VerbatimChar"/>
          <w:lang w:val="fr-FR"/>
        </w:rPr>
        <w:t>E22_Objet_élaboré_par_l’humain</w:t>
      </w:r>
      <w:r w:rsidRPr="1B9E7434">
        <w:rPr>
          <w:lang w:val="fr-FR"/>
        </w:rPr>
        <w:t>) (Lovell &amp; Kluger, 1994)</w:t>
      </w:r>
    </w:p>
    <w:p w14:paraId="4C914F08" w14:textId="77777777" w:rsidR="0084489F" w:rsidRDefault="00110FE6">
      <w:pPr>
        <w:pStyle w:val="FirstParagraph"/>
      </w:pPr>
      <w:r>
        <w:rPr>
          <w:b/>
          <w:bCs/>
        </w:rPr>
        <w:t>Logique</w:t>
      </w:r>
    </w:p>
    <w:p w14:paraId="7D91C284" w14:textId="77777777" w:rsidR="0084489F" w:rsidRDefault="00110FE6">
      <w:pPr>
        <w:pStyle w:val="BodyText"/>
      </w:pPr>
      <w:r>
        <w:t>E19(x) ⇒ E18(x)</w:t>
      </w:r>
    </w:p>
    <w:p w14:paraId="5BE02F46" w14:textId="77777777" w:rsidR="0084489F" w:rsidRDefault="00110FE6" w:rsidP="004454E2">
      <w:pPr>
        <w:pStyle w:val="BodyText"/>
        <w:keepNext/>
      </w:pPr>
      <w:r>
        <w:rPr>
          <w:b/>
          <w:bCs/>
        </w:rPr>
        <w:lastRenderedPageBreak/>
        <w:t>Propriétés</w:t>
      </w:r>
    </w:p>
    <w:p w14:paraId="42826ADE" w14:textId="77777777" w:rsidR="0084489F" w:rsidRDefault="00110FE6" w:rsidP="004454E2">
      <w:pPr>
        <w:pStyle w:val="BodyText"/>
        <w:keepNext/>
      </w:pPr>
      <w:r w:rsidRPr="1B9E7434">
        <w:rPr>
          <w:rStyle w:val="VerbatimChar"/>
          <w:lang w:val="fr-FR"/>
        </w:rPr>
        <w:t>P54_a_actuellement_pour_localisation_fixe (est_actuellement_la_localisation_fixe_de)</w:t>
      </w:r>
      <w:r w:rsidRPr="1B9E7434">
        <w:rPr>
          <w:lang w:val="fr-FR"/>
        </w:rPr>
        <w:t xml:space="preserve"> : </w:t>
      </w:r>
      <w:r w:rsidRPr="1B9E7434">
        <w:rPr>
          <w:rStyle w:val="VerbatimChar"/>
          <w:lang w:val="fr-FR"/>
        </w:rPr>
        <w:t>E53_Lieu</w:t>
      </w:r>
    </w:p>
    <w:p w14:paraId="204AA9B5" w14:textId="77777777" w:rsidR="0084489F" w:rsidRDefault="00110FE6">
      <w:pPr>
        <w:pStyle w:val="BodyText"/>
      </w:pPr>
      <w:r w:rsidRPr="1B9E7434">
        <w:rPr>
          <w:rStyle w:val="VerbatimChar"/>
          <w:lang w:val="fr-FR"/>
        </w:rPr>
        <w:t>P55_a_actuellement_pour_localisation (est_actuellement_la_localisation_de)</w:t>
      </w:r>
      <w:r w:rsidRPr="1B9E7434">
        <w:rPr>
          <w:lang w:val="fr-FR"/>
        </w:rPr>
        <w:t xml:space="preserve"> : </w:t>
      </w:r>
      <w:r w:rsidRPr="1B9E7434">
        <w:rPr>
          <w:rStyle w:val="VerbatimChar"/>
          <w:lang w:val="fr-FR"/>
        </w:rPr>
        <w:t>E53_Lieu</w:t>
      </w:r>
    </w:p>
    <w:p w14:paraId="6B5D3D2C" w14:textId="77777777" w:rsidR="0084489F" w:rsidRDefault="00110FE6">
      <w:pPr>
        <w:pStyle w:val="BodyText"/>
      </w:pPr>
      <w:r w:rsidRPr="1B9E7434">
        <w:rPr>
          <w:rStyle w:val="VerbatimChar"/>
          <w:lang w:val="fr-FR"/>
        </w:rPr>
        <w:t>P56_a_pour_caractéristique (se_trouve_sur)</w:t>
      </w:r>
      <w:r w:rsidRPr="1B9E7434">
        <w:rPr>
          <w:lang w:val="fr-FR"/>
        </w:rPr>
        <w:t xml:space="preserve"> : </w:t>
      </w:r>
      <w:r w:rsidRPr="1B9E7434">
        <w:rPr>
          <w:rStyle w:val="VerbatimChar"/>
          <w:lang w:val="fr-FR"/>
        </w:rPr>
        <w:t>E26_Caractéristique_physique</w:t>
      </w:r>
    </w:p>
    <w:p w14:paraId="7300B891" w14:textId="77777777" w:rsidR="0084489F" w:rsidRDefault="00110FE6">
      <w:pPr>
        <w:pStyle w:val="BodyText"/>
      </w:pPr>
      <w:r>
        <w:rPr>
          <w:rStyle w:val="VerbatimChar"/>
        </w:rPr>
        <w:t>P57_a_pour_nombre_d’éléments</w:t>
      </w:r>
      <w:r>
        <w:t xml:space="preserve"> : </w:t>
      </w:r>
      <w:r>
        <w:rPr>
          <w:rStyle w:val="VerbatimChar"/>
        </w:rPr>
        <w:t>E60_Nombre</w:t>
      </w:r>
      <w:r>
        <w:t xml:space="preserve"> </w:t>
      </w:r>
    </w:p>
    <w:p w14:paraId="7DB58EFA" w14:textId="77777777" w:rsidR="0084489F" w:rsidRDefault="00110FE6">
      <w:pPr>
        <w:pStyle w:val="BlockText"/>
      </w:pPr>
      <w:r>
        <w:rPr>
          <w:b/>
          <w:bCs/>
          <w:i/>
          <w:iCs/>
        </w:rPr>
        <w:t>Note de traduction</w:t>
      </w:r>
    </w:p>
    <w:p w14:paraId="393B1A36" w14:textId="77777777" w:rsidR="0084489F" w:rsidRDefault="00110FE6">
      <w:pPr>
        <w:pStyle w:val="BlockText"/>
      </w:pPr>
      <w:r>
        <w:rPr>
          <w:b/>
          <w:bCs/>
          <w:i/>
          <w:iCs/>
        </w:rPr>
        <w:t>Références</w:t>
      </w:r>
    </w:p>
    <w:p w14:paraId="2B695A2B" w14:textId="77777777" w:rsidR="0084489F" w:rsidRDefault="0084489F">
      <w:pPr>
        <w:pStyle w:val="BlockText"/>
      </w:pPr>
    </w:p>
    <w:p w14:paraId="03B4E137" w14:textId="77777777" w:rsidR="0084489F" w:rsidRDefault="00110FE6">
      <w:pPr>
        <w:pStyle w:val="Heading2"/>
      </w:pPr>
      <w:bookmarkStart w:id="145" w:name="_Toc176864454"/>
      <w:bookmarkStart w:id="146" w:name="e20-objet-biologique"/>
      <w:bookmarkEnd w:id="144"/>
      <w:r>
        <w:t>E20 Objet biologique</w:t>
      </w:r>
      <w:bookmarkEnd w:id="145"/>
    </w:p>
    <w:p w14:paraId="4D30BA4B" w14:textId="77777777" w:rsidR="0084489F" w:rsidRDefault="00110FE6">
      <w:pPr>
        <w:pStyle w:val="FirstParagraph"/>
      </w:pPr>
      <w:r>
        <w:rPr>
          <w:b/>
          <w:bCs/>
        </w:rPr>
        <w:t>Sous-classe de</w:t>
      </w:r>
    </w:p>
    <w:p w14:paraId="6167BBBE" w14:textId="77777777" w:rsidR="0084489F" w:rsidRDefault="00110FE6">
      <w:pPr>
        <w:pStyle w:val="BodyText"/>
      </w:pPr>
      <w:r>
        <w:rPr>
          <w:rStyle w:val="VerbatimChar"/>
        </w:rPr>
        <w:t>E19_Objet_matériel</w:t>
      </w:r>
    </w:p>
    <w:p w14:paraId="639A4276" w14:textId="77777777" w:rsidR="0084489F" w:rsidRDefault="00110FE6">
      <w:pPr>
        <w:pStyle w:val="BodyText"/>
      </w:pPr>
      <w:r>
        <w:rPr>
          <w:b/>
          <w:bCs/>
        </w:rPr>
        <w:t>Super-classe de</w:t>
      </w:r>
    </w:p>
    <w:p w14:paraId="2FF48BEC" w14:textId="77777777" w:rsidR="0084489F" w:rsidRDefault="00110FE6">
      <w:pPr>
        <w:pStyle w:val="BodyText"/>
      </w:pPr>
      <w:r>
        <w:rPr>
          <w:rStyle w:val="VerbatimChar"/>
        </w:rPr>
        <w:t>E21_Personne</w:t>
      </w:r>
    </w:p>
    <w:p w14:paraId="53A8BB85" w14:textId="77777777" w:rsidR="0084489F" w:rsidRDefault="00110FE6">
      <w:pPr>
        <w:pStyle w:val="BodyText"/>
      </w:pPr>
      <w:r>
        <w:rPr>
          <w:b/>
          <w:bCs/>
        </w:rPr>
        <w:t>Note d’application</w:t>
      </w:r>
    </w:p>
    <w:p w14:paraId="0B2EAE8B" w14:textId="77777777" w:rsidR="0084489F" w:rsidRDefault="00110FE6">
      <w:pPr>
        <w:pStyle w:val="BodyText"/>
      </w:pPr>
      <w:r>
        <w:t>Cette classe comprend les entités distinctes de nature matérielle qui vivent, ont vécu ou sont les produits naturels provenant d’organismes vivants ou issus par ces derniers.</w:t>
      </w:r>
    </w:p>
    <w:p w14:paraId="18EABA14" w14:textId="77777777" w:rsidR="0084489F" w:rsidRDefault="00110FE6">
      <w:pPr>
        <w:pStyle w:val="BodyText"/>
      </w:pPr>
      <w:r>
        <w:t xml:space="preserve">Les objets artificiels qui intègrent des éléments biologiques, tels que des cadres d’époque victorienne contenant des papillons, peuvent être documentés à la fois comme des instances de </w:t>
      </w:r>
      <w:r>
        <w:rPr>
          <w:rStyle w:val="VerbatimChar"/>
        </w:rPr>
        <w:t>E20_Objet_biologique</w:t>
      </w:r>
      <w:r>
        <w:t xml:space="preserve"> et </w:t>
      </w:r>
      <w:r>
        <w:rPr>
          <w:rStyle w:val="VerbatimChar"/>
        </w:rPr>
        <w:t>E22_Objet_élaboré_par_l’humain</w:t>
      </w:r>
      <w:r>
        <w:t>.</w:t>
      </w:r>
    </w:p>
    <w:p w14:paraId="7FF151DA" w14:textId="77777777" w:rsidR="0084489F" w:rsidRDefault="00110FE6">
      <w:pPr>
        <w:pStyle w:val="BodyText"/>
      </w:pPr>
      <w:r>
        <w:rPr>
          <w:b/>
          <w:bCs/>
        </w:rPr>
        <w:t>Exemples</w:t>
      </w:r>
    </w:p>
    <w:p w14:paraId="67DE0810" w14:textId="77777777" w:rsidR="0084489F" w:rsidRDefault="00110FE6" w:rsidP="00806324">
      <w:pPr>
        <w:numPr>
          <w:ilvl w:val="0"/>
          <w:numId w:val="71"/>
        </w:numPr>
      </w:pPr>
      <w:r>
        <w:t>Moi (fictif)</w:t>
      </w:r>
    </w:p>
    <w:p w14:paraId="4BE82EFE" w14:textId="7F7EBE8C" w:rsidR="0084489F" w:rsidRDefault="00110FE6" w:rsidP="00806324">
      <w:pPr>
        <w:numPr>
          <w:ilvl w:val="0"/>
          <w:numId w:val="71"/>
        </w:numPr>
      </w:pPr>
      <w:r w:rsidRPr="1B9E7434">
        <w:rPr>
          <w:lang w:val="fr-FR"/>
        </w:rPr>
        <w:t>Toutânkhamon (Edwards &amp; Boltin, 1979)</w:t>
      </w:r>
    </w:p>
    <w:p w14:paraId="255FB6AB" w14:textId="77777777" w:rsidR="0084489F" w:rsidRDefault="00110FE6" w:rsidP="00806324">
      <w:pPr>
        <w:numPr>
          <w:ilvl w:val="0"/>
          <w:numId w:val="71"/>
        </w:numPr>
      </w:pPr>
      <w:r>
        <w:t>Bucéphale [le cheval d’Alexandre le Grand] (Lamb, 2005)</w:t>
      </w:r>
    </w:p>
    <w:p w14:paraId="63EF8347" w14:textId="77777777" w:rsidR="0084489F" w:rsidRDefault="00110FE6" w:rsidP="00806324">
      <w:pPr>
        <w:numPr>
          <w:ilvl w:val="0"/>
          <w:numId w:val="71"/>
        </w:numPr>
      </w:pPr>
      <w:r>
        <w:t>Coprolithe de dinosaure PA1906-344</w:t>
      </w:r>
    </w:p>
    <w:p w14:paraId="768C2DBB" w14:textId="77777777" w:rsidR="0084489F" w:rsidRDefault="00110FE6">
      <w:pPr>
        <w:pStyle w:val="FirstParagraph"/>
      </w:pPr>
      <w:r>
        <w:rPr>
          <w:b/>
          <w:bCs/>
        </w:rPr>
        <w:t>Logique</w:t>
      </w:r>
    </w:p>
    <w:p w14:paraId="7AC35132" w14:textId="77777777" w:rsidR="0084489F" w:rsidRDefault="00110FE6">
      <w:pPr>
        <w:pStyle w:val="BodyText"/>
      </w:pPr>
      <w:r>
        <w:t>E20(x) ⇒ E19(x)</w:t>
      </w:r>
    </w:p>
    <w:p w14:paraId="320EEB84" w14:textId="77777777" w:rsidR="0084489F" w:rsidRDefault="00110FE6">
      <w:pPr>
        <w:pStyle w:val="BodyText"/>
      </w:pPr>
      <w:r>
        <w:rPr>
          <w:b/>
          <w:bCs/>
        </w:rPr>
        <w:t>Propriétés</w:t>
      </w:r>
    </w:p>
    <w:p w14:paraId="016E06A4" w14:textId="77777777" w:rsidR="0084489F" w:rsidRDefault="00110FE6">
      <w:pPr>
        <w:pStyle w:val="BlockText"/>
      </w:pPr>
      <w:r>
        <w:rPr>
          <w:b/>
          <w:bCs/>
          <w:i/>
          <w:iCs/>
        </w:rPr>
        <w:t>Note de traduction</w:t>
      </w:r>
    </w:p>
    <w:p w14:paraId="75017354" w14:textId="77777777" w:rsidR="0084489F" w:rsidRDefault="00110FE6">
      <w:pPr>
        <w:pStyle w:val="BlockText"/>
      </w:pPr>
      <w:r>
        <w:rPr>
          <w:b/>
          <w:bCs/>
          <w:i/>
          <w:iCs/>
        </w:rPr>
        <w:t>Références</w:t>
      </w:r>
    </w:p>
    <w:p w14:paraId="53B24EBC" w14:textId="77777777" w:rsidR="0084489F" w:rsidRDefault="0084489F">
      <w:pPr>
        <w:pStyle w:val="BlockText"/>
      </w:pPr>
    </w:p>
    <w:p w14:paraId="7A8352FE" w14:textId="77777777" w:rsidR="0084489F" w:rsidRDefault="00110FE6" w:rsidP="004454E2">
      <w:pPr>
        <w:pStyle w:val="Heading2"/>
      </w:pPr>
      <w:bookmarkStart w:id="147" w:name="_Toc176864455"/>
      <w:bookmarkStart w:id="148" w:name="e21-personne"/>
      <w:bookmarkEnd w:id="146"/>
      <w:r>
        <w:lastRenderedPageBreak/>
        <w:t>E21 Personne</w:t>
      </w:r>
      <w:bookmarkEnd w:id="147"/>
    </w:p>
    <w:p w14:paraId="1B13CC2B" w14:textId="77777777" w:rsidR="0084489F" w:rsidRDefault="00110FE6" w:rsidP="004454E2">
      <w:pPr>
        <w:pStyle w:val="FirstParagraph"/>
        <w:keepNext/>
        <w:keepLines/>
      </w:pPr>
      <w:r>
        <w:rPr>
          <w:b/>
          <w:bCs/>
        </w:rPr>
        <w:t>Sous-classe de</w:t>
      </w:r>
    </w:p>
    <w:p w14:paraId="618C44B1" w14:textId="77777777" w:rsidR="0084489F" w:rsidRDefault="00110FE6" w:rsidP="004454E2">
      <w:pPr>
        <w:pStyle w:val="BodyText"/>
        <w:keepNext/>
        <w:keepLines/>
      </w:pPr>
      <w:r>
        <w:rPr>
          <w:rStyle w:val="VerbatimChar"/>
        </w:rPr>
        <w:t>E20_Objet_biologique</w:t>
      </w:r>
    </w:p>
    <w:p w14:paraId="5D34278B" w14:textId="77777777" w:rsidR="0084489F" w:rsidRDefault="00110FE6">
      <w:pPr>
        <w:pStyle w:val="BodyText"/>
      </w:pPr>
      <w:r>
        <w:rPr>
          <w:rStyle w:val="VerbatimChar"/>
        </w:rPr>
        <w:t>E39_Actant</w:t>
      </w:r>
    </w:p>
    <w:p w14:paraId="34DDF941" w14:textId="77777777" w:rsidR="0084489F" w:rsidRDefault="00110FE6">
      <w:pPr>
        <w:pStyle w:val="BodyText"/>
      </w:pPr>
      <w:r>
        <w:rPr>
          <w:b/>
          <w:bCs/>
        </w:rPr>
        <w:t>Super-classe de</w:t>
      </w:r>
    </w:p>
    <w:p w14:paraId="42B012D2" w14:textId="77777777" w:rsidR="0084489F" w:rsidRDefault="00110FE6">
      <w:pPr>
        <w:pStyle w:val="BodyText"/>
      </w:pPr>
      <w:r>
        <w:rPr>
          <w:b/>
          <w:bCs/>
        </w:rPr>
        <w:t>Note d’application</w:t>
      </w:r>
    </w:p>
    <w:p w14:paraId="77CEE4D1" w14:textId="77777777" w:rsidR="0084489F" w:rsidRDefault="00110FE6">
      <w:pPr>
        <w:pStyle w:val="BodyText"/>
      </w:pPr>
      <w:r>
        <w:t>Cette classe comprend les personnes réelles qui vivent ou sont admises avoir vécu.</w:t>
      </w:r>
    </w:p>
    <w:p w14:paraId="572D20A8" w14:textId="77777777" w:rsidR="0084489F" w:rsidRDefault="00110FE6">
      <w:pPr>
        <w:pStyle w:val="BodyText"/>
      </w:pPr>
      <w:r>
        <w:t>Des personnages légendaires comme Ulysse ou le Roi Arthur sont des exemples de personnes s’inscrivant dans cette classe dans la mesure où elles sont considérées comme des figures historiques plutôt que fictives [n.d.t. dans le cadre de leur enregistrement d’origine]. Dans la mesure où il y aurait un doute quant au fait que plusieurs personnes ne constituent qu’un seul et unique individu, plusieurs instances peuvent être créées et liées afin d’indiquer leur relation. Le CIDOC CRM ne propose pas de forme spécifique de raisonnement quant aux identités possibles.</w:t>
      </w:r>
    </w:p>
    <w:p w14:paraId="794ABB3F" w14:textId="77777777" w:rsidR="0084489F" w:rsidRDefault="00110FE6">
      <w:pPr>
        <w:pStyle w:val="BodyText"/>
      </w:pPr>
      <w:r>
        <w:t xml:space="preserve">En contexte bibliographique, un nom présenté selon les conventions régissant normalement l’utilisation de noms personnels sera admis correspondre à une personne réelle (une instance de </w:t>
      </w:r>
      <w:r>
        <w:rPr>
          <w:rStyle w:val="VerbatimChar"/>
        </w:rPr>
        <w:t>E21_Personne</w:t>
      </w:r>
      <w:r>
        <w:t xml:space="preserve">) à moins que d’autres éléments n’indiquent le contraire. Le fait qu’un personnage fictif soit classifié de manière erronée comme une instance de </w:t>
      </w:r>
      <w:r>
        <w:rPr>
          <w:rStyle w:val="VerbatimChar"/>
        </w:rPr>
        <w:t>E21_Personne</w:t>
      </w:r>
      <w:r>
        <w:t xml:space="preserve"> n’implique pas l’inclusion de tels personnages dans le concept de personne.</w:t>
      </w:r>
    </w:p>
    <w:p w14:paraId="42FE6782" w14:textId="77777777" w:rsidR="0084489F" w:rsidRDefault="00110FE6">
      <w:pPr>
        <w:pStyle w:val="BodyText"/>
      </w:pPr>
      <w:r>
        <w:rPr>
          <w:b/>
          <w:bCs/>
        </w:rPr>
        <w:t>Exemples</w:t>
      </w:r>
    </w:p>
    <w:p w14:paraId="34D5B760" w14:textId="6F98ED39" w:rsidR="0084489F" w:rsidRDefault="00110FE6" w:rsidP="00806324">
      <w:pPr>
        <w:numPr>
          <w:ilvl w:val="0"/>
          <w:numId w:val="72"/>
        </w:numPr>
      </w:pPr>
      <w:r w:rsidRPr="1B9E7434">
        <w:rPr>
          <w:lang w:val="fr-FR"/>
        </w:rPr>
        <w:t>Toutânkhamon (Edwards &amp; Boltin, 1979)</w:t>
      </w:r>
    </w:p>
    <w:p w14:paraId="05E8ACDA" w14:textId="482586EE" w:rsidR="0084489F" w:rsidRDefault="00110FE6" w:rsidP="00806324">
      <w:pPr>
        <w:numPr>
          <w:ilvl w:val="0"/>
          <w:numId w:val="72"/>
        </w:numPr>
      </w:pPr>
      <w:r w:rsidRPr="1B9E7434">
        <w:rPr>
          <w:lang w:val="fr-FR"/>
        </w:rPr>
        <w:t>Nelson Mandela (Brown &amp; Hort, 2006)</w:t>
      </w:r>
    </w:p>
    <w:p w14:paraId="4A3BEBE7" w14:textId="77777777" w:rsidR="0084489F" w:rsidRDefault="00110FE6">
      <w:pPr>
        <w:pStyle w:val="FirstParagraph"/>
      </w:pPr>
      <w:r>
        <w:rPr>
          <w:b/>
          <w:bCs/>
        </w:rPr>
        <w:t>Logique</w:t>
      </w:r>
    </w:p>
    <w:p w14:paraId="77D5EC68" w14:textId="77777777" w:rsidR="0084489F" w:rsidRDefault="00110FE6">
      <w:pPr>
        <w:pStyle w:val="BodyText"/>
      </w:pPr>
      <w:r>
        <w:t>E21(x) ⇒ E20(x)</w:t>
      </w:r>
    </w:p>
    <w:p w14:paraId="64DB5CC5" w14:textId="77777777" w:rsidR="0084489F" w:rsidRDefault="00110FE6">
      <w:pPr>
        <w:pStyle w:val="BodyText"/>
      </w:pPr>
      <w:r>
        <w:t>E21(x) ⇒ E39(x)</w:t>
      </w:r>
    </w:p>
    <w:p w14:paraId="4E82EFAC" w14:textId="77777777" w:rsidR="0084489F" w:rsidRDefault="00110FE6">
      <w:pPr>
        <w:pStyle w:val="BodyText"/>
      </w:pPr>
      <w:r>
        <w:rPr>
          <w:b/>
          <w:bCs/>
        </w:rPr>
        <w:t>Propriétés</w:t>
      </w:r>
    </w:p>
    <w:p w14:paraId="103167DD" w14:textId="77777777" w:rsidR="0084489F" w:rsidRDefault="00110FE6">
      <w:pPr>
        <w:pStyle w:val="BodyText"/>
      </w:pPr>
      <w:r w:rsidRPr="1B9E7434">
        <w:rPr>
          <w:rStyle w:val="VerbatimChar"/>
          <w:lang w:val="fr-FR"/>
        </w:rPr>
        <w:t>P152_a_pour_parent (est_le_parent_de)</w:t>
      </w:r>
      <w:r w:rsidRPr="1B9E7434">
        <w:rPr>
          <w:lang w:val="fr-FR"/>
        </w:rPr>
        <w:t xml:space="preserve">: </w:t>
      </w:r>
      <w:r w:rsidRPr="1B9E7434">
        <w:rPr>
          <w:rStyle w:val="VerbatimChar"/>
          <w:lang w:val="fr-FR"/>
        </w:rPr>
        <w:t>E21_Personne</w:t>
      </w:r>
    </w:p>
    <w:p w14:paraId="526A3C9C" w14:textId="77777777" w:rsidR="0084489F" w:rsidRDefault="00110FE6">
      <w:pPr>
        <w:pStyle w:val="BlockText"/>
      </w:pPr>
      <w:r>
        <w:rPr>
          <w:b/>
          <w:bCs/>
          <w:i/>
          <w:iCs/>
        </w:rPr>
        <w:t>Note de traduction</w:t>
      </w:r>
    </w:p>
    <w:p w14:paraId="50A416C5" w14:textId="77777777" w:rsidR="0084489F" w:rsidRDefault="00110FE6">
      <w:pPr>
        <w:pStyle w:val="BlockText"/>
      </w:pPr>
      <w:r>
        <w:t>L’utilisation du terme « documentation » dans la définition fait ici référence aux données qui sont soumises en entrée. Le texte a été bonifié afin de clarifier de quoi il s’agit, car le terme documentation, en français, n’a pas la même acception qu’en anglais et ne recoupe pas vraiment l’usage qui en est fait ici.</w:t>
      </w:r>
    </w:p>
    <w:p w14:paraId="420A6533" w14:textId="77777777" w:rsidR="0084489F" w:rsidRDefault="00110FE6">
      <w:pPr>
        <w:pStyle w:val="BlockText"/>
      </w:pPr>
      <w:r w:rsidRPr="1B9E7434">
        <w:rPr>
          <w:lang w:val="fr-FR"/>
        </w:rPr>
        <w:t>La définition anglophone fait une distinction entre des « historical figures » et des « personæ » et semble indiquer que cette distinction se situerait au niveau du soumissionnaire et de la manière dont l’individu est perçu (personnage imaginaire ou fictif). Une vérification auprès du CRM SIG confirme cette interprétation.</w:t>
      </w:r>
    </w:p>
    <w:p w14:paraId="23D92301" w14:textId="77777777" w:rsidR="0084489F" w:rsidRDefault="00110FE6">
      <w:pPr>
        <w:pStyle w:val="BlockText"/>
      </w:pPr>
      <w:r>
        <w:rPr>
          <w:b/>
          <w:bCs/>
          <w:i/>
          <w:iCs/>
        </w:rPr>
        <w:t>Références</w:t>
      </w:r>
    </w:p>
    <w:p w14:paraId="5C20B028" w14:textId="77777777" w:rsidR="0084489F" w:rsidRDefault="0084489F">
      <w:pPr>
        <w:pStyle w:val="BlockText"/>
      </w:pPr>
    </w:p>
    <w:p w14:paraId="6D12E3B7" w14:textId="77777777" w:rsidR="0084489F" w:rsidRDefault="00110FE6">
      <w:pPr>
        <w:pStyle w:val="Heading2"/>
      </w:pPr>
      <w:bookmarkStart w:id="149" w:name="_Toc176864456"/>
      <w:bookmarkStart w:id="150" w:name="e22-objet-elabore-par-lhumain"/>
      <w:bookmarkEnd w:id="148"/>
      <w:r>
        <w:lastRenderedPageBreak/>
        <w:t>E22 Objet élaboré par l’humain</w:t>
      </w:r>
      <w:bookmarkEnd w:id="149"/>
    </w:p>
    <w:p w14:paraId="08B6E6FC" w14:textId="77777777" w:rsidR="0084489F" w:rsidRDefault="00110FE6">
      <w:pPr>
        <w:pStyle w:val="FirstParagraph"/>
      </w:pPr>
      <w:r>
        <w:rPr>
          <w:b/>
          <w:bCs/>
        </w:rPr>
        <w:t>Sous-classe de</w:t>
      </w:r>
    </w:p>
    <w:p w14:paraId="6BC7FCA1" w14:textId="77777777" w:rsidR="0084489F" w:rsidRDefault="00110FE6">
      <w:pPr>
        <w:pStyle w:val="BodyText"/>
      </w:pPr>
      <w:r>
        <w:rPr>
          <w:rStyle w:val="VerbatimChar"/>
        </w:rPr>
        <w:t>E19_Objet_matérielE24_Chose_matérielle_élaborée_par_l’humain</w:t>
      </w:r>
    </w:p>
    <w:p w14:paraId="72339755" w14:textId="77777777" w:rsidR="0084489F" w:rsidRDefault="00110FE6">
      <w:pPr>
        <w:pStyle w:val="BodyText"/>
      </w:pPr>
      <w:r>
        <w:rPr>
          <w:b/>
          <w:bCs/>
        </w:rPr>
        <w:t>Super-classe de</w:t>
      </w:r>
    </w:p>
    <w:p w14:paraId="404198FB" w14:textId="77777777" w:rsidR="0084489F" w:rsidRDefault="00110FE6">
      <w:pPr>
        <w:pStyle w:val="BodyText"/>
      </w:pPr>
      <w:r>
        <w:rPr>
          <w:b/>
          <w:bCs/>
        </w:rPr>
        <w:t>Note d’application</w:t>
      </w:r>
    </w:p>
    <w:p w14:paraId="2F96ADD3" w14:textId="77777777" w:rsidR="0084489F" w:rsidRDefault="00110FE6">
      <w:pPr>
        <w:pStyle w:val="BodyText"/>
      </w:pPr>
      <w:r>
        <w:t>Cette classe comprend tous les objets physiques persistants, quelle que soit leur taille, qui sont créés intentionnellement par l’activité humaine et qui possèdent des limites physiques qui les séparent complètement et objectivement des autres objets.</w:t>
      </w:r>
    </w:p>
    <w:p w14:paraId="42974CEC" w14:textId="77777777" w:rsidR="0084489F" w:rsidRDefault="00110FE6">
      <w:pPr>
        <w:pStyle w:val="BodyText"/>
      </w:pPr>
      <w:r>
        <w:t>Cette classe inclut aussi toutes les agrégations d’objets produits pour de quelconques buts fonctionnels, indépendamment de leur cohérence physique, comme un ensemble de pièces de jeu d’échecs.</w:t>
      </w:r>
    </w:p>
    <w:p w14:paraId="416EC856" w14:textId="77777777" w:rsidR="0084489F" w:rsidRDefault="00110FE6">
      <w:pPr>
        <w:pStyle w:val="BodyText"/>
      </w:pPr>
      <w:r>
        <w:rPr>
          <w:b/>
          <w:bCs/>
        </w:rPr>
        <w:t>Exemples</w:t>
      </w:r>
    </w:p>
    <w:p w14:paraId="52085379" w14:textId="77777777" w:rsidR="0084489F" w:rsidRDefault="00110FE6" w:rsidP="00806324">
      <w:pPr>
        <w:numPr>
          <w:ilvl w:val="0"/>
          <w:numId w:val="73"/>
        </w:numPr>
      </w:pPr>
      <w:r>
        <w:t>La pierre de rosette (Rosetta Stone) (</w:t>
      </w:r>
      <w:r>
        <w:rPr>
          <w:rStyle w:val="VerbatimChar"/>
        </w:rPr>
        <w:t>E22_Objet_élaboré_par_l’humain</w:t>
      </w:r>
      <w:r>
        <w:t>)</w:t>
      </w:r>
    </w:p>
    <w:p w14:paraId="247726B2" w14:textId="77777777" w:rsidR="0084489F" w:rsidRDefault="00110FE6" w:rsidP="00806324">
      <w:pPr>
        <w:numPr>
          <w:ilvl w:val="0"/>
          <w:numId w:val="73"/>
        </w:numPr>
      </w:pPr>
      <w:r w:rsidRPr="35156D4C">
        <w:rPr>
          <w:lang w:val="fr-FR"/>
        </w:rPr>
        <w:t>La Mallard LNER Class A4 4468 (la locomotive à vapeur la plus rapide du monde conservée au National Railway Museum of York au Royaume-Uni) (Solomon, 2003)</w:t>
      </w:r>
    </w:p>
    <w:p w14:paraId="0A14370F" w14:textId="77777777" w:rsidR="0084489F" w:rsidRDefault="00110FE6" w:rsidP="00806324">
      <w:pPr>
        <w:numPr>
          <w:ilvl w:val="0"/>
          <w:numId w:val="73"/>
        </w:numPr>
      </w:pPr>
      <w:r>
        <w:t>Le vase Portland (Walker, 2004)</w:t>
      </w:r>
    </w:p>
    <w:p w14:paraId="4490FD5C" w14:textId="77777777" w:rsidR="0084489F" w:rsidRDefault="00110FE6">
      <w:pPr>
        <w:pStyle w:val="FirstParagraph"/>
      </w:pPr>
      <w:r>
        <w:rPr>
          <w:b/>
          <w:bCs/>
        </w:rPr>
        <w:t>Logique</w:t>
      </w:r>
    </w:p>
    <w:p w14:paraId="09549422" w14:textId="77777777" w:rsidR="0084489F" w:rsidRDefault="00110FE6">
      <w:pPr>
        <w:pStyle w:val="BodyText"/>
      </w:pPr>
      <w:r>
        <w:t>E22(x) ⇒ E19(x)E22(x) ⇒ E24(x)</w:t>
      </w:r>
    </w:p>
    <w:p w14:paraId="0CC38A70" w14:textId="77777777" w:rsidR="0084489F" w:rsidRDefault="00110FE6">
      <w:pPr>
        <w:pStyle w:val="BodyText"/>
      </w:pPr>
      <w:r>
        <w:rPr>
          <w:b/>
          <w:bCs/>
        </w:rPr>
        <w:t>Propriétés</w:t>
      </w:r>
    </w:p>
    <w:p w14:paraId="44A29300" w14:textId="77777777" w:rsidR="0084489F" w:rsidRDefault="00110FE6">
      <w:pPr>
        <w:pStyle w:val="BlockText"/>
      </w:pPr>
      <w:r>
        <w:rPr>
          <w:b/>
          <w:bCs/>
          <w:i/>
          <w:iCs/>
        </w:rPr>
        <w:t>Note de traduction</w:t>
      </w:r>
    </w:p>
    <w:p w14:paraId="2BEE3633" w14:textId="77777777" w:rsidR="0084489F" w:rsidRDefault="00110FE6">
      <w:pPr>
        <w:pStyle w:val="BlockText"/>
      </w:pPr>
      <w:r>
        <w:rPr>
          <w:b/>
          <w:bCs/>
          <w:i/>
          <w:iCs/>
        </w:rPr>
        <w:t>Références</w:t>
      </w:r>
    </w:p>
    <w:p w14:paraId="6CA21C24" w14:textId="77777777" w:rsidR="0084489F" w:rsidRDefault="0084489F">
      <w:pPr>
        <w:pStyle w:val="BlockText"/>
      </w:pPr>
    </w:p>
    <w:p w14:paraId="221E7436" w14:textId="77777777" w:rsidR="0084489F" w:rsidRDefault="00110FE6">
      <w:pPr>
        <w:pStyle w:val="Heading2"/>
      </w:pPr>
      <w:bookmarkStart w:id="151" w:name="_Toc176864457"/>
      <w:bookmarkStart w:id="152" w:name="Xb27fbdf86ebbc8f56ffe1a9ad7de822e3b2f7ab"/>
      <w:bookmarkEnd w:id="150"/>
      <w:r>
        <w:t>E24 Chose matérielle élaborée par l’humain</w:t>
      </w:r>
      <w:bookmarkEnd w:id="151"/>
    </w:p>
    <w:p w14:paraId="055CFB16" w14:textId="77777777" w:rsidR="0084489F" w:rsidRDefault="00110FE6">
      <w:pPr>
        <w:pStyle w:val="FirstParagraph"/>
      </w:pPr>
      <w:r>
        <w:rPr>
          <w:b/>
          <w:bCs/>
        </w:rPr>
        <w:t>Sous-classe de</w:t>
      </w:r>
    </w:p>
    <w:p w14:paraId="5B1928B2" w14:textId="77777777" w:rsidR="0084489F" w:rsidRDefault="00110FE6">
      <w:pPr>
        <w:pStyle w:val="BodyText"/>
      </w:pPr>
      <w:r>
        <w:rPr>
          <w:rStyle w:val="VerbatimChar"/>
        </w:rPr>
        <w:t>E18_Chose_matérielle</w:t>
      </w:r>
    </w:p>
    <w:p w14:paraId="6F3B2D39" w14:textId="77777777" w:rsidR="0084489F" w:rsidRDefault="00110FE6">
      <w:pPr>
        <w:pStyle w:val="BodyText"/>
      </w:pPr>
      <w:r>
        <w:rPr>
          <w:rStyle w:val="VerbatimChar"/>
        </w:rPr>
        <w:t>E71_Chose_élaborée_par_l’humain</w:t>
      </w:r>
      <w:r>
        <w:t xml:space="preserve"> </w:t>
      </w:r>
    </w:p>
    <w:p w14:paraId="4C42C783" w14:textId="77777777" w:rsidR="0084489F" w:rsidRDefault="00110FE6">
      <w:pPr>
        <w:pStyle w:val="BodyText"/>
      </w:pPr>
      <w:r>
        <w:rPr>
          <w:b/>
          <w:bCs/>
        </w:rPr>
        <w:t>Super-classe de</w:t>
      </w:r>
    </w:p>
    <w:p w14:paraId="38ECC455" w14:textId="77777777" w:rsidR="0084489F" w:rsidRDefault="00110FE6">
      <w:pPr>
        <w:pStyle w:val="BodyText"/>
      </w:pPr>
      <w:r>
        <w:rPr>
          <w:rStyle w:val="VerbatimChar"/>
        </w:rPr>
        <w:t>E22_Objet_élaboré_par_l’humain</w:t>
      </w:r>
    </w:p>
    <w:p w14:paraId="6E34BF40" w14:textId="77777777" w:rsidR="0084489F" w:rsidRDefault="00110FE6">
      <w:pPr>
        <w:pStyle w:val="BodyText"/>
      </w:pPr>
      <w:r>
        <w:rPr>
          <w:rStyle w:val="VerbatimChar"/>
        </w:rPr>
        <w:t>E25_Caractéristique_élaborée_par_l’humain</w:t>
      </w:r>
    </w:p>
    <w:p w14:paraId="7899FA4D" w14:textId="77777777" w:rsidR="0084489F" w:rsidRDefault="00110FE6">
      <w:pPr>
        <w:pStyle w:val="BodyText"/>
      </w:pPr>
      <w:r>
        <w:rPr>
          <w:rStyle w:val="VerbatimChar"/>
        </w:rPr>
        <w:t>E78_Collection</w:t>
      </w:r>
    </w:p>
    <w:p w14:paraId="46244625" w14:textId="77777777" w:rsidR="0084489F" w:rsidRDefault="00110FE6">
      <w:pPr>
        <w:pStyle w:val="BodyText"/>
      </w:pPr>
      <w:r>
        <w:rPr>
          <w:b/>
          <w:bCs/>
        </w:rPr>
        <w:t>Note d’application</w:t>
      </w:r>
    </w:p>
    <w:p w14:paraId="78A3E21D" w14:textId="77777777" w:rsidR="0084489F" w:rsidRDefault="00110FE6">
      <w:pPr>
        <w:pStyle w:val="BodyText"/>
      </w:pPr>
      <w:r>
        <w:t xml:space="preserve">Cette classe comprend toutes les entités physiques persistantes de n’importe quelle taille qui sont créées volontairement par l’activité humaine. Cette classe comprend, entre autres, des instances de </w:t>
      </w:r>
      <w:r>
        <w:rPr>
          <w:rStyle w:val="VerbatimChar"/>
        </w:rPr>
        <w:t>E22_Objet_élaboré_par_l’humain</w:t>
      </w:r>
      <w:r>
        <w:t xml:space="preserve">, comme une épée, ainsi que des instances de </w:t>
      </w:r>
      <w:r>
        <w:rPr>
          <w:rStyle w:val="VerbatimChar"/>
        </w:rPr>
        <w:t>E25_Caractéristique_élaborée_par_l’humain</w:t>
      </w:r>
      <w:r>
        <w:t xml:space="preserve">, comme une œuvre d’art rupestre. Par exemple, une </w:t>
      </w:r>
      <w:r>
        <w:lastRenderedPageBreak/>
        <w:t xml:space="preserve">« cupule » gravée dans un substrat rocheux est considérée comme une instance de </w:t>
      </w:r>
      <w:r>
        <w:rPr>
          <w:rStyle w:val="VerbatimChar"/>
        </w:rPr>
        <w:t>E24_Chose_matérielle_élaborée_par_l’humain</w:t>
      </w:r>
      <w:r>
        <w:t>.</w:t>
      </w:r>
    </w:p>
    <w:p w14:paraId="42266939" w14:textId="77777777" w:rsidR="0084489F" w:rsidRDefault="00110FE6">
      <w:pPr>
        <w:pStyle w:val="BodyText"/>
      </w:pPr>
      <w:r w:rsidRPr="1B9E7434">
        <w:rPr>
          <w:lang w:val="fr-FR"/>
        </w:rPr>
        <w:t xml:space="preserve">Les instances de </w:t>
      </w:r>
      <w:r w:rsidRPr="1B9E7434">
        <w:rPr>
          <w:rStyle w:val="VerbatimChar"/>
          <w:lang w:val="fr-FR"/>
        </w:rPr>
        <w:t>E24_Chose_matérielle_élaborée_par_l’humain</w:t>
      </w:r>
      <w:r w:rsidRPr="1B9E7434">
        <w:rPr>
          <w:lang w:val="fr-FR"/>
        </w:rPr>
        <w:t xml:space="preserve"> peuvent être le résultat de la modification de choses matérielles préexistantes, tant que de grandes parties ou la majorité de la matière originale et de la structure sont préservées. [n.d.t. Le fait que ces instances peuvent provenir d’une modification] soulève la question de savoir si elles sont nouvelles ou même élaborées par l’humain. [n.d.t. Afin de déterminer s’il s’agit effectivement d’une nouvelle instance de </w:t>
      </w:r>
      <w:r w:rsidRPr="1B9E7434">
        <w:rPr>
          <w:rStyle w:val="VerbatimChar"/>
          <w:lang w:val="fr-FR"/>
        </w:rPr>
        <w:t>E24_Chose_matérielle_élaborée_par_l’humain</w:t>
      </w:r>
      <w:r w:rsidRPr="1B9E7434">
        <w:rPr>
          <w:lang w:val="fr-FR"/>
        </w:rPr>
        <w:t xml:space="preserve">, il faut que] les interventions de production sur ce matériau d’origine soient respectivement évidentes et suffisantes pour considérer que le produit a une identité nouvelle et distincte, une fonction prévue ainsi qu’il soit fabriqué par l’humain. La continuité substantielle de la matière et de la structure précédentes dans le nouveau produit peut être documentée en décrivant le processus de production également comme une instance de </w:t>
      </w:r>
      <w:r w:rsidRPr="1B9E7434">
        <w:rPr>
          <w:rStyle w:val="VerbatimChar"/>
          <w:lang w:val="fr-FR"/>
        </w:rPr>
        <w:t>E81_Transformation</w:t>
      </w:r>
      <w:r w:rsidRPr="1B9E7434">
        <w:rPr>
          <w:lang w:val="fr-FR"/>
        </w:rPr>
        <w:t>.</w:t>
      </w:r>
    </w:p>
    <w:p w14:paraId="569F7EC1" w14:textId="77777777" w:rsidR="0084489F" w:rsidRDefault="00110FE6">
      <w:pPr>
        <w:pStyle w:val="BodyText"/>
      </w:pPr>
      <w:r>
        <w:t xml:space="preserve">Alors que les interventions de conservation et de réparation ne sont pas considérées comme produisant une nouvelle instance de </w:t>
      </w:r>
      <w:r>
        <w:rPr>
          <w:rStyle w:val="VerbatimChar"/>
        </w:rPr>
        <w:t>E24_Chose_matérielle_élaborée_par_l’humain</w:t>
      </w:r>
      <w:r>
        <w:t xml:space="preserve">, les résultats de préparation de spécimens d’histoire naturelle qui modifient substantiellement leur état naturel ou original devraient être considérés comme des instances de </w:t>
      </w:r>
      <w:r>
        <w:rPr>
          <w:rStyle w:val="VerbatimChar"/>
        </w:rPr>
        <w:t>E24_Chose_matérielle_élaborée_par_l’humain</w:t>
      </w:r>
      <w:r>
        <w:t xml:space="preserve">, y compris la découverte de composants biologiques pétrifiés au sein d’un morceau de pierre solide. D’un autre côté, griffonner un numéro de musée sur un objet naturel ne devrait pas être considéré comme une activité créant une chose élaborée par l’humain. Nonobstant cela, des parties, sections ou caractéristiques d’une instance de </w:t>
      </w:r>
      <w:r>
        <w:rPr>
          <w:rStyle w:val="VerbatimChar"/>
        </w:rPr>
        <w:t>E24_Chose_matérielle_élaborée_par_l’humain</w:t>
      </w:r>
      <w:r>
        <w:t xml:space="preserve"> peuvent continuer à ne pas être élaborées par l’humain et préservées pendant le processus de production, par exemple les perles naturelles utilisées comme une partie de boucle d’oreille.</w:t>
      </w:r>
    </w:p>
    <w:p w14:paraId="3FCEA428" w14:textId="77777777" w:rsidR="0084489F" w:rsidRDefault="00110FE6">
      <w:pPr>
        <w:pStyle w:val="BodyText"/>
      </w:pPr>
      <w:r>
        <w:rPr>
          <w:b/>
          <w:bCs/>
        </w:rPr>
        <w:t>Exemples</w:t>
      </w:r>
    </w:p>
    <w:p w14:paraId="757C578A" w14:textId="367A1FEE" w:rsidR="0084489F" w:rsidRDefault="00110FE6" w:rsidP="00806324">
      <w:pPr>
        <w:numPr>
          <w:ilvl w:val="0"/>
          <w:numId w:val="74"/>
        </w:numPr>
      </w:pPr>
      <w:r w:rsidRPr="1B9E7434">
        <w:rPr>
          <w:lang w:val="fr-FR"/>
        </w:rPr>
        <w:t>Le Pont du Forth (Forth Railway Bridge) (</w:t>
      </w:r>
      <w:r w:rsidRPr="1B9E7434">
        <w:rPr>
          <w:rStyle w:val="VerbatimChar"/>
          <w:lang w:val="fr-FR"/>
        </w:rPr>
        <w:t>E22_Objet_élaboré_par_l’humain</w:t>
      </w:r>
      <w:r w:rsidRPr="1B9E7434">
        <w:rPr>
          <w:lang w:val="fr-FR"/>
        </w:rPr>
        <w:t>) (Shipway, Bouch, Baker &amp; Fowler, 1990)</w:t>
      </w:r>
    </w:p>
    <w:p w14:paraId="3E372E23" w14:textId="4AD8AE95" w:rsidR="0084489F" w:rsidRDefault="00110FE6" w:rsidP="00806324">
      <w:pPr>
        <w:numPr>
          <w:ilvl w:val="0"/>
          <w:numId w:val="74"/>
        </w:numPr>
      </w:pPr>
      <w:r w:rsidRPr="1B9E7434">
        <w:rPr>
          <w:lang w:val="fr-FR"/>
        </w:rPr>
        <w:t>Le tunnel sous la manche (</w:t>
      </w:r>
      <w:r w:rsidRPr="1B9E7434">
        <w:rPr>
          <w:rStyle w:val="VerbatimChar"/>
          <w:lang w:val="fr-FR"/>
        </w:rPr>
        <w:t>E25_Caractéristique_élaborée_par_l’humain</w:t>
      </w:r>
      <w:r w:rsidRPr="1B9E7434">
        <w:rPr>
          <w:lang w:val="fr-FR"/>
        </w:rPr>
        <w:t>) (Holliday, Marcou &amp; Vickerman, 1991)</w:t>
      </w:r>
    </w:p>
    <w:p w14:paraId="65F1C8DB" w14:textId="77777777" w:rsidR="0084489F" w:rsidRDefault="00110FE6" w:rsidP="00806324">
      <w:pPr>
        <w:numPr>
          <w:ilvl w:val="0"/>
          <w:numId w:val="74"/>
        </w:numPr>
      </w:pPr>
      <w:r>
        <w:t>Le palais de Knossos (Evans, 1921)</w:t>
      </w:r>
    </w:p>
    <w:p w14:paraId="07B37917" w14:textId="77777777" w:rsidR="0084489F" w:rsidRDefault="00110FE6" w:rsidP="00806324">
      <w:pPr>
        <w:numPr>
          <w:ilvl w:val="0"/>
          <w:numId w:val="74"/>
        </w:numPr>
      </w:pPr>
      <w:r>
        <w:t>Le Colisée de Rome en Italie (Hopkins &amp; Beard, 2011)</w:t>
      </w:r>
    </w:p>
    <w:p w14:paraId="0B3920AE" w14:textId="5258DDB5" w:rsidR="0084489F" w:rsidRDefault="00110FE6" w:rsidP="00806324">
      <w:pPr>
        <w:numPr>
          <w:ilvl w:val="0"/>
          <w:numId w:val="74"/>
        </w:numPr>
      </w:pPr>
      <w:r w:rsidRPr="1B9E7434">
        <w:rPr>
          <w:lang w:val="fr-FR"/>
        </w:rPr>
        <w:t>La collection historique du Musée Benaki à Athènes (</w:t>
      </w:r>
      <w:r w:rsidRPr="1B9E7434">
        <w:rPr>
          <w:rStyle w:val="VerbatimChar"/>
          <w:lang w:val="fr-FR"/>
        </w:rPr>
        <w:t>E78_Collection</w:t>
      </w:r>
      <w:r w:rsidRPr="1B9E7434">
        <w:rPr>
          <w:lang w:val="fr-FR"/>
        </w:rPr>
        <w:t>) (Georgoula, 2005)</w:t>
      </w:r>
    </w:p>
    <w:p w14:paraId="29A764F7" w14:textId="77777777" w:rsidR="0084489F" w:rsidRDefault="00110FE6" w:rsidP="00806324">
      <w:pPr>
        <w:numPr>
          <w:ilvl w:val="0"/>
          <w:numId w:val="74"/>
        </w:numPr>
      </w:pPr>
      <w:r>
        <w:t>La pierre de Rosette (Rosetta Stone) (</w:t>
      </w:r>
      <w:r>
        <w:rPr>
          <w:rStyle w:val="VerbatimChar"/>
        </w:rPr>
        <w:t>E22_Objet_élaboré_par_l’humain</w:t>
      </w:r>
      <w:r>
        <w:t>)</w:t>
      </w:r>
    </w:p>
    <w:p w14:paraId="15D92296" w14:textId="44DC32F2" w:rsidR="0084489F" w:rsidRDefault="00110FE6" w:rsidP="00806324">
      <w:pPr>
        <w:numPr>
          <w:ilvl w:val="0"/>
          <w:numId w:val="74"/>
        </w:numPr>
      </w:pPr>
      <w:r w:rsidRPr="1B9E7434">
        <w:rPr>
          <w:lang w:val="fr-FR"/>
        </w:rPr>
        <w:t xml:space="preserve">Ma copie de poche de </w:t>
      </w:r>
      <w:r w:rsidRPr="1B9E7434">
        <w:rPr>
          <w:i/>
          <w:iCs/>
          <w:lang w:val="fr-FR"/>
        </w:rPr>
        <w:t>Crime et Châtiment</w:t>
      </w:r>
      <w:r w:rsidRPr="1B9E7434">
        <w:rPr>
          <w:lang w:val="fr-FR"/>
        </w:rPr>
        <w:t xml:space="preserve"> </w:t>
      </w:r>
      <w:r w:rsidRPr="1B9E7434">
        <w:rPr>
          <w:i/>
          <w:iCs/>
          <w:lang w:val="fr-FR"/>
        </w:rPr>
        <w:t>Преступление и наказание</w:t>
      </w:r>
      <w:r w:rsidRPr="1B9E7434">
        <w:rPr>
          <w:lang w:val="fr-FR"/>
        </w:rPr>
        <w:t xml:space="preserve"> (</w:t>
      </w:r>
      <w:r w:rsidRPr="1B9E7434">
        <w:rPr>
          <w:rStyle w:val="VerbatimChar"/>
          <w:lang w:val="fr-FR"/>
        </w:rPr>
        <w:t>E22_Objet_élaboré_par_l’humain</w:t>
      </w:r>
      <w:r w:rsidRPr="1B9E7434">
        <w:rPr>
          <w:lang w:val="fr-FR"/>
        </w:rPr>
        <w:t>) (fictif)</w:t>
      </w:r>
    </w:p>
    <w:p w14:paraId="46109993" w14:textId="5969B034" w:rsidR="0084489F" w:rsidRDefault="00110FE6" w:rsidP="00806324">
      <w:pPr>
        <w:numPr>
          <w:ilvl w:val="0"/>
          <w:numId w:val="74"/>
        </w:numPr>
      </w:pPr>
      <w:r w:rsidRPr="1B9E7434">
        <w:rPr>
          <w:lang w:val="fr-FR"/>
        </w:rPr>
        <w:t>Le disque informatique à l’Institute of Computer Science - Foundation for Research and Technology - Hellas (ICS-FORTH) qui contient la Définition canonique du CIDOC CRM v.3.2 (</w:t>
      </w:r>
      <w:r w:rsidRPr="1B9E7434">
        <w:rPr>
          <w:rStyle w:val="VerbatimChar"/>
          <w:lang w:val="fr-FR"/>
        </w:rPr>
        <w:t>E22_Objet_élaboré_par_l’humain</w:t>
      </w:r>
      <w:r w:rsidRPr="1B9E7434">
        <w:rPr>
          <w:lang w:val="fr-FR"/>
        </w:rPr>
        <w:t>)</w:t>
      </w:r>
    </w:p>
    <w:p w14:paraId="05E08861" w14:textId="77777777" w:rsidR="0084489F" w:rsidRDefault="00110FE6" w:rsidP="00806324">
      <w:pPr>
        <w:numPr>
          <w:ilvl w:val="0"/>
          <w:numId w:val="74"/>
        </w:numPr>
      </w:pPr>
      <w:r>
        <w:t>Mon disque DVD vide (</w:t>
      </w:r>
      <w:r>
        <w:rPr>
          <w:rStyle w:val="VerbatimChar"/>
        </w:rPr>
        <w:t>E22_Objet_élaboré_par_l’humain</w:t>
      </w:r>
      <w:r>
        <w:t>) (fictif)</w:t>
      </w:r>
    </w:p>
    <w:p w14:paraId="11DC9AE7" w14:textId="77777777" w:rsidR="0084489F" w:rsidRDefault="00110FE6">
      <w:pPr>
        <w:pStyle w:val="FirstParagraph"/>
      </w:pPr>
      <w:r>
        <w:rPr>
          <w:b/>
          <w:bCs/>
        </w:rPr>
        <w:t>Logique</w:t>
      </w:r>
    </w:p>
    <w:p w14:paraId="572F4318" w14:textId="77777777" w:rsidR="0084489F" w:rsidRDefault="00110FE6">
      <w:pPr>
        <w:pStyle w:val="BodyText"/>
      </w:pPr>
      <w:r>
        <w:t>E24(x) ⇒ E18(x)</w:t>
      </w:r>
    </w:p>
    <w:p w14:paraId="4B2DCBE1" w14:textId="77777777" w:rsidR="0084489F" w:rsidRDefault="00110FE6">
      <w:pPr>
        <w:pStyle w:val="BodyText"/>
      </w:pPr>
      <w:r>
        <w:t>E24(x) ⇒ E71(x)</w:t>
      </w:r>
    </w:p>
    <w:p w14:paraId="36F3609D" w14:textId="77777777" w:rsidR="0084489F" w:rsidRDefault="00110FE6">
      <w:pPr>
        <w:pStyle w:val="BodyText"/>
      </w:pPr>
      <w:r>
        <w:rPr>
          <w:b/>
          <w:bCs/>
        </w:rPr>
        <w:lastRenderedPageBreak/>
        <w:t>Propriétés</w:t>
      </w:r>
    </w:p>
    <w:p w14:paraId="31CE33C3" w14:textId="77777777" w:rsidR="0084489F" w:rsidRDefault="00110FE6">
      <w:pPr>
        <w:pStyle w:val="BodyText"/>
      </w:pPr>
      <w:r w:rsidRPr="1B9E7434">
        <w:rPr>
          <w:rStyle w:val="VerbatimChar"/>
          <w:lang w:val="fr-FR"/>
        </w:rPr>
        <w:t>P62_illustre (est_illustré_par)</w:t>
      </w:r>
      <w:r w:rsidRPr="1B9E7434">
        <w:rPr>
          <w:lang w:val="fr-FR"/>
        </w:rPr>
        <w:t xml:space="preserve"> : </w:t>
      </w:r>
      <w:r w:rsidRPr="1B9E7434">
        <w:rPr>
          <w:rStyle w:val="VerbatimChar"/>
          <w:lang w:val="fr-FR"/>
        </w:rPr>
        <w:t>E1_Entité_CRM</w:t>
      </w:r>
      <w:r w:rsidRPr="1B9E7434">
        <w:rPr>
          <w:lang w:val="fr-FR"/>
        </w:rPr>
        <w:t xml:space="preserve"> (</w:t>
      </w:r>
      <w:r w:rsidRPr="1B9E7434">
        <w:rPr>
          <w:rStyle w:val="VerbatimChar"/>
          <w:lang w:val="fr-FR"/>
        </w:rPr>
        <w:t>P62.1_mode_d’illustration</w:t>
      </w:r>
      <w:r w:rsidRPr="1B9E7434">
        <w:rPr>
          <w:lang w:val="fr-FR"/>
        </w:rPr>
        <w:t xml:space="preserve"> : </w:t>
      </w:r>
      <w:r w:rsidRPr="1B9E7434">
        <w:rPr>
          <w:rStyle w:val="VerbatimChar"/>
          <w:lang w:val="fr-FR"/>
        </w:rPr>
        <w:t>E55_Type</w:t>
      </w:r>
      <w:r w:rsidRPr="1B9E7434">
        <w:rPr>
          <w:lang w:val="fr-FR"/>
        </w:rPr>
        <w:t>)</w:t>
      </w:r>
    </w:p>
    <w:p w14:paraId="4EA499AE" w14:textId="77777777" w:rsidR="0084489F" w:rsidRDefault="00110FE6">
      <w:pPr>
        <w:pStyle w:val="BodyText"/>
      </w:pPr>
      <w:r w:rsidRPr="1B9E7434">
        <w:rPr>
          <w:rStyle w:val="VerbatimChar"/>
          <w:lang w:val="fr-FR"/>
        </w:rPr>
        <w:t>P65_représente_l’entité_visuelle (est_représenté_par)</w:t>
      </w:r>
      <w:r w:rsidRPr="1B9E7434">
        <w:rPr>
          <w:lang w:val="fr-FR"/>
        </w:rPr>
        <w:t xml:space="preserve"> : </w:t>
      </w:r>
      <w:r w:rsidRPr="1B9E7434">
        <w:rPr>
          <w:rStyle w:val="VerbatimChar"/>
          <w:lang w:val="fr-FR"/>
        </w:rPr>
        <w:t>E36_Entité_visuelle</w:t>
      </w:r>
    </w:p>
    <w:p w14:paraId="1BA879E3" w14:textId="77777777" w:rsidR="0084489F" w:rsidRDefault="00110FE6">
      <w:pPr>
        <w:pStyle w:val="BlockText"/>
      </w:pPr>
      <w:r>
        <w:rPr>
          <w:b/>
          <w:bCs/>
          <w:i/>
          <w:iCs/>
        </w:rPr>
        <w:t>Note de traduction</w:t>
      </w:r>
    </w:p>
    <w:p w14:paraId="2958AC7E" w14:textId="77777777" w:rsidR="0084489F" w:rsidRDefault="00110FE6">
      <w:pPr>
        <w:pStyle w:val="BlockText"/>
      </w:pPr>
      <w:r>
        <w:rPr>
          <w:b/>
          <w:bCs/>
          <w:i/>
          <w:iCs/>
        </w:rPr>
        <w:t>Références</w:t>
      </w:r>
    </w:p>
    <w:p w14:paraId="49DE2C00" w14:textId="77777777" w:rsidR="0084489F" w:rsidRDefault="0084489F">
      <w:pPr>
        <w:pStyle w:val="BlockText"/>
      </w:pPr>
    </w:p>
    <w:p w14:paraId="6B4AC7C0" w14:textId="77777777" w:rsidR="0084489F" w:rsidRDefault="00110FE6">
      <w:pPr>
        <w:pStyle w:val="Heading2"/>
      </w:pPr>
      <w:bookmarkStart w:id="153" w:name="_Toc176864458"/>
      <w:bookmarkStart w:id="154" w:name="X8203b2b217bbb19c606aeda82e42506f36cdcbd"/>
      <w:bookmarkEnd w:id="152"/>
      <w:r>
        <w:t>E25 Caractéristique élaborée par l'humain</w:t>
      </w:r>
      <w:bookmarkEnd w:id="153"/>
    </w:p>
    <w:p w14:paraId="2EDE0318" w14:textId="77777777" w:rsidR="0084489F" w:rsidRDefault="00110FE6">
      <w:pPr>
        <w:pStyle w:val="FirstParagraph"/>
      </w:pPr>
      <w:r>
        <w:rPr>
          <w:b/>
          <w:bCs/>
        </w:rPr>
        <w:t>Sous-classe de</w:t>
      </w:r>
    </w:p>
    <w:p w14:paraId="16296A64" w14:textId="77777777" w:rsidR="0084489F" w:rsidRDefault="00110FE6">
      <w:pPr>
        <w:pStyle w:val="BodyText"/>
      </w:pPr>
      <w:r>
        <w:rPr>
          <w:rStyle w:val="VerbatimChar"/>
        </w:rPr>
        <w:t>E24_Chose_matérielle_élaborée_par_l’humain</w:t>
      </w:r>
    </w:p>
    <w:p w14:paraId="4DE33A6C" w14:textId="77777777" w:rsidR="0084489F" w:rsidRDefault="00110FE6">
      <w:pPr>
        <w:pStyle w:val="BodyText"/>
      </w:pPr>
      <w:r>
        <w:rPr>
          <w:rStyle w:val="VerbatimChar"/>
        </w:rPr>
        <w:t>E26_Caractéristique_physique</w:t>
      </w:r>
    </w:p>
    <w:p w14:paraId="21450EA3" w14:textId="77777777" w:rsidR="0084489F" w:rsidRDefault="00110FE6">
      <w:pPr>
        <w:pStyle w:val="BodyText"/>
      </w:pPr>
      <w:r>
        <w:rPr>
          <w:b/>
          <w:bCs/>
        </w:rPr>
        <w:t>Super-classe de</w:t>
      </w:r>
    </w:p>
    <w:p w14:paraId="714F4F0A" w14:textId="77777777" w:rsidR="0084489F" w:rsidRDefault="0084489F">
      <w:pPr>
        <w:pStyle w:val="BodyText"/>
      </w:pPr>
    </w:p>
    <w:p w14:paraId="0A982BF2" w14:textId="77777777" w:rsidR="0084489F" w:rsidRDefault="00110FE6">
      <w:pPr>
        <w:pStyle w:val="BodyText"/>
      </w:pPr>
      <w:r>
        <w:rPr>
          <w:b/>
          <w:bCs/>
        </w:rPr>
        <w:t>Note d’application</w:t>
      </w:r>
    </w:p>
    <w:p w14:paraId="0ADA9964" w14:textId="77777777" w:rsidR="0084489F" w:rsidRDefault="00110FE6">
      <w:pPr>
        <w:pStyle w:val="BodyText"/>
      </w:pPr>
      <w:r>
        <w:t>Cette classe comprend les caractéristiques physiques créées délibérément par l'activité humaine, telles que les rayures, les grottes artificielles, les chenaux artificiels, etc. En particulier, elle comprend les caractéristiques d'encodage de l'information sur des supports mécaniques ou numériques.</w:t>
      </w:r>
    </w:p>
    <w:p w14:paraId="7F3B46D3" w14:textId="77777777" w:rsidR="0084489F" w:rsidRDefault="00110FE6">
      <w:pPr>
        <w:pStyle w:val="BodyText"/>
      </w:pPr>
      <w:r>
        <w:rPr>
          <w:b/>
          <w:bCs/>
        </w:rPr>
        <w:t>Exemples</w:t>
      </w:r>
    </w:p>
    <w:p w14:paraId="20190105" w14:textId="370D6B94" w:rsidR="0084489F" w:rsidRDefault="00110FE6" w:rsidP="00806324">
      <w:pPr>
        <w:numPr>
          <w:ilvl w:val="0"/>
          <w:numId w:val="75"/>
        </w:numPr>
      </w:pPr>
      <w:r w:rsidRPr="1B9E7434">
        <w:rPr>
          <w:lang w:val="fr-FR"/>
        </w:rPr>
        <w:t>Le Canal maritime de Manchester (Farnie, 1980)</w:t>
      </w:r>
    </w:p>
    <w:p w14:paraId="7A48D3BC" w14:textId="0D56F4D0" w:rsidR="0084489F" w:rsidRDefault="00110FE6" w:rsidP="00806324">
      <w:pPr>
        <w:numPr>
          <w:ilvl w:val="0"/>
          <w:numId w:val="75"/>
        </w:numPr>
      </w:pPr>
      <w:r w:rsidRPr="1B9E7434">
        <w:rPr>
          <w:lang w:val="fr-FR"/>
        </w:rPr>
        <w:t>Le nez de Michæl Jackson après la chirurgie esthétique</w:t>
      </w:r>
    </w:p>
    <w:p w14:paraId="56EFD8F8" w14:textId="77777777" w:rsidR="0084489F" w:rsidRDefault="00110FE6" w:rsidP="00806324">
      <w:pPr>
        <w:numPr>
          <w:ilvl w:val="0"/>
          <w:numId w:val="75"/>
        </w:numPr>
      </w:pPr>
      <w:r w:rsidRPr="1D6B9106">
        <w:rPr>
          <w:lang w:val="fr-FR"/>
        </w:rPr>
        <w:t>Les « creux » lisibles au laser et gravés en juin 2014 sur le CD-R de Martin Doerr, copiant des chansons d'Édith Piaf</w:t>
      </w:r>
    </w:p>
    <w:p w14:paraId="4A637DBB" w14:textId="77777777" w:rsidR="0084489F" w:rsidRDefault="00110FE6" w:rsidP="00806324">
      <w:pPr>
        <w:numPr>
          <w:ilvl w:val="0"/>
          <w:numId w:val="75"/>
        </w:numPr>
      </w:pPr>
      <w:r>
        <w:t>Les lettres gravées sur la pierre de Rosette</w:t>
      </w:r>
    </w:p>
    <w:p w14:paraId="65DB4E64" w14:textId="77777777" w:rsidR="0084489F" w:rsidRDefault="00110FE6">
      <w:pPr>
        <w:pStyle w:val="FirstParagraph"/>
      </w:pPr>
      <w:r>
        <w:rPr>
          <w:b/>
          <w:bCs/>
        </w:rPr>
        <w:t>Logique</w:t>
      </w:r>
    </w:p>
    <w:p w14:paraId="295B3BE7" w14:textId="77777777" w:rsidR="0084489F" w:rsidRDefault="00110FE6">
      <w:pPr>
        <w:pStyle w:val="BodyText"/>
      </w:pPr>
      <w:r>
        <w:t>E25(x) ⇒ E24(x)</w:t>
      </w:r>
    </w:p>
    <w:p w14:paraId="2C15E423" w14:textId="77777777" w:rsidR="0084489F" w:rsidRDefault="00110FE6">
      <w:pPr>
        <w:pStyle w:val="BodyText"/>
      </w:pPr>
      <w:r>
        <w:t>E25(x) ⇒ E26(x)</w:t>
      </w:r>
    </w:p>
    <w:p w14:paraId="5EDDD6AC" w14:textId="77777777" w:rsidR="0084489F" w:rsidRDefault="00110FE6">
      <w:pPr>
        <w:pStyle w:val="BodyText"/>
      </w:pPr>
      <w:r>
        <w:rPr>
          <w:b/>
          <w:bCs/>
        </w:rPr>
        <w:t>Propriétés</w:t>
      </w:r>
    </w:p>
    <w:p w14:paraId="7F817B04" w14:textId="77777777" w:rsidR="0084489F" w:rsidRDefault="0084489F">
      <w:pPr>
        <w:pStyle w:val="BodyText"/>
      </w:pPr>
    </w:p>
    <w:p w14:paraId="2559564B" w14:textId="77777777" w:rsidR="0084489F" w:rsidRDefault="00110FE6">
      <w:pPr>
        <w:pStyle w:val="BlockText"/>
      </w:pPr>
      <w:r>
        <w:rPr>
          <w:b/>
          <w:bCs/>
          <w:i/>
          <w:iCs/>
        </w:rPr>
        <w:t>Note de traduction</w:t>
      </w:r>
    </w:p>
    <w:p w14:paraId="6F504F3D" w14:textId="77777777" w:rsidR="0084489F" w:rsidRDefault="00110FE6">
      <w:pPr>
        <w:pStyle w:val="BlockText"/>
      </w:pPr>
      <w:r>
        <w:rPr>
          <w:b/>
          <w:bCs/>
          <w:i/>
          <w:iCs/>
        </w:rPr>
        <w:t>Références</w:t>
      </w:r>
    </w:p>
    <w:p w14:paraId="76FCC8C0" w14:textId="77777777" w:rsidR="0084489F" w:rsidRDefault="0084489F">
      <w:pPr>
        <w:pStyle w:val="BlockText"/>
      </w:pPr>
    </w:p>
    <w:p w14:paraId="5AAE55AD" w14:textId="77777777" w:rsidR="0084489F" w:rsidRDefault="00110FE6">
      <w:pPr>
        <w:pStyle w:val="Heading2"/>
      </w:pPr>
      <w:bookmarkStart w:id="155" w:name="_Toc176864459"/>
      <w:bookmarkStart w:id="156" w:name="e26-caracteristique-physique"/>
      <w:bookmarkEnd w:id="154"/>
      <w:r>
        <w:t>E26 Caractéristique physique</w:t>
      </w:r>
      <w:bookmarkEnd w:id="155"/>
    </w:p>
    <w:p w14:paraId="6D19A549" w14:textId="77777777" w:rsidR="0084489F" w:rsidRDefault="00110FE6">
      <w:pPr>
        <w:pStyle w:val="FirstParagraph"/>
      </w:pPr>
      <w:r>
        <w:rPr>
          <w:b/>
          <w:bCs/>
        </w:rPr>
        <w:t>Sous-classe de</w:t>
      </w:r>
    </w:p>
    <w:p w14:paraId="0BE6E0C0" w14:textId="77777777" w:rsidR="0084489F" w:rsidRDefault="00110FE6">
      <w:pPr>
        <w:pStyle w:val="BodyText"/>
      </w:pPr>
      <w:r>
        <w:rPr>
          <w:rStyle w:val="VerbatimChar"/>
        </w:rPr>
        <w:t>E18_Chose_matérielle</w:t>
      </w:r>
    </w:p>
    <w:p w14:paraId="3348E9B6" w14:textId="77777777" w:rsidR="0084489F" w:rsidRDefault="00110FE6">
      <w:pPr>
        <w:pStyle w:val="BodyText"/>
      </w:pPr>
      <w:r>
        <w:rPr>
          <w:b/>
          <w:bCs/>
        </w:rPr>
        <w:lastRenderedPageBreak/>
        <w:t>Super-classe de</w:t>
      </w:r>
    </w:p>
    <w:p w14:paraId="0F3ABB4B" w14:textId="77777777" w:rsidR="0084489F" w:rsidRDefault="00110FE6">
      <w:pPr>
        <w:pStyle w:val="BodyText"/>
      </w:pPr>
      <w:r>
        <w:rPr>
          <w:rStyle w:val="VerbatimChar"/>
        </w:rPr>
        <w:t>E25_Caractéristique_élaborée_par_l’humain</w:t>
      </w:r>
    </w:p>
    <w:p w14:paraId="5B2FED5C" w14:textId="77777777" w:rsidR="0084489F" w:rsidRDefault="00110FE6">
      <w:pPr>
        <w:pStyle w:val="BodyText"/>
      </w:pPr>
      <w:r>
        <w:rPr>
          <w:rStyle w:val="VerbatimChar"/>
        </w:rPr>
        <w:t>E27_Site</w:t>
      </w:r>
    </w:p>
    <w:p w14:paraId="58B1B657" w14:textId="77777777" w:rsidR="0084489F" w:rsidRDefault="00110FE6">
      <w:pPr>
        <w:pStyle w:val="BodyText"/>
      </w:pPr>
      <w:r>
        <w:rPr>
          <w:b/>
          <w:bCs/>
        </w:rPr>
        <w:t>Note d’application</w:t>
      </w:r>
    </w:p>
    <w:p w14:paraId="34AD123B" w14:textId="77777777" w:rsidR="0084489F" w:rsidRDefault="00110FE6">
      <w:pPr>
        <w:pStyle w:val="BodyText"/>
      </w:pPr>
      <w:r>
        <w:t>Cette classe comprend des caractéristiques identifiables qui sont physiquement attachées de manière intégrale à des objets physiques particuliers.</w:t>
      </w:r>
    </w:p>
    <w:p w14:paraId="6EA1271D" w14:textId="77777777" w:rsidR="0084489F" w:rsidRDefault="00110FE6">
      <w:pPr>
        <w:pStyle w:val="BodyText"/>
      </w:pPr>
      <w:r>
        <w:t xml:space="preserve">Les instances de </w:t>
      </w:r>
      <w:r>
        <w:rPr>
          <w:rStyle w:val="VerbatimChar"/>
        </w:rPr>
        <w:t>E26_Caractéristique_physique</w:t>
      </w:r>
      <w:r>
        <w:t xml:space="preserve"> partagent de nombreux attributs avec les instances de </w:t>
      </w:r>
      <w:r>
        <w:rPr>
          <w:rStyle w:val="VerbatimChar"/>
        </w:rPr>
        <w:t>E19_Objet_matériel</w:t>
      </w:r>
      <w:r>
        <w:t>. Elles peuvent avoir une étendue géométrique à une, deux ou trois dimensions, mais il n'y a pas de limites naturelles qui les séparent complètement et objectivement des objets auxquels elles s'intègrent. Par exemple, l'embrasure d'une porte est une caractéristique, mais la porte elle-même, étant fixée par des charnières, ne l'est pas.</w:t>
      </w:r>
    </w:p>
    <w:p w14:paraId="376680E4" w14:textId="77777777" w:rsidR="0084489F" w:rsidRDefault="00110FE6">
      <w:pPr>
        <w:pStyle w:val="BodyText"/>
      </w:pPr>
      <w:r>
        <w:t xml:space="preserve">Les instances de </w:t>
      </w:r>
      <w:r>
        <w:rPr>
          <w:rStyle w:val="VerbatimChar"/>
        </w:rPr>
        <w:t>E26_Caractéristique_physique</w:t>
      </w:r>
      <w:r>
        <w:t xml:space="preserve"> peuvent être des caractéristiques au sens strict, telles que des rayures, des trous, des reliefs, des couleurs de surface, des zones de réflexion dans un cristal d'opale ou un changement de densité dans un morceau de bois. Au sens large, ce sont des parties d'objets particuliers aux limites partiellement imaginaires, comme le noyau de la Terre, une zone de propriété à la surface de la Terre, un paysage ou la tête d'une statue de marbre contiguë. Ces parties peuvent être mesurées et datées, et il est parfois possible d'indiquer qui ou quoi en est ou en était le responsable. Les instances de </w:t>
      </w:r>
      <w:r>
        <w:rPr>
          <w:rStyle w:val="VerbatimChar"/>
        </w:rPr>
        <w:t>E26_Caractéristique_physique</w:t>
      </w:r>
      <w:r>
        <w:t xml:space="preserve"> ne peuvent pas être séparées de l'objet auquel elles s'intègrent, mais un segment de cet objet intégrant une caractéristique complète peut être identifié (ou parfois retiré).</w:t>
      </w:r>
    </w:p>
    <w:p w14:paraId="726B8052" w14:textId="77777777" w:rsidR="0084489F" w:rsidRDefault="00110FE6">
      <w:pPr>
        <w:pStyle w:val="BodyText"/>
      </w:pPr>
      <w:r w:rsidRPr="1B9E7434">
        <w:rPr>
          <w:lang w:val="fr-FR"/>
        </w:rPr>
        <w:t>Cette définition coïncide avec celle des « objets fiat » [n.d.t. dont les limites sont artificielles], à l'exception des agrégats d'« objets bona fide » [n.d.t. dont les limites sont naturelles] (Smith et Varzi, 2000).</w:t>
      </w:r>
    </w:p>
    <w:p w14:paraId="2126AD4C" w14:textId="77777777" w:rsidR="0084489F" w:rsidRDefault="00110FE6">
      <w:pPr>
        <w:pStyle w:val="BodyText"/>
      </w:pPr>
      <w:r>
        <w:rPr>
          <w:b/>
          <w:bCs/>
        </w:rPr>
        <w:t>Exemples</w:t>
      </w:r>
    </w:p>
    <w:p w14:paraId="63D2F87A" w14:textId="082F43C5" w:rsidR="0084489F" w:rsidRDefault="00110FE6" w:rsidP="00806324">
      <w:pPr>
        <w:numPr>
          <w:ilvl w:val="0"/>
          <w:numId w:val="76"/>
        </w:numPr>
      </w:pPr>
      <w:r w:rsidRPr="1B9E7434">
        <w:rPr>
          <w:lang w:val="fr-FR"/>
        </w:rPr>
        <w:t>La cave de Diros à Mani en Grèce (Psimenos, 2005)</w:t>
      </w:r>
    </w:p>
    <w:p w14:paraId="2F933F2E" w14:textId="4813A902" w:rsidR="0084489F" w:rsidRDefault="00110FE6" w:rsidP="00806324">
      <w:pPr>
        <w:numPr>
          <w:ilvl w:val="0"/>
          <w:numId w:val="76"/>
        </w:numPr>
      </w:pPr>
      <w:r w:rsidRPr="1B9E7434">
        <w:rPr>
          <w:lang w:val="fr-FR"/>
        </w:rPr>
        <w:t>Le temple d'Abou Simbel avant son démontage, qui a été taillé dans la roche solide (</w:t>
      </w:r>
      <w:r w:rsidRPr="1B9E7434">
        <w:rPr>
          <w:rStyle w:val="VerbatimChar"/>
          <w:lang w:val="fr-FR"/>
        </w:rPr>
        <w:t>E25_Caractéristique_élaborée_par_l’humain</w:t>
      </w:r>
      <w:r w:rsidRPr="1B9E7434">
        <w:rPr>
          <w:lang w:val="fr-FR"/>
        </w:rPr>
        <w:t>) (Hawass, 2000)</w:t>
      </w:r>
    </w:p>
    <w:p w14:paraId="3EEB9FE7" w14:textId="77777777" w:rsidR="0084489F" w:rsidRDefault="00110FE6" w:rsidP="00806324">
      <w:pPr>
        <w:numPr>
          <w:ilvl w:val="0"/>
          <w:numId w:val="76"/>
        </w:numPr>
      </w:pPr>
      <w:r>
        <w:t>La signature d'Albrecht Dürer sur son œuvre peinte de Charles le Grand (</w:t>
      </w:r>
      <w:r>
        <w:rPr>
          <w:rStyle w:val="VerbatimChar"/>
        </w:rPr>
        <w:t>E25_Caractéristique_élaborée_par_l’humain</w:t>
      </w:r>
      <w:r>
        <w:t>) (Strauss, 1974)</w:t>
      </w:r>
    </w:p>
    <w:p w14:paraId="706232BD" w14:textId="77777777" w:rsidR="0084489F" w:rsidRDefault="00110FE6" w:rsidP="00806324">
      <w:pPr>
        <w:numPr>
          <w:ilvl w:val="0"/>
          <w:numId w:val="76"/>
        </w:numPr>
      </w:pPr>
      <w:r>
        <w:t>Les dommages causés au nez du Grand Sphinx de Gizeh (Temple, 2009)</w:t>
      </w:r>
    </w:p>
    <w:p w14:paraId="024163FE" w14:textId="3DE1B389" w:rsidR="0084489F" w:rsidRDefault="00110FE6" w:rsidP="00806324">
      <w:pPr>
        <w:numPr>
          <w:ilvl w:val="0"/>
          <w:numId w:val="76"/>
        </w:numPr>
      </w:pPr>
      <w:r w:rsidRPr="1B9E7434">
        <w:rPr>
          <w:lang w:val="fr-FR"/>
        </w:rPr>
        <w:t>Le nez de Michæl Jackson avant la chirurgie esthétique</w:t>
      </w:r>
    </w:p>
    <w:p w14:paraId="21A5A6F8" w14:textId="77777777" w:rsidR="0084489F" w:rsidRDefault="00110FE6">
      <w:pPr>
        <w:pStyle w:val="FirstParagraph"/>
      </w:pPr>
      <w:r>
        <w:rPr>
          <w:b/>
          <w:bCs/>
        </w:rPr>
        <w:t>Logique</w:t>
      </w:r>
    </w:p>
    <w:p w14:paraId="6B034B90" w14:textId="77777777" w:rsidR="0084489F" w:rsidRDefault="00110FE6">
      <w:pPr>
        <w:pStyle w:val="BodyText"/>
      </w:pPr>
      <w:r>
        <w:t>E26(x) ⇒ E18(x)</w:t>
      </w:r>
    </w:p>
    <w:p w14:paraId="7876D17D" w14:textId="77777777" w:rsidR="0084489F" w:rsidRDefault="00110FE6">
      <w:pPr>
        <w:pStyle w:val="BodyText"/>
      </w:pPr>
      <w:r>
        <w:rPr>
          <w:b/>
          <w:bCs/>
        </w:rPr>
        <w:t>Propriétés</w:t>
      </w:r>
    </w:p>
    <w:p w14:paraId="014FA41F" w14:textId="77777777" w:rsidR="0084489F" w:rsidRDefault="0084489F">
      <w:pPr>
        <w:pStyle w:val="BodyText"/>
      </w:pPr>
    </w:p>
    <w:p w14:paraId="6757E88A" w14:textId="77777777" w:rsidR="0084489F" w:rsidRDefault="00110FE6">
      <w:pPr>
        <w:pStyle w:val="BlockText"/>
      </w:pPr>
      <w:r>
        <w:rPr>
          <w:b/>
          <w:bCs/>
          <w:i/>
          <w:iCs/>
        </w:rPr>
        <w:t>Note de traduction</w:t>
      </w:r>
    </w:p>
    <w:p w14:paraId="3280E794" w14:textId="77777777" w:rsidR="0084489F" w:rsidRDefault="00110FE6">
      <w:pPr>
        <w:pStyle w:val="BlockText"/>
      </w:pPr>
      <w:r>
        <w:rPr>
          <w:b/>
          <w:bCs/>
          <w:i/>
          <w:iCs/>
        </w:rPr>
        <w:t>Références</w:t>
      </w:r>
    </w:p>
    <w:p w14:paraId="1640D7DC" w14:textId="77777777" w:rsidR="0084489F" w:rsidRDefault="0084489F">
      <w:pPr>
        <w:pStyle w:val="BlockText"/>
      </w:pPr>
    </w:p>
    <w:p w14:paraId="50A5C426" w14:textId="77777777" w:rsidR="0084489F" w:rsidRDefault="00110FE6">
      <w:pPr>
        <w:pStyle w:val="Heading2"/>
      </w:pPr>
      <w:bookmarkStart w:id="157" w:name="_Toc176864460"/>
      <w:bookmarkStart w:id="158" w:name="e27-site"/>
      <w:bookmarkEnd w:id="156"/>
      <w:r>
        <w:lastRenderedPageBreak/>
        <w:t>E27 Site</w:t>
      </w:r>
      <w:bookmarkEnd w:id="157"/>
    </w:p>
    <w:p w14:paraId="0262CC9C" w14:textId="77777777" w:rsidR="0084489F" w:rsidRDefault="00110FE6">
      <w:pPr>
        <w:pStyle w:val="FirstParagraph"/>
      </w:pPr>
      <w:r>
        <w:rPr>
          <w:b/>
          <w:bCs/>
        </w:rPr>
        <w:t>Sous-classe de</w:t>
      </w:r>
    </w:p>
    <w:p w14:paraId="2350383E" w14:textId="77777777" w:rsidR="0084489F" w:rsidRDefault="00110FE6">
      <w:pPr>
        <w:pStyle w:val="BodyText"/>
      </w:pPr>
      <w:r>
        <w:rPr>
          <w:rStyle w:val="VerbatimChar"/>
        </w:rPr>
        <w:t>E26_Caractéristique_physique</w:t>
      </w:r>
    </w:p>
    <w:p w14:paraId="578A6583" w14:textId="77777777" w:rsidR="0084489F" w:rsidRDefault="00110FE6">
      <w:pPr>
        <w:pStyle w:val="BodyText"/>
      </w:pPr>
      <w:r>
        <w:rPr>
          <w:b/>
          <w:bCs/>
        </w:rPr>
        <w:t>Super-classe de</w:t>
      </w:r>
    </w:p>
    <w:p w14:paraId="73652BE7" w14:textId="77777777" w:rsidR="0084489F" w:rsidRDefault="0084489F">
      <w:pPr>
        <w:pStyle w:val="BodyText"/>
      </w:pPr>
    </w:p>
    <w:p w14:paraId="0B522A8B" w14:textId="77777777" w:rsidR="0084489F" w:rsidRDefault="00110FE6">
      <w:pPr>
        <w:pStyle w:val="BodyText"/>
      </w:pPr>
      <w:r>
        <w:rPr>
          <w:b/>
          <w:bCs/>
        </w:rPr>
        <w:t>Note d’application</w:t>
      </w:r>
    </w:p>
    <w:p w14:paraId="6A36C014" w14:textId="77777777" w:rsidR="0084489F" w:rsidRDefault="00110FE6">
      <w:pPr>
        <w:pStyle w:val="BodyText"/>
      </w:pPr>
      <w:r>
        <w:t>Cette classe comprend des étendues de terre ou des fonds marins.</w:t>
      </w:r>
    </w:p>
    <w:p w14:paraId="5173B833" w14:textId="77777777" w:rsidR="0084489F" w:rsidRDefault="00110FE6">
      <w:pPr>
        <w:pStyle w:val="BodyText"/>
      </w:pPr>
      <w:r>
        <w:t xml:space="preserve">Contrairement à la notion purement géométrique de </w:t>
      </w:r>
      <w:r>
        <w:rPr>
          <w:rStyle w:val="VerbatimChar"/>
        </w:rPr>
        <w:t>E53_Lieu</w:t>
      </w:r>
      <w:r>
        <w:t>, cette classe décrit des regroupements de matière à la surface de la Terre ou d'un autre corps céleste, qui peuvent être représentés par des photographies, des œuvres peintes et des cartes.</w:t>
      </w:r>
    </w:p>
    <w:p w14:paraId="5F6E5CCF" w14:textId="77777777" w:rsidR="0084489F" w:rsidRDefault="00110FE6">
      <w:pPr>
        <w:pStyle w:val="BodyText"/>
      </w:pPr>
      <w:r>
        <w:t xml:space="preserve">Les instances de </w:t>
      </w:r>
      <w:r>
        <w:rPr>
          <w:rStyle w:val="VerbatimChar"/>
        </w:rPr>
        <w:t>E27_Site</w:t>
      </w:r>
      <w:r>
        <w:t xml:space="preserve"> sont composées d'éléments matériels relativement immobiles et de caractéristiques dans une configuration particulière à un emplacement particulier.</w:t>
      </w:r>
    </w:p>
    <w:p w14:paraId="27EB5AB3" w14:textId="77777777" w:rsidR="0084489F" w:rsidRDefault="00110FE6">
      <w:pPr>
        <w:pStyle w:val="BodyText"/>
      </w:pPr>
      <w:r>
        <w:rPr>
          <w:b/>
          <w:bCs/>
        </w:rPr>
        <w:t>Exemples</w:t>
      </w:r>
    </w:p>
    <w:p w14:paraId="0B035547" w14:textId="27048532" w:rsidR="0084489F" w:rsidRDefault="00110FE6" w:rsidP="00806324">
      <w:pPr>
        <w:numPr>
          <w:ilvl w:val="0"/>
          <w:numId w:val="77"/>
        </w:numPr>
      </w:pPr>
      <w:r w:rsidRPr="1B9E7434">
        <w:rPr>
          <w:lang w:val="fr-FR"/>
        </w:rPr>
        <w:t>Le bassin du fleuve Amazone (Hegen, 1966)</w:t>
      </w:r>
    </w:p>
    <w:p w14:paraId="19EB4CE0" w14:textId="77777777" w:rsidR="0084489F" w:rsidRDefault="00110FE6" w:rsidP="00806324">
      <w:pPr>
        <w:numPr>
          <w:ilvl w:val="0"/>
          <w:numId w:val="77"/>
        </w:numPr>
      </w:pPr>
      <w:r>
        <w:t>Cnossos (Evans, 1921)</w:t>
      </w:r>
    </w:p>
    <w:p w14:paraId="72F0FD2C" w14:textId="0D5F5C8A" w:rsidR="0084489F" w:rsidRDefault="00110FE6" w:rsidP="00806324">
      <w:pPr>
        <w:numPr>
          <w:ilvl w:val="0"/>
          <w:numId w:val="77"/>
        </w:numPr>
      </w:pPr>
      <w:r w:rsidRPr="1B9E7434">
        <w:rPr>
          <w:lang w:val="fr-FR"/>
        </w:rPr>
        <w:t>Le site d'atterrissage d'Apollo 11 (Siegler &amp; Smrekar, 2014)</w:t>
      </w:r>
    </w:p>
    <w:p w14:paraId="222D6BFC" w14:textId="01960247" w:rsidR="0084489F" w:rsidRDefault="00110FE6" w:rsidP="00806324">
      <w:pPr>
        <w:numPr>
          <w:ilvl w:val="0"/>
          <w:numId w:val="77"/>
        </w:numPr>
      </w:pPr>
      <w:r w:rsidRPr="1B9E7434">
        <w:rPr>
          <w:lang w:val="fr-FR"/>
        </w:rPr>
        <w:t>L'aéroport d'Heathrow (Wicks, 2014)</w:t>
      </w:r>
    </w:p>
    <w:p w14:paraId="439464B5" w14:textId="6E73E2A7" w:rsidR="0084489F" w:rsidRDefault="00110FE6" w:rsidP="00806324">
      <w:pPr>
        <w:numPr>
          <w:ilvl w:val="0"/>
          <w:numId w:val="77"/>
        </w:numPr>
      </w:pPr>
      <w:r w:rsidRPr="1B9E7434">
        <w:rPr>
          <w:lang w:val="fr-FR"/>
        </w:rPr>
        <w:t>Le port submergé de l'occupation minœnne de Gournia, en Crète (Watrous, 2012)</w:t>
      </w:r>
    </w:p>
    <w:p w14:paraId="2EE85C81" w14:textId="77777777" w:rsidR="0084489F" w:rsidRDefault="00110FE6" w:rsidP="00806324">
      <w:pPr>
        <w:numPr>
          <w:ilvl w:val="0"/>
          <w:numId w:val="77"/>
        </w:numPr>
      </w:pPr>
      <w:r>
        <w:t>L'île de Crète</w:t>
      </w:r>
    </w:p>
    <w:p w14:paraId="23319828" w14:textId="77777777" w:rsidR="0084489F" w:rsidRDefault="00110FE6">
      <w:pPr>
        <w:pStyle w:val="FirstParagraph"/>
      </w:pPr>
      <w:r>
        <w:rPr>
          <w:b/>
          <w:bCs/>
        </w:rPr>
        <w:t>Logique</w:t>
      </w:r>
    </w:p>
    <w:p w14:paraId="40A70176" w14:textId="77777777" w:rsidR="0084489F" w:rsidRDefault="00110FE6">
      <w:pPr>
        <w:pStyle w:val="BodyText"/>
      </w:pPr>
      <w:r>
        <w:t>E27(x) ⇒ E26(x)</w:t>
      </w:r>
    </w:p>
    <w:p w14:paraId="61EFD7EB" w14:textId="77777777" w:rsidR="0084489F" w:rsidRDefault="00110FE6">
      <w:pPr>
        <w:pStyle w:val="BodyText"/>
      </w:pPr>
      <w:r>
        <w:rPr>
          <w:b/>
          <w:bCs/>
        </w:rPr>
        <w:t>Propriétés</w:t>
      </w:r>
    </w:p>
    <w:p w14:paraId="493B3A39" w14:textId="77777777" w:rsidR="0084489F" w:rsidRDefault="0084489F">
      <w:pPr>
        <w:pStyle w:val="BodyText"/>
      </w:pPr>
    </w:p>
    <w:p w14:paraId="00356D1C" w14:textId="77777777" w:rsidR="0084489F" w:rsidRDefault="00110FE6">
      <w:pPr>
        <w:pStyle w:val="BlockText"/>
      </w:pPr>
      <w:r>
        <w:rPr>
          <w:b/>
          <w:bCs/>
          <w:i/>
          <w:iCs/>
        </w:rPr>
        <w:t>Note de traduction</w:t>
      </w:r>
    </w:p>
    <w:p w14:paraId="1CA77AD4" w14:textId="77777777" w:rsidR="0084489F" w:rsidRDefault="00110FE6">
      <w:pPr>
        <w:pStyle w:val="BlockText"/>
      </w:pPr>
      <w:r>
        <w:rPr>
          <w:b/>
          <w:bCs/>
          <w:i/>
          <w:iCs/>
        </w:rPr>
        <w:t>Références</w:t>
      </w:r>
    </w:p>
    <w:p w14:paraId="601FDE92" w14:textId="77777777" w:rsidR="0084489F" w:rsidRDefault="0084489F">
      <w:pPr>
        <w:pStyle w:val="BlockText"/>
      </w:pPr>
    </w:p>
    <w:p w14:paraId="41AA812C" w14:textId="77777777" w:rsidR="0084489F" w:rsidRDefault="00110FE6">
      <w:pPr>
        <w:pStyle w:val="Heading2"/>
      </w:pPr>
      <w:bookmarkStart w:id="159" w:name="_Toc176864461"/>
      <w:bookmarkStart w:id="160" w:name="e28-objet-conceptuel"/>
      <w:bookmarkEnd w:id="158"/>
      <w:r>
        <w:t>E28 Objet conceptuel</w:t>
      </w:r>
      <w:bookmarkEnd w:id="159"/>
    </w:p>
    <w:p w14:paraId="452A51AC" w14:textId="77777777" w:rsidR="0084489F" w:rsidRDefault="00110FE6">
      <w:pPr>
        <w:pStyle w:val="FirstParagraph"/>
      </w:pPr>
      <w:r>
        <w:rPr>
          <w:b/>
          <w:bCs/>
        </w:rPr>
        <w:t>Sous-classe de</w:t>
      </w:r>
    </w:p>
    <w:p w14:paraId="038C016A" w14:textId="77777777" w:rsidR="0084489F" w:rsidRDefault="00110FE6">
      <w:pPr>
        <w:pStyle w:val="BodyText"/>
      </w:pPr>
      <w:r>
        <w:rPr>
          <w:rStyle w:val="VerbatimChar"/>
        </w:rPr>
        <w:t>E71_Chose_élaborée_par_l’humain</w:t>
      </w:r>
    </w:p>
    <w:p w14:paraId="2D1EEF63" w14:textId="77777777" w:rsidR="0084489F" w:rsidRDefault="00110FE6">
      <w:pPr>
        <w:pStyle w:val="BodyText"/>
      </w:pPr>
      <w:r>
        <w:rPr>
          <w:b/>
          <w:bCs/>
        </w:rPr>
        <w:t>Super-classe de</w:t>
      </w:r>
    </w:p>
    <w:p w14:paraId="16D2856E" w14:textId="77777777" w:rsidR="0084489F" w:rsidRDefault="00110FE6">
      <w:pPr>
        <w:pStyle w:val="BodyText"/>
      </w:pPr>
      <w:r>
        <w:rPr>
          <w:rStyle w:val="VerbatimChar"/>
        </w:rPr>
        <w:t>E55_Type</w:t>
      </w:r>
      <w:r>
        <w:t xml:space="preserve"> </w:t>
      </w:r>
      <w:r>
        <w:rPr>
          <w:rStyle w:val="VerbatimChar"/>
        </w:rPr>
        <w:t>E89_Objet_propositionnelE90_Objet_symbolique</w:t>
      </w:r>
    </w:p>
    <w:p w14:paraId="255585FC" w14:textId="77777777" w:rsidR="0084489F" w:rsidRDefault="00110FE6" w:rsidP="00F361B3">
      <w:pPr>
        <w:pStyle w:val="BodyText"/>
        <w:keepNext/>
      </w:pPr>
      <w:r>
        <w:rPr>
          <w:b/>
          <w:bCs/>
        </w:rPr>
        <w:lastRenderedPageBreak/>
        <w:t>Note d’application</w:t>
      </w:r>
    </w:p>
    <w:p w14:paraId="5D01D0CA" w14:textId="77777777" w:rsidR="0084489F" w:rsidRDefault="00110FE6" w:rsidP="00F361B3">
      <w:pPr>
        <w:pStyle w:val="BodyText"/>
        <w:keepNext/>
      </w:pPr>
      <w:r>
        <w:t>Cette classe comprend les productions immatérielles de l’esprit et d’autres données produites par l’humain qui sont devenus des objets de discours à propos de leur identité, les circonstances de leur création ou leur rôle historique. La création de ce type d’information peut avoir été soutenue par l’utilisation de dispositifs techniques tels que des caméras ou des ordinateurs.</w:t>
      </w:r>
    </w:p>
    <w:p w14:paraId="29B3B0B9" w14:textId="77777777" w:rsidR="0084489F" w:rsidRDefault="00110FE6">
      <w:pPr>
        <w:pStyle w:val="BodyText"/>
      </w:pPr>
      <w:r>
        <w:t xml:space="preserve">Les instances de cette classe sont typiquement créées, inventées ou pensées par quelqu’un et peuvent alors être documentées ou communiquées entre personnes. Les instances de </w:t>
      </w:r>
      <w:r>
        <w:rPr>
          <w:rStyle w:val="VerbatimChar"/>
        </w:rPr>
        <w:t>E28_Objet_conceptuel</w:t>
      </w:r>
      <w:r>
        <w:t xml:space="preserve"> ont la faculté d’exister sur plus d’un support à la fois, par exemple du papier, des signaux électroniques, des marques, des médias sonores, des peintures, des photos, la mémoire humaine, etc.</w:t>
      </w:r>
    </w:p>
    <w:p w14:paraId="6D8F6CCA" w14:textId="77777777" w:rsidR="0084489F" w:rsidRDefault="00110FE6">
      <w:pPr>
        <w:pStyle w:val="BodyText"/>
      </w:pPr>
      <w:r>
        <w:t>Ces instances ne peuvent être détruites. Elles existent aussi longtemps qu’elles peuvent être trouvées sur au moins un support, y compris la mémoire humaine. Leur existence cesse lorsque le dernier support, incluant la mémoire humaine, est perdu.</w:t>
      </w:r>
    </w:p>
    <w:p w14:paraId="324D7B71" w14:textId="77777777" w:rsidR="0084489F" w:rsidRDefault="00110FE6">
      <w:pPr>
        <w:pStyle w:val="BodyText"/>
      </w:pPr>
      <w:r>
        <w:rPr>
          <w:b/>
          <w:bCs/>
        </w:rPr>
        <w:t>Exemples</w:t>
      </w:r>
    </w:p>
    <w:p w14:paraId="618573D8" w14:textId="1C360987" w:rsidR="0084489F" w:rsidRDefault="00110FE6" w:rsidP="00806324">
      <w:pPr>
        <w:numPr>
          <w:ilvl w:val="0"/>
          <w:numId w:val="78"/>
        </w:numPr>
      </w:pPr>
      <w:r w:rsidRPr="1B9E7434">
        <w:rPr>
          <w:lang w:val="fr-FR"/>
        </w:rPr>
        <w:t>L’« Hymne à la joie » dans la 9</w:t>
      </w:r>
      <w:r w:rsidRPr="1B9E7434">
        <w:rPr>
          <w:vertAlign w:val="superscript"/>
          <w:lang w:val="fr-FR"/>
        </w:rPr>
        <w:t>e</w:t>
      </w:r>
      <w:r w:rsidRPr="1B9E7434">
        <w:rPr>
          <w:lang w:val="fr-FR"/>
        </w:rPr>
        <w:t xml:space="preserve"> Symphonie de Beethoven (</w:t>
      </w:r>
      <w:r w:rsidRPr="1B9E7434">
        <w:rPr>
          <w:rStyle w:val="VerbatimChar"/>
          <w:lang w:val="fr-FR"/>
        </w:rPr>
        <w:t>E73_Objet_informationnel</w:t>
      </w:r>
      <w:r w:rsidRPr="1B9E7434">
        <w:rPr>
          <w:lang w:val="fr-FR"/>
        </w:rPr>
        <w:t>) (Kershaw, 1999)</w:t>
      </w:r>
    </w:p>
    <w:p w14:paraId="57B9FE7C" w14:textId="4EE9B49D" w:rsidR="0084489F" w:rsidRDefault="00110FE6" w:rsidP="00806324">
      <w:pPr>
        <w:numPr>
          <w:ilvl w:val="0"/>
          <w:numId w:val="78"/>
        </w:numPr>
      </w:pPr>
      <w:r w:rsidRPr="1B9E7434">
        <w:rPr>
          <w:lang w:val="fr-FR"/>
        </w:rPr>
        <w:t>La définition du terme « ontologie » dans l’</w:t>
      </w:r>
      <w:r w:rsidRPr="1B9E7434">
        <w:rPr>
          <w:i/>
          <w:iCs/>
          <w:lang w:val="fr-FR"/>
        </w:rPr>
        <w:t>Oxford</w:t>
      </w:r>
      <w:r w:rsidRPr="1B9E7434">
        <w:rPr>
          <w:lang w:val="fr-FR"/>
        </w:rPr>
        <w:t xml:space="preserve"> </w:t>
      </w:r>
      <w:r w:rsidRPr="1B9E7434">
        <w:rPr>
          <w:i/>
          <w:iCs/>
          <w:lang w:val="fr-FR"/>
        </w:rPr>
        <w:t>English Dictionary</w:t>
      </w:r>
      <w:r w:rsidRPr="1B9E7434">
        <w:rPr>
          <w:lang w:val="fr-FR"/>
        </w:rPr>
        <w:t xml:space="preserve"> (</w:t>
      </w:r>
      <w:r w:rsidRPr="1B9E7434">
        <w:rPr>
          <w:rStyle w:val="VerbatimChar"/>
          <w:lang w:val="fr-FR"/>
        </w:rPr>
        <w:t>E73_Objet_informationnel</w:t>
      </w:r>
      <w:r w:rsidRPr="1B9E7434">
        <w:rPr>
          <w:lang w:val="fr-FR"/>
        </w:rPr>
        <w:t>) (Oxford University Press, 1989)</w:t>
      </w:r>
    </w:p>
    <w:p w14:paraId="1564ACCC" w14:textId="4B45197E" w:rsidR="0084489F" w:rsidRDefault="00110FE6" w:rsidP="00806324">
      <w:pPr>
        <w:numPr>
          <w:ilvl w:val="0"/>
          <w:numId w:val="78"/>
        </w:numPr>
      </w:pPr>
      <w:r w:rsidRPr="1B9E7434">
        <w:rPr>
          <w:lang w:val="fr-FR"/>
        </w:rPr>
        <w:t>La nouvelle de la victoire de Marathon, apportée par le célèbre coureur Philippidès (Lagos &amp; Karyanos, 2020)</w:t>
      </w:r>
    </w:p>
    <w:p w14:paraId="5245C81A" w14:textId="77777777" w:rsidR="0084489F" w:rsidRDefault="00110FE6">
      <w:pPr>
        <w:pStyle w:val="FirstParagraph"/>
      </w:pPr>
      <w:r>
        <w:t>[Note explicative : les exemples suivants illustrent la distinction entre un objet propositionnel, ses noms et ses formes encodées. Les équations de Maxwell (Ball, 1962) sont un bon exemple, parce qu’elles relèvent des lois fondamentales de la physique et que leur contenu mathématique produit des résultats identiques et sans ambiguïté indépendamment de leur formulation et de leur encodage.]</w:t>
      </w:r>
    </w:p>
    <w:p w14:paraId="5A1A7DE9" w14:textId="353C2C16" w:rsidR="0084489F" w:rsidRDefault="00110FE6" w:rsidP="00806324">
      <w:pPr>
        <w:numPr>
          <w:ilvl w:val="0"/>
          <w:numId w:val="79"/>
        </w:numPr>
      </w:pPr>
      <w:r w:rsidRPr="1B9E7434">
        <w:rPr>
          <w:lang w:val="fr-FR"/>
        </w:rPr>
        <w:t>« Équations de Maxwell » (</w:t>
      </w:r>
      <w:r w:rsidRPr="1B9E7434">
        <w:rPr>
          <w:rStyle w:val="VerbatimChar"/>
          <w:lang w:val="fr-FR"/>
        </w:rPr>
        <w:t>E41_Appellation</w:t>
      </w:r>
      <w:r w:rsidRPr="1B9E7434">
        <w:rPr>
          <w:lang w:val="fr-FR"/>
        </w:rPr>
        <w:t xml:space="preserve">) [point d’accès sujet préféré selon LCSH, </w:t>
      </w:r>
      <w:hyperlink r:id="rId196">
        <w:r w:rsidRPr="1B9E7434">
          <w:rPr>
            <w:rStyle w:val="Hyperlink"/>
            <w:lang w:val="fr-FR"/>
          </w:rPr>
          <w:t>http://lccn.loc.gov/sh85082387</w:t>
        </w:r>
      </w:hyperlink>
      <w:r w:rsidRPr="1B9E7434">
        <w:rPr>
          <w:lang w:val="fr-FR"/>
        </w:rPr>
        <w:t xml:space="preserve"> en date du 18 avril 2021. Il s’agit seulement du nom des équations de Maxwell tel que standardisé par la </w:t>
      </w:r>
      <w:r w:rsidRPr="1B9E7434">
        <w:rPr>
          <w:i/>
          <w:iCs/>
          <w:lang w:val="fr-FR"/>
        </w:rPr>
        <w:t>Library of Congress</w:t>
      </w:r>
      <w:r w:rsidRPr="1B9E7434">
        <w:rPr>
          <w:lang w:val="fr-FR"/>
        </w:rPr>
        <w:t xml:space="preserve"> et non les équations elles-mêmes]</w:t>
      </w:r>
    </w:p>
    <w:p w14:paraId="455D4623" w14:textId="08148806" w:rsidR="0084489F" w:rsidRDefault="00110FE6" w:rsidP="00806324">
      <w:pPr>
        <w:numPr>
          <w:ilvl w:val="0"/>
          <w:numId w:val="79"/>
        </w:numPr>
      </w:pPr>
      <w:r w:rsidRPr="1B9E7434">
        <w:rPr>
          <w:lang w:val="fr-FR"/>
        </w:rPr>
        <w:t>« Équations, Maxwell » (</w:t>
      </w:r>
      <w:r w:rsidRPr="1B9E7434">
        <w:rPr>
          <w:rStyle w:val="VerbatimChar"/>
          <w:lang w:val="fr-FR"/>
        </w:rPr>
        <w:t>E41_Appellation</w:t>
      </w:r>
      <w:r w:rsidRPr="1B9E7434">
        <w:rPr>
          <w:lang w:val="fr-FR"/>
        </w:rPr>
        <w:t xml:space="preserve">) [variante de point d’accès selon LCSH, </w:t>
      </w:r>
      <w:hyperlink r:id="rId197">
        <w:r w:rsidRPr="1B9E7434">
          <w:rPr>
            <w:rStyle w:val="Hyperlink"/>
            <w:lang w:val="fr-FR"/>
          </w:rPr>
          <w:t>http://lccn.loc.gov/sh85082387</w:t>
        </w:r>
      </w:hyperlink>
      <w:r w:rsidRPr="1B9E7434">
        <w:rPr>
          <w:lang w:val="fr-FR"/>
        </w:rPr>
        <w:t xml:space="preserve"> en date du 18 avril 2021. Il s’agit d’un autre nom pour les équations, standardisé par la </w:t>
      </w:r>
      <w:r w:rsidRPr="1B9E7434">
        <w:rPr>
          <w:i/>
          <w:iCs/>
          <w:lang w:val="fr-FR"/>
        </w:rPr>
        <w:t>Library of Congress,</w:t>
      </w:r>
      <w:r w:rsidRPr="1B9E7434">
        <w:rPr>
          <w:lang w:val="fr-FR"/>
        </w:rPr>
        <w:t xml:space="preserve"> et non les équations elles-mêmes]</w:t>
      </w:r>
    </w:p>
    <w:p w14:paraId="2658752C" w14:textId="77777777" w:rsidR="0084489F" w:rsidRDefault="00110FE6" w:rsidP="00806324">
      <w:pPr>
        <w:numPr>
          <w:ilvl w:val="0"/>
          <w:numId w:val="79"/>
        </w:numPr>
      </w:pPr>
      <w:r>
        <w:t>Les équations de Maxwell (</w:t>
      </w:r>
      <w:r>
        <w:rPr>
          <w:rStyle w:val="VerbatimChar"/>
        </w:rPr>
        <w:t>E89_Objet_propositionnel</w:t>
      </w:r>
      <w:r>
        <w:t>) [Il s’agit du contenu propositionnel à proprement parler des équations, indépendamment de toute notation particulière ou formalisme mathématique] (Ball, 1962)</w:t>
      </w:r>
    </w:p>
    <w:p w14:paraId="2A93E543" w14:textId="77777777" w:rsidR="0084489F" w:rsidRDefault="00110FE6" w:rsidP="00806324">
      <w:pPr>
        <w:numPr>
          <w:ilvl w:val="0"/>
          <w:numId w:val="79"/>
        </w:numPr>
      </w:pPr>
      <w:r>
        <w:t xml:space="preserve">L’encodage des équations de Maxwell comme dans </w:t>
      </w:r>
      <w:hyperlink r:id="rId198">
        <w:r>
          <w:rPr>
            <w:rStyle w:val="Hyperlink"/>
          </w:rPr>
          <w:t>https://upload.wikimedia.org/wikipedia/commons/c/c4/Maxwell%27sEquations.svg</w:t>
        </w:r>
      </w:hyperlink>
      <w:r>
        <w:t xml:space="preserve"> (</w:t>
      </w:r>
      <w:r>
        <w:rPr>
          <w:rStyle w:val="VerbatimChar"/>
        </w:rPr>
        <w:t>E73_Objet_informationnel</w:t>
      </w:r>
      <w:r>
        <w:t>) [en date du 18 avril 2021. Il s’agit d’un encodage possible du contenu propositionnel des équations]</w:t>
      </w:r>
    </w:p>
    <w:p w14:paraId="06CF11BC" w14:textId="77777777" w:rsidR="0084489F" w:rsidRDefault="00110FE6">
      <w:pPr>
        <w:pStyle w:val="FirstParagraph"/>
      </w:pPr>
      <w:r>
        <w:rPr>
          <w:b/>
          <w:bCs/>
        </w:rPr>
        <w:t>Logique</w:t>
      </w:r>
    </w:p>
    <w:p w14:paraId="50E81D55" w14:textId="77777777" w:rsidR="0084489F" w:rsidRDefault="00110FE6">
      <w:pPr>
        <w:pStyle w:val="BodyText"/>
      </w:pPr>
      <w:r>
        <w:t>E28(x) ⇒ E71(x)</w:t>
      </w:r>
    </w:p>
    <w:p w14:paraId="73BA1D05" w14:textId="77777777" w:rsidR="0084489F" w:rsidRDefault="00110FE6">
      <w:pPr>
        <w:pStyle w:val="BodyText"/>
      </w:pPr>
      <w:r>
        <w:rPr>
          <w:b/>
          <w:bCs/>
        </w:rPr>
        <w:t>Propriétés</w:t>
      </w:r>
    </w:p>
    <w:p w14:paraId="45F82C2C" w14:textId="77777777" w:rsidR="0084489F" w:rsidRDefault="00110FE6">
      <w:pPr>
        <w:pStyle w:val="BlockText"/>
      </w:pPr>
      <w:r>
        <w:rPr>
          <w:b/>
          <w:bCs/>
          <w:i/>
          <w:iCs/>
        </w:rPr>
        <w:lastRenderedPageBreak/>
        <w:t>Note de traduction</w:t>
      </w:r>
    </w:p>
    <w:p w14:paraId="5CC3686D" w14:textId="77777777" w:rsidR="0084489F" w:rsidRDefault="00110FE6">
      <w:pPr>
        <w:pStyle w:val="BlockText"/>
      </w:pPr>
      <w:r>
        <w:rPr>
          <w:b/>
          <w:bCs/>
          <w:i/>
          <w:iCs/>
        </w:rPr>
        <w:t>Références</w:t>
      </w:r>
    </w:p>
    <w:p w14:paraId="4F8A12A3" w14:textId="77777777" w:rsidR="0084489F" w:rsidRDefault="0084489F">
      <w:pPr>
        <w:pStyle w:val="BlockText"/>
      </w:pPr>
    </w:p>
    <w:p w14:paraId="7EF9C669" w14:textId="77777777" w:rsidR="0084489F" w:rsidRDefault="00110FE6">
      <w:pPr>
        <w:pStyle w:val="Heading2"/>
      </w:pPr>
      <w:bookmarkStart w:id="161" w:name="_Toc176864462"/>
      <w:bookmarkStart w:id="162" w:name="e29-conceptualisation-ou-procedure"/>
      <w:bookmarkEnd w:id="160"/>
      <w:r>
        <w:t>E29 Conceptualisation ou procédure</w:t>
      </w:r>
      <w:bookmarkEnd w:id="161"/>
    </w:p>
    <w:p w14:paraId="4F3DAA1F" w14:textId="77777777" w:rsidR="0084489F" w:rsidRDefault="00110FE6">
      <w:pPr>
        <w:pStyle w:val="FirstParagraph"/>
      </w:pPr>
      <w:r>
        <w:rPr>
          <w:b/>
          <w:bCs/>
        </w:rPr>
        <w:t>Sous-classe de</w:t>
      </w:r>
    </w:p>
    <w:p w14:paraId="0BB44A65" w14:textId="77777777" w:rsidR="0084489F" w:rsidRDefault="00110FE6">
      <w:pPr>
        <w:pStyle w:val="BodyText"/>
      </w:pPr>
      <w:r>
        <w:rPr>
          <w:rStyle w:val="VerbatimChar"/>
        </w:rPr>
        <w:t>E73_Objet_informationnel</w:t>
      </w:r>
    </w:p>
    <w:p w14:paraId="1E96C415" w14:textId="77777777" w:rsidR="0084489F" w:rsidRDefault="00110FE6">
      <w:pPr>
        <w:pStyle w:val="BodyText"/>
      </w:pPr>
      <w:r>
        <w:rPr>
          <w:b/>
          <w:bCs/>
        </w:rPr>
        <w:t>Super-classe de</w:t>
      </w:r>
    </w:p>
    <w:p w14:paraId="18ED26BC" w14:textId="77777777" w:rsidR="0084489F" w:rsidRDefault="00110FE6">
      <w:pPr>
        <w:pStyle w:val="BodyText"/>
      </w:pPr>
      <w:r>
        <w:rPr>
          <w:b/>
          <w:bCs/>
        </w:rPr>
        <w:t>Note d’application</w:t>
      </w:r>
    </w:p>
    <w:p w14:paraId="5CF3AA40" w14:textId="77777777" w:rsidR="0084489F" w:rsidRDefault="00110FE6">
      <w:pPr>
        <w:pStyle w:val="BodyText"/>
      </w:pPr>
      <w:r>
        <w:t>Cette classe comprend des plans documentés concernant l'exécution d'actions dans l'objectif d'atteindre un résultat d'une qualité, d'une forme et d'un contenu spécifique. Plus particulièrement, cette classe comprend des plans pour :</w:t>
      </w:r>
    </w:p>
    <w:p w14:paraId="0AD73CAF" w14:textId="315E1B57" w:rsidR="0084489F" w:rsidRDefault="00110FE6" w:rsidP="00806324">
      <w:pPr>
        <w:numPr>
          <w:ilvl w:val="0"/>
          <w:numId w:val="80"/>
        </w:numPr>
      </w:pPr>
      <w:r w:rsidRPr="1B9E7434">
        <w:rPr>
          <w:lang w:val="fr-FR"/>
        </w:rPr>
        <w:t xml:space="preserve">des activités humaines délibérées qui peuvent avoir pour résultat de nouvelles instances de </w:t>
      </w:r>
      <w:r w:rsidRPr="1B9E7434">
        <w:rPr>
          <w:rStyle w:val="VerbatimChar"/>
          <w:lang w:val="fr-FR"/>
        </w:rPr>
        <w:t>E71_Chose_élaborée_par_l’humain</w:t>
      </w:r>
      <w:r w:rsidRPr="1B9E7434">
        <w:rPr>
          <w:lang w:val="fr-FR"/>
        </w:rPr>
        <w:t>;</w:t>
      </w:r>
    </w:p>
    <w:p w14:paraId="7E3FBA78" w14:textId="6617464D" w:rsidR="0084489F" w:rsidRDefault="00110FE6" w:rsidP="00806324">
      <w:pPr>
        <w:numPr>
          <w:ilvl w:val="0"/>
          <w:numId w:val="80"/>
        </w:numPr>
      </w:pPr>
      <w:r w:rsidRPr="1B9E7434">
        <w:rPr>
          <w:lang w:val="fr-FR"/>
        </w:rPr>
        <w:t xml:space="preserve">mettre en place ou guider l'exécution d'une instance de </w:t>
      </w:r>
      <w:r w:rsidRPr="1B9E7434">
        <w:rPr>
          <w:rStyle w:val="VerbatimChar"/>
          <w:lang w:val="fr-FR"/>
        </w:rPr>
        <w:t>E7_Activité</w:t>
      </w:r>
      <w:r w:rsidRPr="1B9E7434">
        <w:rPr>
          <w:lang w:val="fr-FR"/>
        </w:rPr>
        <w:t>.</w:t>
      </w:r>
    </w:p>
    <w:p w14:paraId="6DE196EF" w14:textId="77777777" w:rsidR="0084489F" w:rsidRDefault="00110FE6">
      <w:pPr>
        <w:pStyle w:val="FirstParagraph"/>
      </w:pPr>
      <w:r>
        <w:t xml:space="preserve">Les instances de </w:t>
      </w:r>
      <w:r>
        <w:rPr>
          <w:rStyle w:val="VerbatimChar"/>
        </w:rPr>
        <w:t>E29_Conceptualisation_ou_procédure</w:t>
      </w:r>
      <w:r>
        <w:t xml:space="preserve"> peuvent être structurées en parties et en séquences, ou dépendre d'autres instances.</w:t>
      </w:r>
    </w:p>
    <w:p w14:paraId="02684D15" w14:textId="77777777" w:rsidR="0084489F" w:rsidRDefault="00110FE6">
      <w:pPr>
        <w:pStyle w:val="BodyText"/>
      </w:pPr>
      <w:r w:rsidRPr="1B9E7434">
        <w:rPr>
          <w:lang w:val="fr-FR"/>
        </w:rPr>
        <w:t xml:space="preserve">Cela est modélisé à l'aide de </w:t>
      </w:r>
      <w:r w:rsidRPr="1B9E7434">
        <w:rPr>
          <w:rStyle w:val="VerbatimChar"/>
          <w:lang w:val="fr-FR"/>
        </w:rPr>
        <w:t>P69_est_associé_à (est_associé_à)</w:t>
      </w:r>
      <w:r w:rsidRPr="1B9E7434">
        <w:rPr>
          <w:lang w:val="fr-FR"/>
        </w:rPr>
        <w:t xml:space="preserve"> : </w:t>
      </w:r>
      <w:r w:rsidRPr="1B9E7434">
        <w:rPr>
          <w:rStyle w:val="VerbatimChar"/>
          <w:lang w:val="fr-FR"/>
        </w:rPr>
        <w:t>E29_Conceptualisation_ou_procédure</w:t>
      </w:r>
      <w:r w:rsidRPr="1B9E7434">
        <w:rPr>
          <w:lang w:val="fr-FR"/>
        </w:rPr>
        <w:t>.</w:t>
      </w:r>
    </w:p>
    <w:p w14:paraId="7661D4A6" w14:textId="77777777" w:rsidR="0084489F" w:rsidRDefault="00110FE6">
      <w:pPr>
        <w:pStyle w:val="BodyText"/>
      </w:pPr>
      <w:r>
        <w:t>Les conceptualisations ou procédures peuvent être considérées comme l'un ou l'autre des éléments suivants :</w:t>
      </w:r>
    </w:p>
    <w:p w14:paraId="2227E316" w14:textId="45031B31" w:rsidR="0084489F" w:rsidRDefault="00110FE6" w:rsidP="00806324">
      <w:pPr>
        <w:pStyle w:val="ListParagraph"/>
        <w:numPr>
          <w:ilvl w:val="0"/>
          <w:numId w:val="308"/>
        </w:numPr>
      </w:pPr>
      <w:r w:rsidRPr="1B9E7434">
        <w:rPr>
          <w:lang w:val="fr-FR"/>
        </w:rPr>
        <w:t>un schéma représentant les activités évoquées par la conceptualisation ou la procédure;</w:t>
      </w:r>
    </w:p>
    <w:p w14:paraId="6F3F9A6E" w14:textId="62D1E512" w:rsidR="0084489F" w:rsidRDefault="00110FE6" w:rsidP="00806324">
      <w:pPr>
        <w:pStyle w:val="ListParagraph"/>
        <w:numPr>
          <w:ilvl w:val="0"/>
          <w:numId w:val="308"/>
        </w:numPr>
      </w:pPr>
      <w:r w:rsidRPr="1B9E7434">
        <w:rPr>
          <w:lang w:val="fr-FR"/>
        </w:rPr>
        <w:t>un schéma des produits qui résulte de leur application;</w:t>
      </w:r>
    </w:p>
    <w:p w14:paraId="76146D30" w14:textId="40D886BA" w:rsidR="0084489F" w:rsidRDefault="00110FE6" w:rsidP="00806324">
      <w:pPr>
        <w:pStyle w:val="ListParagraph"/>
        <w:numPr>
          <w:ilvl w:val="0"/>
          <w:numId w:val="308"/>
        </w:numPr>
      </w:pPr>
      <w:r w:rsidRPr="1B9E7434">
        <w:rPr>
          <w:lang w:val="fr-FR"/>
        </w:rPr>
        <w:t>un produit intellectuel indépendant, lequel peut ne jamais avoir eu d'application (p. ex. les réputés plans de Léonard de Vinci pour des machines volantes).</w:t>
      </w:r>
    </w:p>
    <w:p w14:paraId="08ADB4C4" w14:textId="77777777" w:rsidR="0084489F" w:rsidRDefault="00110FE6">
      <w:pPr>
        <w:pStyle w:val="FirstParagraph"/>
      </w:pPr>
      <w:r>
        <w:t>Du fait que les conceptualisations ou procédures peuvent ne jamais avoir d'application ou qu'elles peuvent n'être que partiellement exécutées, le CIDOC CRM modélise une relation imprécise entre le plan et le produit auquel il est relié.</w:t>
      </w:r>
    </w:p>
    <w:p w14:paraId="0AFC6D17" w14:textId="77777777" w:rsidR="0084489F" w:rsidRDefault="00110FE6">
      <w:pPr>
        <w:pStyle w:val="BodyText"/>
      </w:pPr>
      <w:r>
        <w:rPr>
          <w:b/>
          <w:bCs/>
        </w:rPr>
        <w:t>Exemples</w:t>
      </w:r>
    </w:p>
    <w:p w14:paraId="10F1D371" w14:textId="77777777" w:rsidR="0084489F" w:rsidRDefault="00110FE6" w:rsidP="00806324">
      <w:pPr>
        <w:numPr>
          <w:ilvl w:val="0"/>
          <w:numId w:val="81"/>
        </w:numPr>
      </w:pPr>
      <w:r>
        <w:t>La procédure de normalisation de l'Organisation internationale de normalisation (ISO)</w:t>
      </w:r>
    </w:p>
    <w:p w14:paraId="28493F7D" w14:textId="77777777" w:rsidR="0084489F" w:rsidRDefault="00110FE6" w:rsidP="00806324">
      <w:pPr>
        <w:numPr>
          <w:ilvl w:val="0"/>
          <w:numId w:val="81"/>
        </w:numPr>
      </w:pPr>
      <w:r>
        <w:t>La notation musicale de l'</w:t>
      </w:r>
      <w:r>
        <w:rPr>
          <w:i/>
          <w:iCs/>
        </w:rPr>
        <w:t>Ode à la joie</w:t>
      </w:r>
      <w:r>
        <w:t xml:space="preserve"> de Ludwig van Beethoven (Kershaw, 1999)</w:t>
      </w:r>
    </w:p>
    <w:p w14:paraId="1D15630C" w14:textId="77777777" w:rsidR="0084489F" w:rsidRDefault="00110FE6" w:rsidP="00806324">
      <w:pPr>
        <w:numPr>
          <w:ilvl w:val="0"/>
          <w:numId w:val="81"/>
        </w:numPr>
      </w:pPr>
      <w:r>
        <w:t>Les dessins architecturaux pour la cathédrale de Cologne en Allemagne (Wolff, 1999)</w:t>
      </w:r>
    </w:p>
    <w:p w14:paraId="58858585" w14:textId="17763878" w:rsidR="0084489F" w:rsidRDefault="00110FE6" w:rsidP="00806324">
      <w:pPr>
        <w:numPr>
          <w:ilvl w:val="0"/>
          <w:numId w:val="81"/>
        </w:numPr>
      </w:pPr>
      <w:r w:rsidRPr="1B9E7434">
        <w:rPr>
          <w:lang w:val="fr-FR"/>
        </w:rPr>
        <w:t xml:space="preserve">Les dessins trouvés sur le folio « 860 » du </w:t>
      </w:r>
      <w:r w:rsidRPr="1B9E7434">
        <w:rPr>
          <w:i/>
          <w:iCs/>
          <w:lang w:val="fr-FR"/>
        </w:rPr>
        <w:t>Codex Atlanticus</w:t>
      </w:r>
      <w:r w:rsidRPr="1B9E7434">
        <w:rPr>
          <w:lang w:val="fr-FR"/>
        </w:rPr>
        <w:t xml:space="preserve"> (1486-1490) de Léonard de Vinci qui se trouvent à la Biblioteca Ambrosiana à Milan</w:t>
      </w:r>
    </w:p>
    <w:p w14:paraId="15602812" w14:textId="77777777" w:rsidR="0084489F" w:rsidRDefault="00110FE6">
      <w:pPr>
        <w:pStyle w:val="FirstParagraph"/>
      </w:pPr>
      <w:r>
        <w:rPr>
          <w:b/>
          <w:bCs/>
        </w:rPr>
        <w:t>Logique</w:t>
      </w:r>
    </w:p>
    <w:p w14:paraId="24EDEB78" w14:textId="77777777" w:rsidR="0084489F" w:rsidRDefault="00110FE6">
      <w:pPr>
        <w:pStyle w:val="BodyText"/>
      </w:pPr>
      <w:r>
        <w:t>E29(x) ⇒ E73(x)</w:t>
      </w:r>
    </w:p>
    <w:p w14:paraId="566F2585" w14:textId="77777777" w:rsidR="0084489F" w:rsidRDefault="00110FE6" w:rsidP="004454E2">
      <w:pPr>
        <w:pStyle w:val="BodyText"/>
        <w:keepNext/>
      </w:pPr>
      <w:r>
        <w:rPr>
          <w:b/>
          <w:bCs/>
        </w:rPr>
        <w:lastRenderedPageBreak/>
        <w:t>Propriétés</w:t>
      </w:r>
    </w:p>
    <w:p w14:paraId="00FF51BC" w14:textId="77777777" w:rsidR="0084489F" w:rsidRDefault="00110FE6" w:rsidP="004454E2">
      <w:pPr>
        <w:pStyle w:val="BodyText"/>
        <w:keepNext/>
      </w:pPr>
      <w:r w:rsidRPr="1B9E7434">
        <w:rPr>
          <w:rStyle w:val="VerbatimChar"/>
          <w:lang w:val="fr-FR"/>
        </w:rPr>
        <w:t>P68_prévoit_l’usage_de (usage_prévu_de) </w:t>
      </w:r>
      <w:r w:rsidRPr="1B9E7434">
        <w:rPr>
          <w:lang w:val="fr-FR"/>
        </w:rPr>
        <w:t xml:space="preserve">: </w:t>
      </w:r>
      <w:r w:rsidRPr="1B9E7434">
        <w:rPr>
          <w:rStyle w:val="VerbatimChar"/>
          <w:lang w:val="fr-FR"/>
        </w:rPr>
        <w:t>E57_Matériau</w:t>
      </w:r>
    </w:p>
    <w:p w14:paraId="5DEF5AC8" w14:textId="77777777" w:rsidR="0084489F" w:rsidRDefault="00110FE6">
      <w:pPr>
        <w:pStyle w:val="BodyText"/>
      </w:pPr>
      <w:r w:rsidRPr="1B9E7434">
        <w:rPr>
          <w:rStyle w:val="VerbatimChar"/>
          <w:lang w:val="fr-FR"/>
        </w:rPr>
        <w:t>P69_est_associé_à (est_associé_à) </w:t>
      </w:r>
      <w:r w:rsidRPr="1B9E7434">
        <w:rPr>
          <w:lang w:val="fr-FR"/>
        </w:rPr>
        <w:t xml:space="preserve">: </w:t>
      </w:r>
      <w:r w:rsidRPr="1B9E7434">
        <w:rPr>
          <w:rStyle w:val="VerbatimChar"/>
          <w:lang w:val="fr-FR"/>
        </w:rPr>
        <w:t>E29_Conceptualisation_ou_procédure</w:t>
      </w:r>
    </w:p>
    <w:p w14:paraId="427AA16B" w14:textId="77777777" w:rsidR="0084489F" w:rsidRDefault="00110FE6">
      <w:pPr>
        <w:pStyle w:val="BodyText"/>
      </w:pPr>
      <w:r>
        <w:t>(</w:t>
      </w:r>
      <w:r>
        <w:rPr>
          <w:rStyle w:val="VerbatimChar"/>
        </w:rPr>
        <w:t>P69.1_a_pour_type</w:t>
      </w:r>
      <w:r>
        <w:t xml:space="preserve"> : </w:t>
      </w:r>
      <w:r>
        <w:rPr>
          <w:rStyle w:val="VerbatimChar"/>
        </w:rPr>
        <w:t>E55_Type</w:t>
      </w:r>
      <w:r>
        <w:t>)</w:t>
      </w:r>
    </w:p>
    <w:p w14:paraId="758F675A" w14:textId="77777777" w:rsidR="0084489F" w:rsidRDefault="00110FE6">
      <w:pPr>
        <w:pStyle w:val="BlockText"/>
      </w:pPr>
      <w:r>
        <w:rPr>
          <w:b/>
          <w:bCs/>
          <w:i/>
          <w:iCs/>
        </w:rPr>
        <w:t>Note de traduction</w:t>
      </w:r>
    </w:p>
    <w:p w14:paraId="197CCD9A" w14:textId="77777777" w:rsidR="0084489F" w:rsidRDefault="00110FE6">
      <w:pPr>
        <w:pStyle w:val="BlockText"/>
      </w:pPr>
      <w:r>
        <w:rPr>
          <w:b/>
          <w:bCs/>
          <w:i/>
          <w:iCs/>
        </w:rPr>
        <w:t>Références</w:t>
      </w:r>
    </w:p>
    <w:p w14:paraId="63E8419E" w14:textId="77777777" w:rsidR="0084489F" w:rsidRDefault="0084489F">
      <w:pPr>
        <w:pStyle w:val="BlockText"/>
      </w:pPr>
    </w:p>
    <w:p w14:paraId="602A3ED6" w14:textId="77777777" w:rsidR="0084489F" w:rsidRDefault="00110FE6">
      <w:pPr>
        <w:pStyle w:val="Heading2"/>
      </w:pPr>
      <w:bookmarkStart w:id="163" w:name="_Toc176864463"/>
      <w:bookmarkStart w:id="164" w:name="e30-droit"/>
      <w:bookmarkEnd w:id="162"/>
      <w:r>
        <w:t>E30 Droit</w:t>
      </w:r>
      <w:bookmarkEnd w:id="163"/>
    </w:p>
    <w:p w14:paraId="4FB97BEC" w14:textId="77777777" w:rsidR="0084489F" w:rsidRDefault="00110FE6">
      <w:pPr>
        <w:pStyle w:val="FirstParagraph"/>
      </w:pPr>
      <w:r>
        <w:rPr>
          <w:b/>
          <w:bCs/>
        </w:rPr>
        <w:t>Sous-classe de</w:t>
      </w:r>
    </w:p>
    <w:p w14:paraId="19D3E0F5" w14:textId="77777777" w:rsidR="0084489F" w:rsidRDefault="00110FE6">
      <w:pPr>
        <w:pStyle w:val="BodyText"/>
      </w:pPr>
      <w:r>
        <w:rPr>
          <w:rStyle w:val="VerbatimChar"/>
        </w:rPr>
        <w:t>E89_Objet_propositionnel</w:t>
      </w:r>
    </w:p>
    <w:p w14:paraId="7069D0C5" w14:textId="77777777" w:rsidR="0084489F" w:rsidRDefault="00110FE6">
      <w:pPr>
        <w:pStyle w:val="BodyText"/>
      </w:pPr>
      <w:r>
        <w:rPr>
          <w:b/>
          <w:bCs/>
        </w:rPr>
        <w:t>Super-classe de</w:t>
      </w:r>
    </w:p>
    <w:p w14:paraId="267B177E" w14:textId="77777777" w:rsidR="0084489F" w:rsidRDefault="00110FE6">
      <w:pPr>
        <w:pStyle w:val="BodyText"/>
      </w:pPr>
      <w:r>
        <w:rPr>
          <w:b/>
          <w:bCs/>
        </w:rPr>
        <w:t>Note d’application</w:t>
      </w:r>
    </w:p>
    <w:p w14:paraId="5B41156A" w14:textId="77777777" w:rsidR="0084489F" w:rsidRDefault="00110FE6">
      <w:pPr>
        <w:pStyle w:val="BodyText"/>
      </w:pPr>
      <w:r>
        <w:t>Cette classe comprend les privilèges juridiques concernant des choses matérielles et immatérielles ou leurs dérivés.</w:t>
      </w:r>
    </w:p>
    <w:p w14:paraId="6ADF58C6" w14:textId="77777777" w:rsidR="0084489F" w:rsidRDefault="00110FE6">
      <w:pPr>
        <w:pStyle w:val="BodyText"/>
      </w:pPr>
      <w:r>
        <w:t>Ces privilèges incluent notamment les droits de reproduction et de propriété.</w:t>
      </w:r>
    </w:p>
    <w:p w14:paraId="155D98E5" w14:textId="77777777" w:rsidR="0084489F" w:rsidRDefault="00110FE6">
      <w:pPr>
        <w:pStyle w:val="BodyText"/>
      </w:pPr>
      <w:r>
        <w:rPr>
          <w:b/>
          <w:bCs/>
        </w:rPr>
        <w:t>Exemples</w:t>
      </w:r>
    </w:p>
    <w:p w14:paraId="42BF517F" w14:textId="77777777" w:rsidR="0084489F" w:rsidRDefault="00110FE6" w:rsidP="00806324">
      <w:pPr>
        <w:numPr>
          <w:ilvl w:val="0"/>
          <w:numId w:val="82"/>
        </w:numPr>
      </w:pPr>
      <w:r>
        <w:t>Le droit d'auteur détenu par l'ISO sur la norme ISO 21127</w:t>
      </w:r>
    </w:p>
    <w:p w14:paraId="40A659D7" w14:textId="153AEB65" w:rsidR="0084489F" w:rsidRDefault="00110FE6" w:rsidP="00806324">
      <w:pPr>
        <w:numPr>
          <w:ilvl w:val="0"/>
          <w:numId w:val="82"/>
        </w:numPr>
      </w:pPr>
      <w:r w:rsidRPr="1B9E7434">
        <w:rPr>
          <w:lang w:val="fr-FR"/>
        </w:rPr>
        <w:t xml:space="preserve">Le droit de propriété sur la </w:t>
      </w:r>
      <w:r w:rsidRPr="1B9E7434">
        <w:rPr>
          <w:i/>
          <w:iCs/>
          <w:lang w:val="fr-FR"/>
        </w:rPr>
        <w:t>Monna Lisa</w:t>
      </w:r>
      <w:r w:rsidRPr="1B9E7434">
        <w:rPr>
          <w:lang w:val="fr-FR"/>
        </w:rPr>
        <w:t xml:space="preserve"> détenu par le Louvre à Paris en France</w:t>
      </w:r>
    </w:p>
    <w:p w14:paraId="48D16BBD" w14:textId="77777777" w:rsidR="0084489F" w:rsidRDefault="00110FE6">
      <w:pPr>
        <w:pStyle w:val="FirstParagraph"/>
      </w:pPr>
      <w:r>
        <w:rPr>
          <w:b/>
          <w:bCs/>
        </w:rPr>
        <w:t>Logique</w:t>
      </w:r>
    </w:p>
    <w:p w14:paraId="251F1B50" w14:textId="77777777" w:rsidR="0084489F" w:rsidRDefault="00110FE6">
      <w:pPr>
        <w:pStyle w:val="BodyText"/>
      </w:pPr>
      <w:r>
        <w:t>E30(x) ⇒ E89(x)</w:t>
      </w:r>
    </w:p>
    <w:p w14:paraId="356783E3" w14:textId="77777777" w:rsidR="0084489F" w:rsidRDefault="00110FE6">
      <w:pPr>
        <w:pStyle w:val="BodyText"/>
      </w:pPr>
      <w:r>
        <w:rPr>
          <w:b/>
          <w:bCs/>
        </w:rPr>
        <w:t>Propriétés</w:t>
      </w:r>
    </w:p>
    <w:p w14:paraId="5F3B5B4D" w14:textId="77777777" w:rsidR="0084489F" w:rsidRDefault="00110FE6">
      <w:pPr>
        <w:pStyle w:val="BlockText"/>
      </w:pPr>
      <w:r>
        <w:rPr>
          <w:b/>
          <w:bCs/>
          <w:i/>
          <w:iCs/>
        </w:rPr>
        <w:t>Note de traduction</w:t>
      </w:r>
    </w:p>
    <w:p w14:paraId="032A8FE3" w14:textId="77777777" w:rsidR="0084489F" w:rsidRDefault="00110FE6">
      <w:pPr>
        <w:pStyle w:val="BlockText"/>
        <w:rPr>
          <w:b/>
          <w:bCs/>
          <w:i/>
          <w:iCs/>
        </w:rPr>
      </w:pPr>
      <w:r>
        <w:rPr>
          <w:b/>
          <w:bCs/>
          <w:i/>
          <w:iCs/>
        </w:rPr>
        <w:t>Références</w:t>
      </w:r>
    </w:p>
    <w:p w14:paraId="13FC79F0" w14:textId="77777777" w:rsidR="004454E2" w:rsidRPr="004454E2" w:rsidRDefault="004454E2" w:rsidP="004454E2">
      <w:pPr>
        <w:pStyle w:val="BodyText"/>
      </w:pPr>
    </w:p>
    <w:p w14:paraId="12DEB50F" w14:textId="77777777" w:rsidR="0084489F" w:rsidRDefault="00110FE6">
      <w:pPr>
        <w:pStyle w:val="Heading2"/>
      </w:pPr>
      <w:bookmarkStart w:id="165" w:name="_Toc176864464"/>
      <w:bookmarkStart w:id="166" w:name="e31-document"/>
      <w:bookmarkEnd w:id="164"/>
      <w:r>
        <w:t>E31 Document</w:t>
      </w:r>
      <w:bookmarkEnd w:id="165"/>
    </w:p>
    <w:p w14:paraId="04D4BFC5" w14:textId="77777777" w:rsidR="0084489F" w:rsidRDefault="00110FE6">
      <w:pPr>
        <w:pStyle w:val="FirstParagraph"/>
      </w:pPr>
      <w:r>
        <w:rPr>
          <w:b/>
          <w:bCs/>
        </w:rPr>
        <w:t>Sous-classe de</w:t>
      </w:r>
    </w:p>
    <w:p w14:paraId="70CD9F56" w14:textId="77777777" w:rsidR="0084489F" w:rsidRDefault="00110FE6">
      <w:pPr>
        <w:pStyle w:val="BodyText"/>
      </w:pPr>
      <w:r>
        <w:rPr>
          <w:rStyle w:val="VerbatimChar"/>
        </w:rPr>
        <w:t>E73_Objet_informationnel</w:t>
      </w:r>
    </w:p>
    <w:p w14:paraId="1B669DFB" w14:textId="77777777" w:rsidR="0084489F" w:rsidRDefault="00110FE6">
      <w:pPr>
        <w:pStyle w:val="BodyText"/>
      </w:pPr>
      <w:r>
        <w:rPr>
          <w:b/>
          <w:bCs/>
        </w:rPr>
        <w:t>Super-classe de</w:t>
      </w:r>
    </w:p>
    <w:p w14:paraId="4AC763D9" w14:textId="77777777" w:rsidR="0084489F" w:rsidRDefault="00110FE6">
      <w:pPr>
        <w:pStyle w:val="BodyText"/>
      </w:pPr>
      <w:r>
        <w:rPr>
          <w:rStyle w:val="VerbatimChar"/>
        </w:rPr>
        <w:t>E32_Document_de_référence</w:t>
      </w:r>
    </w:p>
    <w:p w14:paraId="5E4E687A" w14:textId="77777777" w:rsidR="0084489F" w:rsidRDefault="00110FE6">
      <w:pPr>
        <w:pStyle w:val="BodyText"/>
      </w:pPr>
      <w:r>
        <w:rPr>
          <w:b/>
          <w:bCs/>
        </w:rPr>
        <w:t>Note d’application</w:t>
      </w:r>
    </w:p>
    <w:p w14:paraId="010AF8B3" w14:textId="77777777" w:rsidR="0084489F" w:rsidRDefault="00110FE6">
      <w:pPr>
        <w:pStyle w:val="BodyText"/>
      </w:pPr>
      <w:r>
        <w:t>Cette classe comprend les entités immatérielles et identifiables qui contiennent des informations à propos de la réalité.</w:t>
      </w:r>
    </w:p>
    <w:p w14:paraId="1CF39F7B" w14:textId="77777777" w:rsidR="0084489F" w:rsidRDefault="00110FE6">
      <w:pPr>
        <w:pStyle w:val="BodyText"/>
      </w:pPr>
      <w:r>
        <w:lastRenderedPageBreak/>
        <w:t xml:space="preserve">Ces informations peuvent être exprimées sous forme de textes, de graphiques, d'images, d'audiogrammes, de vidéogrammes ou sous d’autres formes similaires. Les bases de données documentaires sont considérées comme des instances de </w:t>
      </w:r>
      <w:r>
        <w:rPr>
          <w:rStyle w:val="VerbatimChar"/>
        </w:rPr>
        <w:t>E31_Document</w:t>
      </w:r>
      <w:r>
        <w:t xml:space="preserve">. Cette classe ne doit pas être confondue avec le concept de « document » utilisé dans le domaine des technologies de l’information, ce dernier se rapportant plutôt à la classe </w:t>
      </w:r>
      <w:r>
        <w:rPr>
          <w:rStyle w:val="VerbatimChar"/>
        </w:rPr>
        <w:t>E73_Objet_informationnel</w:t>
      </w:r>
      <w:r>
        <w:t>.</w:t>
      </w:r>
    </w:p>
    <w:p w14:paraId="4939EADB" w14:textId="77777777" w:rsidR="0084489F" w:rsidRDefault="00110FE6">
      <w:pPr>
        <w:pStyle w:val="BodyText"/>
      </w:pPr>
      <w:r>
        <w:rPr>
          <w:b/>
          <w:bCs/>
        </w:rPr>
        <w:t>Exemples</w:t>
      </w:r>
    </w:p>
    <w:p w14:paraId="4DF3A93D" w14:textId="52FAE84F" w:rsidR="0084489F" w:rsidRDefault="00110FE6" w:rsidP="00806324">
      <w:pPr>
        <w:numPr>
          <w:ilvl w:val="0"/>
          <w:numId w:val="83"/>
        </w:numPr>
      </w:pPr>
      <w:r w:rsidRPr="1B9E7434">
        <w:rPr>
          <w:lang w:val="fr-FR"/>
        </w:rPr>
        <w:t>L’</w:t>
      </w:r>
      <w:r w:rsidRPr="1B9E7434">
        <w:rPr>
          <w:i/>
          <w:iCs/>
          <w:lang w:val="fr-FR"/>
        </w:rPr>
        <w:t>Encyclopædia Britannica</w:t>
      </w:r>
      <w:r w:rsidRPr="1B9E7434">
        <w:rPr>
          <w:lang w:val="fr-FR"/>
        </w:rPr>
        <w:t xml:space="preserve"> (</w:t>
      </w:r>
      <w:r w:rsidRPr="1B9E7434">
        <w:rPr>
          <w:rStyle w:val="VerbatimChar"/>
          <w:lang w:val="fr-FR"/>
        </w:rPr>
        <w:t>E32_Document_de_référence</w:t>
      </w:r>
      <w:r w:rsidRPr="1B9E7434">
        <w:rPr>
          <w:lang w:val="fr-FR"/>
        </w:rPr>
        <w:t>) (Kogan, 1958)</w:t>
      </w:r>
    </w:p>
    <w:p w14:paraId="17B06ADF" w14:textId="77777777" w:rsidR="0084489F" w:rsidRDefault="00110FE6" w:rsidP="00806324">
      <w:pPr>
        <w:numPr>
          <w:ilvl w:val="0"/>
          <w:numId w:val="83"/>
        </w:numPr>
      </w:pPr>
      <w:r>
        <w:t>Le contenu visuel de la photo des dirigeants alliés à la Conférence de Yalta, publiée par UPI en 1945 (</w:t>
      </w:r>
      <w:r>
        <w:rPr>
          <w:rStyle w:val="VerbatimChar"/>
        </w:rPr>
        <w:t>E36_Entité_visuelle</w:t>
      </w:r>
      <w:r>
        <w:t>)</w:t>
      </w:r>
    </w:p>
    <w:p w14:paraId="66009B17" w14:textId="12138043" w:rsidR="0084489F" w:rsidRDefault="00110FE6" w:rsidP="00806324">
      <w:pPr>
        <w:numPr>
          <w:ilvl w:val="0"/>
          <w:numId w:val="83"/>
        </w:numPr>
      </w:pPr>
      <w:r w:rsidRPr="1B9E7434">
        <w:rPr>
          <w:lang w:val="fr-FR"/>
        </w:rPr>
        <w:t xml:space="preserve">Le </w:t>
      </w:r>
      <w:r w:rsidRPr="1B9E7434">
        <w:rPr>
          <w:i/>
          <w:iCs/>
          <w:lang w:val="fr-FR"/>
        </w:rPr>
        <w:t>Livre du Jugement Dernier</w:t>
      </w:r>
      <w:r w:rsidRPr="1B9E7434">
        <w:rPr>
          <w:lang w:val="fr-FR"/>
        </w:rPr>
        <w:t xml:space="preserve"> [l'enregistrement manuscrit d'un inventaire de l'Angleterre et de parties de la Cornouailles terminé en 1086 sous Guillaume le Conquérant] (Hallam 1986)</w:t>
      </w:r>
    </w:p>
    <w:p w14:paraId="404AB665" w14:textId="77777777" w:rsidR="0084489F" w:rsidRDefault="00110FE6">
      <w:pPr>
        <w:pStyle w:val="FirstParagraph"/>
      </w:pPr>
      <w:r>
        <w:rPr>
          <w:b/>
          <w:bCs/>
        </w:rPr>
        <w:t>Logique</w:t>
      </w:r>
    </w:p>
    <w:p w14:paraId="0D440FE5" w14:textId="77777777" w:rsidR="0084489F" w:rsidRDefault="00110FE6">
      <w:pPr>
        <w:pStyle w:val="BodyText"/>
      </w:pPr>
      <w:r>
        <w:t>E31(x) ⇒ E73(x)</w:t>
      </w:r>
    </w:p>
    <w:p w14:paraId="07227772" w14:textId="77777777" w:rsidR="0084489F" w:rsidRDefault="00110FE6">
      <w:pPr>
        <w:pStyle w:val="BodyText"/>
      </w:pPr>
      <w:r>
        <w:rPr>
          <w:b/>
          <w:bCs/>
        </w:rPr>
        <w:t>Propriétés</w:t>
      </w:r>
    </w:p>
    <w:p w14:paraId="504D0D2E" w14:textId="77777777" w:rsidR="0084489F" w:rsidRDefault="00110FE6">
      <w:pPr>
        <w:pStyle w:val="BodyText"/>
      </w:pPr>
      <w:r w:rsidRPr="1B9E7434">
        <w:rPr>
          <w:rStyle w:val="VerbatimChar"/>
          <w:lang w:val="fr-FR"/>
        </w:rPr>
        <w:t>P70_documente (est_documenté_dans)</w:t>
      </w:r>
      <w:r w:rsidRPr="1B9E7434">
        <w:rPr>
          <w:lang w:val="fr-FR"/>
        </w:rPr>
        <w:t xml:space="preserve"> : </w:t>
      </w:r>
      <w:r w:rsidRPr="1B9E7434">
        <w:rPr>
          <w:rStyle w:val="VerbatimChar"/>
          <w:lang w:val="fr-FR"/>
        </w:rPr>
        <w:t>E1_Entité_CRM</w:t>
      </w:r>
    </w:p>
    <w:p w14:paraId="36FF8377" w14:textId="77777777" w:rsidR="0084489F" w:rsidRDefault="00110FE6">
      <w:pPr>
        <w:pStyle w:val="BlockText"/>
      </w:pPr>
      <w:r>
        <w:rPr>
          <w:b/>
          <w:bCs/>
          <w:i/>
          <w:iCs/>
        </w:rPr>
        <w:t>Note de traduction</w:t>
      </w:r>
    </w:p>
    <w:p w14:paraId="03633956" w14:textId="77777777" w:rsidR="0084489F" w:rsidRDefault="00110FE6">
      <w:pPr>
        <w:pStyle w:val="BlockText"/>
      </w:pPr>
      <w:r w:rsidRPr="1B9E7434">
        <w:rPr>
          <w:lang w:val="fr-FR"/>
        </w:rPr>
        <w:t>L’acronyme UPI, pour United Press International, ne semble pas avoir d’équivalent en français, et a donc été laissé dans sa version anglaise.</w:t>
      </w:r>
    </w:p>
    <w:p w14:paraId="109B4833" w14:textId="77777777" w:rsidR="0084489F" w:rsidRPr="008C0D99" w:rsidRDefault="00110FE6">
      <w:pPr>
        <w:pStyle w:val="BlockText"/>
        <w:rPr>
          <w:lang w:val="en-CA"/>
        </w:rPr>
      </w:pPr>
      <w:r w:rsidRPr="008C0D99">
        <w:rPr>
          <w:b/>
          <w:bCs/>
          <w:i/>
          <w:iCs/>
          <w:lang w:val="en-CA"/>
        </w:rPr>
        <w:t>Références</w:t>
      </w:r>
    </w:p>
    <w:p w14:paraId="302D8998" w14:textId="77777777" w:rsidR="0084489F" w:rsidRDefault="00110FE6">
      <w:pPr>
        <w:pStyle w:val="BlockText"/>
      </w:pPr>
      <w:r w:rsidRPr="008C0D99">
        <w:rPr>
          <w:lang w:val="en-CA"/>
        </w:rPr>
        <w:t xml:space="preserve">Wikipédia. « United Press International ». Dans </w:t>
      </w:r>
      <w:r w:rsidRPr="008C0D99">
        <w:rPr>
          <w:i/>
          <w:iCs/>
          <w:lang w:val="en-CA"/>
        </w:rPr>
        <w:t>Wikipédia</w:t>
      </w:r>
      <w:r w:rsidRPr="008C0D99">
        <w:rPr>
          <w:lang w:val="en-CA"/>
        </w:rPr>
        <w:t>. San Francisco, US-CA: Wikipédia, 15 mai 2021.</w:t>
      </w:r>
      <w:hyperlink r:id="rId199">
        <w:r w:rsidRPr="008C0D99">
          <w:rPr>
            <w:rStyle w:val="Hyperlink"/>
            <w:lang w:val="en-CA"/>
          </w:rPr>
          <w:t xml:space="preserve"> </w:t>
        </w:r>
      </w:hyperlink>
      <w:hyperlink r:id="rId200">
        <w:r>
          <w:rPr>
            <w:rStyle w:val="Hyperlink"/>
          </w:rPr>
          <w:t>https://fr.wikipedia.org/w/index.php?title=United_Press_International&amp;oldid=182934531</w:t>
        </w:r>
      </w:hyperlink>
      <w:r>
        <w:t>.</w:t>
      </w:r>
    </w:p>
    <w:p w14:paraId="13E7BFB1" w14:textId="77777777" w:rsidR="004454E2" w:rsidRPr="004454E2" w:rsidRDefault="004454E2" w:rsidP="004454E2">
      <w:pPr>
        <w:pStyle w:val="BodyText"/>
      </w:pPr>
    </w:p>
    <w:p w14:paraId="5E04677B" w14:textId="77777777" w:rsidR="0084489F" w:rsidRDefault="00110FE6">
      <w:pPr>
        <w:pStyle w:val="Heading2"/>
      </w:pPr>
      <w:bookmarkStart w:id="167" w:name="_Toc176864465"/>
      <w:bookmarkStart w:id="168" w:name="e32-document-de-reference"/>
      <w:bookmarkEnd w:id="166"/>
      <w:r>
        <w:t>E32 Document de référence</w:t>
      </w:r>
      <w:bookmarkEnd w:id="167"/>
    </w:p>
    <w:p w14:paraId="6A02BCA9" w14:textId="77777777" w:rsidR="0084489F" w:rsidRDefault="00110FE6">
      <w:pPr>
        <w:pStyle w:val="FirstParagraph"/>
      </w:pPr>
      <w:r>
        <w:rPr>
          <w:b/>
          <w:bCs/>
        </w:rPr>
        <w:t>Sous-classe de</w:t>
      </w:r>
    </w:p>
    <w:p w14:paraId="060C9D94" w14:textId="77777777" w:rsidR="0084489F" w:rsidRDefault="00110FE6">
      <w:pPr>
        <w:pStyle w:val="BodyText"/>
      </w:pPr>
      <w:r>
        <w:rPr>
          <w:rStyle w:val="VerbatimChar"/>
        </w:rPr>
        <w:t>E31_Document</w:t>
      </w:r>
    </w:p>
    <w:p w14:paraId="2D05E5BF" w14:textId="77777777" w:rsidR="0084489F" w:rsidRDefault="00110FE6">
      <w:pPr>
        <w:pStyle w:val="BodyText"/>
      </w:pPr>
      <w:r>
        <w:rPr>
          <w:b/>
          <w:bCs/>
        </w:rPr>
        <w:t>Super-classe de</w:t>
      </w:r>
    </w:p>
    <w:p w14:paraId="564BA5F4" w14:textId="77777777" w:rsidR="0084489F" w:rsidRDefault="00110FE6">
      <w:pPr>
        <w:pStyle w:val="BodyText"/>
      </w:pPr>
      <w:r>
        <w:rPr>
          <w:b/>
          <w:bCs/>
        </w:rPr>
        <w:t>Note d’application</w:t>
      </w:r>
    </w:p>
    <w:p w14:paraId="2F2A6C1D" w14:textId="77777777" w:rsidR="0084489F" w:rsidRDefault="00110FE6">
      <w:pPr>
        <w:pStyle w:val="BodyText"/>
      </w:pPr>
      <w:r>
        <w:t>Cette classe comprend les encyclopédies, les thésaurus, les listes d'autorité et autres documents qui définissent des terminologies ou des systèmes conceptuels afin de favoriser un usage uniforme.</w:t>
      </w:r>
    </w:p>
    <w:p w14:paraId="098272A6" w14:textId="77777777" w:rsidR="0084489F" w:rsidRDefault="00110FE6">
      <w:pPr>
        <w:pStyle w:val="BodyText"/>
      </w:pPr>
      <w:r>
        <w:rPr>
          <w:b/>
          <w:bCs/>
        </w:rPr>
        <w:t>Exemples</w:t>
      </w:r>
    </w:p>
    <w:p w14:paraId="6C75032C" w14:textId="77777777" w:rsidR="0084489F" w:rsidRDefault="00110FE6" w:rsidP="00806324">
      <w:pPr>
        <w:numPr>
          <w:ilvl w:val="0"/>
          <w:numId w:val="84"/>
        </w:numPr>
      </w:pPr>
      <w:r>
        <w:t>Le dictionnaire Webster (Herbert, 1994)</w:t>
      </w:r>
    </w:p>
    <w:p w14:paraId="6007AA04" w14:textId="77777777" w:rsidR="0084489F" w:rsidRPr="008C0D99" w:rsidRDefault="00110FE6" w:rsidP="00806324">
      <w:pPr>
        <w:numPr>
          <w:ilvl w:val="0"/>
          <w:numId w:val="84"/>
        </w:numPr>
        <w:rPr>
          <w:lang w:val="en-CA"/>
        </w:rPr>
      </w:pPr>
      <w:r w:rsidRPr="008C0D99">
        <w:rPr>
          <w:lang w:val="en-CA"/>
        </w:rPr>
        <w:t>L'</w:t>
      </w:r>
      <w:r w:rsidRPr="008C0D99">
        <w:rPr>
          <w:i/>
          <w:iCs/>
          <w:lang w:val="en-CA"/>
        </w:rPr>
        <w:t>Art and Architecture Thesaurus</w:t>
      </w:r>
      <w:r w:rsidRPr="008C0D99">
        <w:rPr>
          <w:lang w:val="en-CA"/>
        </w:rPr>
        <w:t xml:space="preserve"> du Getty Research Institute (Getty Trust, 1990)</w:t>
      </w:r>
    </w:p>
    <w:p w14:paraId="21123F2F" w14:textId="277D697C" w:rsidR="0084489F" w:rsidRDefault="00110FE6" w:rsidP="00806324">
      <w:pPr>
        <w:numPr>
          <w:ilvl w:val="0"/>
          <w:numId w:val="84"/>
        </w:numPr>
      </w:pPr>
      <w:r w:rsidRPr="1B9E7434">
        <w:rPr>
          <w:lang w:val="fr-FR"/>
        </w:rPr>
        <w:t>Le modèle conceptuel de référence du CIDOC (Gergatsoulis &amp; al, 2010)</w:t>
      </w:r>
    </w:p>
    <w:p w14:paraId="540EBED9" w14:textId="77777777" w:rsidR="0084489F" w:rsidRDefault="00110FE6">
      <w:pPr>
        <w:pStyle w:val="FirstParagraph"/>
      </w:pPr>
      <w:r>
        <w:rPr>
          <w:b/>
          <w:bCs/>
        </w:rPr>
        <w:t>Logique</w:t>
      </w:r>
    </w:p>
    <w:p w14:paraId="54BC5D54" w14:textId="77777777" w:rsidR="0084489F" w:rsidRDefault="00110FE6">
      <w:pPr>
        <w:pStyle w:val="BodyText"/>
      </w:pPr>
      <w:r>
        <w:t>E32(x) ⇒ E31(x)</w:t>
      </w:r>
    </w:p>
    <w:p w14:paraId="595538D4" w14:textId="77777777" w:rsidR="0084489F" w:rsidRDefault="00110FE6">
      <w:pPr>
        <w:pStyle w:val="BodyText"/>
      </w:pPr>
      <w:r>
        <w:rPr>
          <w:b/>
          <w:bCs/>
        </w:rPr>
        <w:lastRenderedPageBreak/>
        <w:t>Propriétés</w:t>
      </w:r>
    </w:p>
    <w:p w14:paraId="35720AA3" w14:textId="77777777" w:rsidR="0084489F" w:rsidRDefault="00110FE6">
      <w:pPr>
        <w:pStyle w:val="BodyText"/>
      </w:pPr>
      <w:r w:rsidRPr="1B9E7434">
        <w:rPr>
          <w:rStyle w:val="VerbatimChar"/>
          <w:lang w:val="fr-FR"/>
        </w:rPr>
        <w:t>P71_énumère (est_énuméré_par)</w:t>
      </w:r>
      <w:r w:rsidRPr="1B9E7434">
        <w:rPr>
          <w:lang w:val="fr-FR"/>
        </w:rPr>
        <w:t xml:space="preserve"> : </w:t>
      </w:r>
      <w:r w:rsidRPr="1B9E7434">
        <w:rPr>
          <w:rStyle w:val="VerbatimChar"/>
          <w:lang w:val="fr-FR"/>
        </w:rPr>
        <w:t>E1_Entité_CRM</w:t>
      </w:r>
    </w:p>
    <w:p w14:paraId="730EDF16" w14:textId="77777777" w:rsidR="0084489F" w:rsidRDefault="00110FE6">
      <w:pPr>
        <w:pStyle w:val="BlockText"/>
      </w:pPr>
      <w:r>
        <w:rPr>
          <w:b/>
          <w:bCs/>
          <w:i/>
          <w:iCs/>
        </w:rPr>
        <w:t>Note de traduction</w:t>
      </w:r>
    </w:p>
    <w:p w14:paraId="1C9140F6" w14:textId="77777777" w:rsidR="0084489F" w:rsidRDefault="00110FE6">
      <w:pPr>
        <w:pStyle w:val="BlockText"/>
      </w:pPr>
      <w:r>
        <w:rPr>
          <w:b/>
          <w:bCs/>
          <w:i/>
          <w:iCs/>
        </w:rPr>
        <w:t>Références</w:t>
      </w:r>
    </w:p>
    <w:p w14:paraId="0B75DB7C" w14:textId="77777777" w:rsidR="0084489F" w:rsidRDefault="0084489F">
      <w:pPr>
        <w:pStyle w:val="BlockText"/>
      </w:pPr>
    </w:p>
    <w:p w14:paraId="4371EDC7" w14:textId="77777777" w:rsidR="0084489F" w:rsidRDefault="00110FE6">
      <w:pPr>
        <w:pStyle w:val="Heading2"/>
      </w:pPr>
      <w:bookmarkStart w:id="169" w:name="_Toc176864466"/>
      <w:bookmarkStart w:id="170" w:name="e33-objet-linguistique"/>
      <w:bookmarkEnd w:id="168"/>
      <w:r>
        <w:t>E33 Objet linguistique</w:t>
      </w:r>
      <w:bookmarkEnd w:id="169"/>
    </w:p>
    <w:p w14:paraId="04BBBAF2" w14:textId="77777777" w:rsidR="0084489F" w:rsidRDefault="00110FE6">
      <w:pPr>
        <w:pStyle w:val="FirstParagraph"/>
      </w:pPr>
      <w:r>
        <w:rPr>
          <w:b/>
          <w:bCs/>
        </w:rPr>
        <w:t>Sous-classe de</w:t>
      </w:r>
    </w:p>
    <w:p w14:paraId="30FF8C9D" w14:textId="77777777" w:rsidR="0084489F" w:rsidRDefault="00110FE6">
      <w:pPr>
        <w:pStyle w:val="BodyText"/>
      </w:pPr>
      <w:r>
        <w:rPr>
          <w:rStyle w:val="VerbatimChar"/>
        </w:rPr>
        <w:t>E73_Objet_informationnel</w:t>
      </w:r>
    </w:p>
    <w:p w14:paraId="56C22D70" w14:textId="77777777" w:rsidR="0084489F" w:rsidRDefault="00110FE6">
      <w:pPr>
        <w:pStyle w:val="BodyText"/>
      </w:pPr>
      <w:r>
        <w:rPr>
          <w:b/>
          <w:bCs/>
        </w:rPr>
        <w:t>Super-classe de</w:t>
      </w:r>
    </w:p>
    <w:p w14:paraId="725609AF" w14:textId="77777777" w:rsidR="0084489F" w:rsidRDefault="00110FE6">
      <w:pPr>
        <w:pStyle w:val="BodyText"/>
      </w:pPr>
      <w:r>
        <w:rPr>
          <w:rStyle w:val="VerbatimChar"/>
        </w:rPr>
        <w:t>E34_Inscription</w:t>
      </w:r>
    </w:p>
    <w:p w14:paraId="69BE8345" w14:textId="77777777" w:rsidR="0084489F" w:rsidRDefault="00110FE6">
      <w:pPr>
        <w:pStyle w:val="BodyText"/>
      </w:pPr>
      <w:r>
        <w:rPr>
          <w:rStyle w:val="VerbatimChar"/>
        </w:rPr>
        <w:t>E35_Titre</w:t>
      </w:r>
    </w:p>
    <w:p w14:paraId="4CBEE248" w14:textId="77777777" w:rsidR="0084489F" w:rsidRDefault="00110FE6">
      <w:pPr>
        <w:pStyle w:val="BodyText"/>
      </w:pPr>
      <w:r>
        <w:rPr>
          <w:b/>
          <w:bCs/>
        </w:rPr>
        <w:t>Note d’application</w:t>
      </w:r>
    </w:p>
    <w:p w14:paraId="51FBB36E" w14:textId="77777777" w:rsidR="0084489F" w:rsidRDefault="00110FE6">
      <w:pPr>
        <w:pStyle w:val="BodyText"/>
      </w:pPr>
      <w:r>
        <w:t>Cette classe comprend les expressions identifiables en une ou plusieurs langues naturelles.</w:t>
      </w:r>
    </w:p>
    <w:p w14:paraId="401F638B" w14:textId="77777777" w:rsidR="0084489F" w:rsidRDefault="00110FE6">
      <w:pPr>
        <w:pStyle w:val="BodyText"/>
      </w:pPr>
      <w:r>
        <w:t xml:space="preserve">Les instances de </w:t>
      </w:r>
      <w:r>
        <w:rPr>
          <w:rStyle w:val="VerbatimChar"/>
        </w:rPr>
        <w:t>E33_Objet_linguistique</w:t>
      </w:r>
      <w:r>
        <w:t xml:space="preserve"> peuvent prendre plusieurs formes d’expression comme des textes écrits ou des discours enregistrés ou en langue des signes. Toutefois, le CIDOC CRM traite les instances de </w:t>
      </w:r>
      <w:r>
        <w:rPr>
          <w:rStyle w:val="VerbatimChar"/>
        </w:rPr>
        <w:t>E33_Objet_linguistique</w:t>
      </w:r>
      <w:r>
        <w:t xml:space="preserve"> indépendamment du médium ou de la méthode qui permet leur expression.</w:t>
      </w:r>
    </w:p>
    <w:p w14:paraId="0F3AAA82" w14:textId="77777777" w:rsidR="0084489F" w:rsidRDefault="00110FE6">
      <w:pPr>
        <w:pStyle w:val="BodyText"/>
      </w:pPr>
      <w:r>
        <w:t xml:space="preserve">Des expressions en langage formel (p. ex. du code informatique ou des formules mathématiques) ne sont pas considérées par le CIDOC CRM comme des instances de </w:t>
      </w:r>
      <w:r>
        <w:rPr>
          <w:rStyle w:val="VerbatimChar"/>
        </w:rPr>
        <w:t>E33_Objet_linguistique</w:t>
      </w:r>
      <w:r>
        <w:t xml:space="preserve">. De telles expressions devraient être modélisées comme des instances de </w:t>
      </w:r>
      <w:r>
        <w:rPr>
          <w:rStyle w:val="VerbatimChar"/>
        </w:rPr>
        <w:t>E73_Objet_informationnel</w:t>
      </w:r>
      <w:r>
        <w:t>.</w:t>
      </w:r>
    </w:p>
    <w:p w14:paraId="58ABFCFD" w14:textId="77777777" w:rsidR="0084489F" w:rsidRDefault="00110FE6">
      <w:pPr>
        <w:pStyle w:val="BodyText"/>
      </w:pPr>
      <w:r>
        <w:t xml:space="preserve">De manière générale, une instance de </w:t>
      </w:r>
      <w:r>
        <w:rPr>
          <w:rStyle w:val="VerbatimChar"/>
        </w:rPr>
        <w:t>E33_Objet_linguistique</w:t>
      </w:r>
      <w:r>
        <w:t xml:space="preserve"> peut contenir de l’information non-linguistique, laquelle possède souvent une valeur artistique ou esthétique. Ce n’est que lorsque le contenu d’une instance de </w:t>
      </w:r>
      <w:r>
        <w:rPr>
          <w:rStyle w:val="VerbatimChar"/>
        </w:rPr>
        <w:t>E33_Objet_linguistique</w:t>
      </w:r>
      <w:r>
        <w:t xml:space="preserve"> peut entièrement être exprimé par une série de symboles codés de manière binaire que ces contenus peuvent être documentés dans une base de connaissances par la propriété </w:t>
      </w:r>
      <w:r>
        <w:rPr>
          <w:rStyle w:val="VerbatimChar"/>
        </w:rPr>
        <w:t>P190_a_pour_contenu_symbolique</w:t>
      </w:r>
      <w:r>
        <w:t xml:space="preserve"> : </w:t>
      </w:r>
      <w:r>
        <w:rPr>
          <w:rStyle w:val="VerbatimChar"/>
        </w:rPr>
        <w:t>E62_Chaîne_de_caractères</w:t>
      </w:r>
      <w:r>
        <w:t>. Sinon, ces contenus devraient être considérés comme une ressource numérique identifiable qui n’est disponible qu'indépendamment de la base de connaissances.</w:t>
      </w:r>
    </w:p>
    <w:p w14:paraId="591565DA" w14:textId="77777777" w:rsidR="0084489F" w:rsidRDefault="00110FE6">
      <w:pPr>
        <w:pStyle w:val="BodyText"/>
      </w:pPr>
      <w:r w:rsidRPr="1B9E7434">
        <w:rPr>
          <w:lang w:val="fr-FR"/>
        </w:rPr>
        <w:t xml:space="preserve">Dans d’autres cas, comme les pages d’un manuscrit enluminé ou des enregistrements de paroles dans un langage ayant aussi un système écrit, la part linguistique de l’instance de </w:t>
      </w:r>
      <w:r w:rsidRPr="1B9E7434">
        <w:rPr>
          <w:rStyle w:val="VerbatimChar"/>
          <w:lang w:val="fr-FR"/>
        </w:rPr>
        <w:t>E33_Objet_linguistique</w:t>
      </w:r>
      <w:r w:rsidRPr="1B9E7434">
        <w:rPr>
          <w:lang w:val="fr-FR"/>
        </w:rPr>
        <w:t xml:space="preserve"> peut être documentée dans une base de connaissances avec une note </w:t>
      </w:r>
      <w:r w:rsidRPr="1B9E7434">
        <w:rPr>
          <w:rStyle w:val="VerbatimChar"/>
          <w:lang w:val="fr-FR"/>
        </w:rPr>
        <w:t>P3_a_pour_note</w:t>
      </w:r>
      <w:r w:rsidRPr="1B9E7434">
        <w:rPr>
          <w:lang w:val="fr-FR"/>
        </w:rPr>
        <w:t xml:space="preserve"> : </w:t>
      </w:r>
      <w:r w:rsidRPr="1B9E7434">
        <w:rPr>
          <w:rStyle w:val="VerbatimChar"/>
          <w:lang w:val="fr-FR"/>
        </w:rPr>
        <w:t>E62_Chaîne_de_caractères</w:t>
      </w:r>
      <w:r w:rsidRPr="1B9E7434">
        <w:rPr>
          <w:lang w:val="fr-FR"/>
        </w:rPr>
        <w:t xml:space="preserve">. Sinon, ces contenus peuvent être décrits en utilisant la propriété </w:t>
      </w:r>
      <w:r w:rsidRPr="1B9E7434">
        <w:rPr>
          <w:rStyle w:val="VerbatimChar"/>
          <w:lang w:val="fr-FR"/>
        </w:rPr>
        <w:t>P165_inclut (est_inclus_dans)</w:t>
      </w:r>
      <w:r w:rsidRPr="1B9E7434">
        <w:rPr>
          <w:lang w:val="fr-FR"/>
        </w:rPr>
        <w:t xml:space="preserve"> : </w:t>
      </w:r>
      <w:r w:rsidRPr="1B9E7434">
        <w:rPr>
          <w:rStyle w:val="VerbatimChar"/>
          <w:lang w:val="fr-FR"/>
        </w:rPr>
        <w:t>E73_Objet_informationnel</w:t>
      </w:r>
      <w:r w:rsidRPr="1B9E7434">
        <w:rPr>
          <w:lang w:val="fr-FR"/>
        </w:rPr>
        <w:t>, lequel représente un objet différent doté de sa propre identité.</w:t>
      </w:r>
    </w:p>
    <w:p w14:paraId="24F14446" w14:textId="77777777" w:rsidR="0084489F" w:rsidRDefault="00110FE6">
      <w:pPr>
        <w:pStyle w:val="BodyText"/>
      </w:pPr>
      <w:r>
        <w:rPr>
          <w:b/>
          <w:bCs/>
        </w:rPr>
        <w:t>Exemples</w:t>
      </w:r>
    </w:p>
    <w:p w14:paraId="56D4F05E" w14:textId="1776092C" w:rsidR="0084489F" w:rsidRDefault="00110FE6" w:rsidP="00806324">
      <w:pPr>
        <w:numPr>
          <w:ilvl w:val="0"/>
          <w:numId w:val="85"/>
        </w:numPr>
      </w:pPr>
      <w:r w:rsidRPr="1B9E7434">
        <w:rPr>
          <w:lang w:val="fr-FR"/>
        </w:rPr>
        <w:t xml:space="preserve">Le texte du manuscrit </w:t>
      </w:r>
      <w:r w:rsidRPr="1B9E7434">
        <w:rPr>
          <w:i/>
          <w:iCs/>
          <w:lang w:val="fr-FR"/>
        </w:rPr>
        <w:t>Ellesmere</w:t>
      </w:r>
      <w:r w:rsidRPr="1B9E7434">
        <w:rPr>
          <w:lang w:val="fr-FR"/>
        </w:rPr>
        <w:t xml:space="preserve"> de Chaucer (Hilmo, 2019)</w:t>
      </w:r>
    </w:p>
    <w:p w14:paraId="4216362B" w14:textId="607C0069" w:rsidR="0084489F" w:rsidRDefault="00110FE6" w:rsidP="00806324">
      <w:pPr>
        <w:numPr>
          <w:ilvl w:val="0"/>
          <w:numId w:val="85"/>
        </w:numPr>
      </w:pPr>
      <w:r w:rsidRPr="1B9E7434">
        <w:rPr>
          <w:lang w:val="fr-FR"/>
        </w:rPr>
        <w:t xml:space="preserve">Les paroles de la chanson </w:t>
      </w:r>
      <w:r w:rsidRPr="1B9E7434">
        <w:rPr>
          <w:i/>
          <w:iCs/>
          <w:lang w:val="fr-FR"/>
        </w:rPr>
        <w:t>Blue Suede Shoes</w:t>
      </w:r>
      <w:r w:rsidRPr="1B9E7434">
        <w:rPr>
          <w:lang w:val="fr-FR"/>
        </w:rPr>
        <w:t xml:space="preserve"> (Cooper, 2008)</w:t>
      </w:r>
    </w:p>
    <w:p w14:paraId="6928D84D" w14:textId="4B55B959" w:rsidR="0084489F" w:rsidRDefault="00110FE6" w:rsidP="00806324">
      <w:pPr>
        <w:numPr>
          <w:ilvl w:val="0"/>
          <w:numId w:val="85"/>
        </w:numPr>
      </w:pPr>
      <w:r w:rsidRPr="1B9E7434">
        <w:rPr>
          <w:lang w:val="fr-FR"/>
        </w:rPr>
        <w:t xml:space="preserve">Le texte du </w:t>
      </w:r>
      <w:r w:rsidRPr="1B9E7434">
        <w:rPr>
          <w:i/>
          <w:iCs/>
          <w:lang w:val="fr-FR"/>
        </w:rPr>
        <w:t>Jabberwocky</w:t>
      </w:r>
      <w:r w:rsidRPr="1B9E7434">
        <w:rPr>
          <w:lang w:val="fr-FR"/>
        </w:rPr>
        <w:t xml:space="preserve"> de Lewis Carroll (Carroll, 1981)</w:t>
      </w:r>
    </w:p>
    <w:p w14:paraId="5EFEE327" w14:textId="2A422346" w:rsidR="0084489F" w:rsidRDefault="00110FE6" w:rsidP="00806324">
      <w:pPr>
        <w:numPr>
          <w:ilvl w:val="0"/>
          <w:numId w:val="85"/>
        </w:numPr>
      </w:pPr>
      <w:r w:rsidRPr="1B9E7434">
        <w:rPr>
          <w:lang w:val="fr-FR"/>
        </w:rPr>
        <w:lastRenderedPageBreak/>
        <w:t xml:space="preserve">Le texte du « Doktoro Jekyll kaj Sinjoro Hyde » [une traduction en esperanto de </w:t>
      </w:r>
      <w:r w:rsidRPr="1B9E7434">
        <w:rPr>
          <w:i/>
          <w:iCs/>
          <w:lang w:val="fr-FR"/>
        </w:rPr>
        <w:t>L'Étrange Cas du docteur Jekyll et de M. Hyde</w:t>
      </w:r>
      <w:r w:rsidRPr="1B9E7434">
        <w:rPr>
          <w:lang w:val="fr-FR"/>
        </w:rPr>
        <w:t xml:space="preserve"> (</w:t>
      </w:r>
      <w:r w:rsidRPr="1B9E7434">
        <w:rPr>
          <w:i/>
          <w:iCs/>
          <w:lang w:val="fr-FR"/>
        </w:rPr>
        <w:t>Dr Jekyll and Mr Hyde</w:t>
      </w:r>
      <w:r w:rsidRPr="1B9E7434">
        <w:rPr>
          <w:lang w:val="fr-FR"/>
        </w:rPr>
        <w:t>)] (Stevenson, Morrison &amp; Mann, 1909)</w:t>
      </w:r>
    </w:p>
    <w:p w14:paraId="735D3F8F" w14:textId="2DD1ED66" w:rsidR="0084489F" w:rsidRDefault="00110FE6" w:rsidP="00806324">
      <w:pPr>
        <w:numPr>
          <w:ilvl w:val="0"/>
          <w:numId w:val="85"/>
        </w:numPr>
      </w:pPr>
      <w:r w:rsidRPr="1B9E7434">
        <w:rPr>
          <w:lang w:val="fr-FR"/>
        </w:rPr>
        <w:t>La conversation, en dialecte local, enregistrée en 1958 dans le comté de Telemark en Norvège et enregistrée sur bande magnétique or.7-89.s1 (00.15:46-00:34), Collection des langues de la bibliothèque universitaire de Bergen, Norvège (vérifié en 2020)</w:t>
      </w:r>
    </w:p>
    <w:p w14:paraId="5B5C3C78" w14:textId="77777777" w:rsidR="0084489F" w:rsidRDefault="00110FE6">
      <w:pPr>
        <w:pStyle w:val="FirstParagraph"/>
      </w:pPr>
      <w:r>
        <w:rPr>
          <w:b/>
          <w:bCs/>
        </w:rPr>
        <w:t>Logique</w:t>
      </w:r>
    </w:p>
    <w:p w14:paraId="7C88BA9B" w14:textId="77777777" w:rsidR="0084489F" w:rsidRDefault="00110FE6">
      <w:pPr>
        <w:pStyle w:val="BodyText"/>
      </w:pPr>
      <w:r>
        <w:t>E33(x) ⇒ E73(x)</w:t>
      </w:r>
    </w:p>
    <w:p w14:paraId="246BC58B" w14:textId="77777777" w:rsidR="0084489F" w:rsidRDefault="00110FE6">
      <w:pPr>
        <w:pStyle w:val="BodyText"/>
      </w:pPr>
      <w:r>
        <w:rPr>
          <w:b/>
          <w:bCs/>
        </w:rPr>
        <w:t>Propriétés</w:t>
      </w:r>
    </w:p>
    <w:p w14:paraId="55863B70" w14:textId="77777777" w:rsidR="0084489F" w:rsidRDefault="00110FE6">
      <w:pPr>
        <w:pStyle w:val="BodyText"/>
      </w:pPr>
      <w:r w:rsidRPr="1B9E7434">
        <w:rPr>
          <w:rStyle w:val="VerbatimChar"/>
          <w:lang w:val="fr-FR"/>
        </w:rPr>
        <w:t>P72_a_pour_langue (est_la_langue_de)</w:t>
      </w:r>
      <w:r w:rsidRPr="1B9E7434">
        <w:rPr>
          <w:lang w:val="fr-FR"/>
        </w:rPr>
        <w:t xml:space="preserve"> : </w:t>
      </w:r>
      <w:r w:rsidRPr="1B9E7434">
        <w:rPr>
          <w:rStyle w:val="VerbatimChar"/>
          <w:lang w:val="fr-FR"/>
        </w:rPr>
        <w:t>E56_Langue</w:t>
      </w:r>
    </w:p>
    <w:p w14:paraId="19A31EA4" w14:textId="77777777" w:rsidR="0084489F" w:rsidRDefault="00110FE6">
      <w:pPr>
        <w:pStyle w:val="BodyText"/>
      </w:pPr>
      <w:r w:rsidRPr="1B9E7434">
        <w:rPr>
          <w:rStyle w:val="VerbatimChar"/>
          <w:lang w:val="fr-FR"/>
        </w:rPr>
        <w:t>P73_a_pour_traduction (est_traduction_de)</w:t>
      </w:r>
      <w:r w:rsidRPr="1B9E7434">
        <w:rPr>
          <w:lang w:val="fr-FR"/>
        </w:rPr>
        <w:t xml:space="preserve"> : </w:t>
      </w:r>
      <w:r w:rsidRPr="1B9E7434">
        <w:rPr>
          <w:rStyle w:val="VerbatimChar"/>
          <w:lang w:val="fr-FR"/>
        </w:rPr>
        <w:t>E33_Objet_linguistique</w:t>
      </w:r>
    </w:p>
    <w:p w14:paraId="21DB4316" w14:textId="77777777" w:rsidR="0084489F" w:rsidRDefault="00110FE6">
      <w:pPr>
        <w:pStyle w:val="BlockText"/>
      </w:pPr>
      <w:r>
        <w:rPr>
          <w:b/>
          <w:bCs/>
          <w:i/>
          <w:iCs/>
        </w:rPr>
        <w:t>Note de traduction</w:t>
      </w:r>
    </w:p>
    <w:p w14:paraId="73A95DBC" w14:textId="77777777" w:rsidR="0084489F" w:rsidRDefault="00110FE6">
      <w:pPr>
        <w:pStyle w:val="BlockText"/>
      </w:pPr>
      <w:r>
        <w:rPr>
          <w:b/>
          <w:bCs/>
          <w:i/>
          <w:iCs/>
        </w:rPr>
        <w:t>Références</w:t>
      </w:r>
    </w:p>
    <w:p w14:paraId="437DDEB9" w14:textId="77777777" w:rsidR="0084489F" w:rsidRDefault="0084489F">
      <w:pPr>
        <w:pStyle w:val="BlockText"/>
      </w:pPr>
    </w:p>
    <w:p w14:paraId="4ED62890" w14:textId="77777777" w:rsidR="0084489F" w:rsidRDefault="00110FE6">
      <w:pPr>
        <w:pStyle w:val="Heading2"/>
      </w:pPr>
      <w:bookmarkStart w:id="171" w:name="_Toc176864467"/>
      <w:bookmarkStart w:id="172" w:name="e34-inscription"/>
      <w:bookmarkEnd w:id="170"/>
      <w:r>
        <w:t>E34 Inscription</w:t>
      </w:r>
      <w:bookmarkEnd w:id="171"/>
    </w:p>
    <w:p w14:paraId="08DEEF7D" w14:textId="77777777" w:rsidR="0084489F" w:rsidRDefault="00110FE6">
      <w:pPr>
        <w:pStyle w:val="FirstParagraph"/>
      </w:pPr>
      <w:r>
        <w:rPr>
          <w:b/>
          <w:bCs/>
        </w:rPr>
        <w:t>Sous-classe de</w:t>
      </w:r>
    </w:p>
    <w:p w14:paraId="6B963359" w14:textId="77777777" w:rsidR="0084489F" w:rsidRDefault="00110FE6">
      <w:pPr>
        <w:pStyle w:val="BodyText"/>
      </w:pPr>
      <w:r>
        <w:rPr>
          <w:rStyle w:val="VerbatimChar"/>
        </w:rPr>
        <w:t>E33_Objet_linguistique</w:t>
      </w:r>
    </w:p>
    <w:p w14:paraId="7C3CCC39" w14:textId="77777777" w:rsidR="0084489F" w:rsidRDefault="00110FE6">
      <w:pPr>
        <w:pStyle w:val="BodyText"/>
      </w:pPr>
      <w:r>
        <w:rPr>
          <w:rStyle w:val="VerbatimChar"/>
        </w:rPr>
        <w:t>E37_Marque</w:t>
      </w:r>
    </w:p>
    <w:p w14:paraId="4373A051" w14:textId="77777777" w:rsidR="0084489F" w:rsidRDefault="00110FE6">
      <w:pPr>
        <w:pStyle w:val="BodyText"/>
      </w:pPr>
      <w:r>
        <w:rPr>
          <w:b/>
          <w:bCs/>
        </w:rPr>
        <w:t>Super-classe de</w:t>
      </w:r>
    </w:p>
    <w:p w14:paraId="45DA15C6" w14:textId="77777777" w:rsidR="0084489F" w:rsidRDefault="00110FE6">
      <w:pPr>
        <w:pStyle w:val="BodyText"/>
      </w:pPr>
      <w:r>
        <w:rPr>
          <w:b/>
          <w:bCs/>
        </w:rPr>
        <w:t>Note d’application</w:t>
      </w:r>
    </w:p>
    <w:p w14:paraId="5A82184E" w14:textId="77777777" w:rsidR="0084489F" w:rsidRDefault="00110FE6">
      <w:pPr>
        <w:pStyle w:val="BodyText"/>
      </w:pPr>
      <w:r>
        <w:t xml:space="preserve">Cette classe comprend des textes reconnaissables qui peuvent être rattachés à des instances de </w:t>
      </w:r>
      <w:r>
        <w:rPr>
          <w:rStyle w:val="VerbatimChar"/>
        </w:rPr>
        <w:t>E24_Chose_matérielle_élaborée_par_l’humain</w:t>
      </w:r>
      <w:r>
        <w:t>.</w:t>
      </w:r>
    </w:p>
    <w:p w14:paraId="4BEB5E33" w14:textId="77777777" w:rsidR="0084489F" w:rsidRDefault="00110FE6">
      <w:pPr>
        <w:pStyle w:val="BodyText"/>
      </w:pPr>
      <w:r w:rsidRPr="1B9E7434">
        <w:rPr>
          <w:lang w:val="fr-FR"/>
        </w:rPr>
        <w:t xml:space="preserve">La transcription du texte peut être documentée dans une note par </w:t>
      </w:r>
      <w:r w:rsidRPr="1B9E7434">
        <w:rPr>
          <w:rStyle w:val="VerbatimChar"/>
          <w:lang w:val="fr-FR"/>
        </w:rPr>
        <w:t>P3_a_pour_note</w:t>
      </w:r>
      <w:r w:rsidRPr="1B9E7434">
        <w:rPr>
          <w:lang w:val="fr-FR"/>
        </w:rPr>
        <w:t xml:space="preserve"> : </w:t>
      </w:r>
      <w:r w:rsidRPr="1B9E7434">
        <w:rPr>
          <w:rStyle w:val="VerbatimChar"/>
          <w:lang w:val="fr-FR"/>
        </w:rPr>
        <w:t>E62_Chaîne_de_caractères</w:t>
      </w:r>
      <w:r w:rsidRPr="1B9E7434">
        <w:rPr>
          <w:lang w:val="fr-FR"/>
        </w:rPr>
        <w:t xml:space="preserve">. L’alphabet utilisé peut être documenté par </w:t>
      </w:r>
      <w:r w:rsidRPr="1B9E7434">
        <w:rPr>
          <w:rStyle w:val="VerbatimChar"/>
          <w:lang w:val="fr-FR"/>
        </w:rPr>
        <w:t>P2_a_pour_type (est_le_type_de)</w:t>
      </w:r>
      <w:r w:rsidRPr="1B9E7434">
        <w:rPr>
          <w:lang w:val="fr-FR"/>
        </w:rPr>
        <w:t xml:space="preserve"> : </w:t>
      </w:r>
      <w:r w:rsidRPr="1B9E7434">
        <w:rPr>
          <w:rStyle w:val="VerbatimChar"/>
          <w:lang w:val="fr-FR"/>
        </w:rPr>
        <w:t>E55_Type</w:t>
      </w:r>
      <w:r w:rsidRPr="1B9E7434">
        <w:rPr>
          <w:lang w:val="fr-FR"/>
        </w:rPr>
        <w:t xml:space="preserve">. Cette classe n’a pas pour objectif de décrire les caractéristiques idiosyncratiques de l’incarnation physique d’une inscription, mais le prototype sous-jacent. L’incarnation physique est modélisée dans le CIDOC CRM par les instances de </w:t>
      </w:r>
      <w:r w:rsidRPr="1B9E7434">
        <w:rPr>
          <w:rStyle w:val="VerbatimChar"/>
          <w:lang w:val="fr-FR"/>
        </w:rPr>
        <w:t>E24_Chose_matérielle_élaborée_par_l’humain</w:t>
      </w:r>
      <w:r w:rsidRPr="1B9E7434">
        <w:rPr>
          <w:lang w:val="fr-FR"/>
        </w:rPr>
        <w:t>.</w:t>
      </w:r>
    </w:p>
    <w:p w14:paraId="1F8999A7" w14:textId="77777777" w:rsidR="0084489F" w:rsidRDefault="00110FE6">
      <w:pPr>
        <w:pStyle w:val="BodyText"/>
      </w:pPr>
      <w:r w:rsidRPr="1B9E7434">
        <w:rPr>
          <w:lang w:val="fr-FR"/>
        </w:rPr>
        <w:t xml:space="preserve">La relation entre un exemplaire physique et le texte qu’il contient est modélisée à l’aide de : </w:t>
      </w:r>
      <w:r w:rsidRPr="1B9E7434">
        <w:rPr>
          <w:rStyle w:val="VerbatimChar"/>
          <w:lang w:val="fr-FR"/>
        </w:rPr>
        <w:t>E18_Chose_matérielle</w:t>
      </w:r>
      <w:r w:rsidRPr="1B9E7434">
        <w:rPr>
          <w:lang w:val="fr-FR"/>
        </w:rPr>
        <w:t xml:space="preserve">. </w:t>
      </w:r>
      <w:r w:rsidRPr="1B9E7434">
        <w:rPr>
          <w:rStyle w:val="VerbatimChar"/>
          <w:lang w:val="fr-FR"/>
        </w:rPr>
        <w:t>P128_est_le_support_de (a_pour_support)</w:t>
      </w:r>
      <w:r w:rsidRPr="1B9E7434">
        <w:rPr>
          <w:lang w:val="fr-FR"/>
        </w:rPr>
        <w:t xml:space="preserve"> : </w:t>
      </w:r>
      <w:r w:rsidRPr="1B9E7434">
        <w:rPr>
          <w:rStyle w:val="VerbatimChar"/>
          <w:lang w:val="fr-FR"/>
        </w:rPr>
        <w:t>E33_Objet_linguistique</w:t>
      </w:r>
      <w:r w:rsidRPr="1B9E7434">
        <w:rPr>
          <w:lang w:val="fr-FR"/>
        </w:rPr>
        <w:t>.</w:t>
      </w:r>
    </w:p>
    <w:p w14:paraId="7CD86E4F" w14:textId="77777777" w:rsidR="0084489F" w:rsidRDefault="00110FE6">
      <w:pPr>
        <w:pStyle w:val="BodyText"/>
      </w:pPr>
      <w:r>
        <w:rPr>
          <w:b/>
          <w:bCs/>
        </w:rPr>
        <w:t>Exemples</w:t>
      </w:r>
    </w:p>
    <w:p w14:paraId="160CDA51" w14:textId="2B188A60" w:rsidR="0084489F" w:rsidRDefault="00110FE6" w:rsidP="00806324">
      <w:pPr>
        <w:numPr>
          <w:ilvl w:val="0"/>
          <w:numId w:val="86"/>
        </w:numPr>
      </w:pPr>
      <w:r w:rsidRPr="1B9E7434">
        <w:rPr>
          <w:lang w:val="fr-FR"/>
        </w:rPr>
        <w:t>« Défense de marcher sur la pelouse » [inscrit sur une enseigne piquée dans le quadrilatère de Balliol College à Oxford au Royaume-Uni]</w:t>
      </w:r>
    </w:p>
    <w:p w14:paraId="06201498" w14:textId="501CA7CA" w:rsidR="0084489F" w:rsidRDefault="00110FE6" w:rsidP="00806324">
      <w:pPr>
        <w:numPr>
          <w:ilvl w:val="0"/>
          <w:numId w:val="86"/>
        </w:numPr>
      </w:pPr>
      <w:r w:rsidRPr="1B9E7434">
        <w:rPr>
          <w:lang w:val="fr-FR"/>
        </w:rPr>
        <w:t>Le texte publié dans le Corpus Inscriptionum Latinarum V 895 (Mommsen, 1872)</w:t>
      </w:r>
    </w:p>
    <w:p w14:paraId="17C2C36B" w14:textId="26A64825" w:rsidR="0084489F" w:rsidRDefault="00110FE6" w:rsidP="00806324">
      <w:pPr>
        <w:numPr>
          <w:ilvl w:val="0"/>
          <w:numId w:val="86"/>
        </w:numPr>
      </w:pPr>
      <w:r w:rsidRPr="1B9E7434">
        <w:rPr>
          <w:lang w:val="fr-FR"/>
        </w:rPr>
        <w:t>« Kilroy was here »</w:t>
      </w:r>
    </w:p>
    <w:p w14:paraId="25CF9C31" w14:textId="77777777" w:rsidR="0084489F" w:rsidRDefault="00110FE6" w:rsidP="004454E2">
      <w:pPr>
        <w:pStyle w:val="FirstParagraph"/>
        <w:keepNext/>
        <w:keepLines/>
      </w:pPr>
      <w:r>
        <w:rPr>
          <w:b/>
          <w:bCs/>
        </w:rPr>
        <w:lastRenderedPageBreak/>
        <w:t>Logique</w:t>
      </w:r>
    </w:p>
    <w:p w14:paraId="28A7BFBF" w14:textId="77777777" w:rsidR="0084489F" w:rsidRDefault="00110FE6" w:rsidP="004454E2">
      <w:pPr>
        <w:pStyle w:val="BodyText"/>
        <w:keepNext/>
        <w:keepLines/>
      </w:pPr>
      <w:r>
        <w:t>E34(x) ⇒ E33(x)</w:t>
      </w:r>
    </w:p>
    <w:p w14:paraId="4673C1DA" w14:textId="77777777" w:rsidR="0084489F" w:rsidRDefault="00110FE6">
      <w:pPr>
        <w:pStyle w:val="BodyText"/>
      </w:pPr>
      <w:r>
        <w:t>E34(x) ⇒ E37(x)</w:t>
      </w:r>
    </w:p>
    <w:p w14:paraId="61E09C43" w14:textId="77777777" w:rsidR="0084489F" w:rsidRDefault="00110FE6">
      <w:pPr>
        <w:pStyle w:val="BodyText"/>
      </w:pPr>
      <w:r>
        <w:rPr>
          <w:b/>
          <w:bCs/>
        </w:rPr>
        <w:t>Propriétés</w:t>
      </w:r>
    </w:p>
    <w:p w14:paraId="00D7AEE7" w14:textId="77777777" w:rsidR="0084489F" w:rsidRDefault="00110FE6">
      <w:pPr>
        <w:pStyle w:val="BlockText"/>
      </w:pPr>
      <w:r>
        <w:rPr>
          <w:b/>
          <w:bCs/>
          <w:i/>
          <w:iCs/>
        </w:rPr>
        <w:t>Note de traduction</w:t>
      </w:r>
    </w:p>
    <w:p w14:paraId="6D5D915B" w14:textId="77777777" w:rsidR="0084489F" w:rsidRDefault="00110FE6">
      <w:pPr>
        <w:pStyle w:val="BlockText"/>
      </w:pPr>
      <w:r>
        <w:rPr>
          <w:b/>
          <w:bCs/>
          <w:i/>
          <w:iCs/>
        </w:rPr>
        <w:t>Références</w:t>
      </w:r>
    </w:p>
    <w:p w14:paraId="399E4E2A" w14:textId="77777777" w:rsidR="0084489F" w:rsidRDefault="0084489F">
      <w:pPr>
        <w:pStyle w:val="BlockText"/>
      </w:pPr>
    </w:p>
    <w:p w14:paraId="09297B40" w14:textId="77777777" w:rsidR="0084489F" w:rsidRDefault="00110FE6">
      <w:pPr>
        <w:pStyle w:val="Heading2"/>
      </w:pPr>
      <w:bookmarkStart w:id="173" w:name="_Toc176864468"/>
      <w:bookmarkStart w:id="174" w:name="e35-titre"/>
      <w:bookmarkEnd w:id="172"/>
      <w:r>
        <w:t>E35 Titre</w:t>
      </w:r>
      <w:bookmarkEnd w:id="173"/>
    </w:p>
    <w:p w14:paraId="1769FF7F" w14:textId="77777777" w:rsidR="0084489F" w:rsidRDefault="00110FE6">
      <w:pPr>
        <w:pStyle w:val="FirstParagraph"/>
      </w:pPr>
      <w:r>
        <w:rPr>
          <w:b/>
          <w:bCs/>
        </w:rPr>
        <w:t>Sous-classe de</w:t>
      </w:r>
    </w:p>
    <w:p w14:paraId="587B7C48" w14:textId="77777777" w:rsidR="0084489F" w:rsidRDefault="00110FE6">
      <w:pPr>
        <w:pStyle w:val="BodyText"/>
      </w:pPr>
      <w:r>
        <w:rPr>
          <w:rStyle w:val="VerbatimChar"/>
        </w:rPr>
        <w:t>E33_Objet_linguistique</w:t>
      </w:r>
    </w:p>
    <w:p w14:paraId="145BCB7F" w14:textId="77777777" w:rsidR="0084489F" w:rsidRDefault="00110FE6">
      <w:pPr>
        <w:pStyle w:val="BodyText"/>
      </w:pPr>
      <w:r>
        <w:rPr>
          <w:rStyle w:val="VerbatimChar"/>
        </w:rPr>
        <w:t>E41_Appellation</w:t>
      </w:r>
    </w:p>
    <w:p w14:paraId="209A8BD9" w14:textId="77777777" w:rsidR="0084489F" w:rsidRDefault="00110FE6">
      <w:pPr>
        <w:pStyle w:val="BodyText"/>
      </w:pPr>
      <w:r>
        <w:rPr>
          <w:b/>
          <w:bCs/>
        </w:rPr>
        <w:t>Super-classe de</w:t>
      </w:r>
    </w:p>
    <w:p w14:paraId="63F3CCF6" w14:textId="77777777" w:rsidR="0084489F" w:rsidRDefault="00110FE6">
      <w:pPr>
        <w:pStyle w:val="BodyText"/>
      </w:pPr>
      <w:r>
        <w:rPr>
          <w:b/>
          <w:bCs/>
        </w:rPr>
        <w:t>Note d’application</w:t>
      </w:r>
    </w:p>
    <w:p w14:paraId="1B0ADE00" w14:textId="77777777" w:rsidR="0084489F" w:rsidRDefault="00110FE6">
      <w:pPr>
        <w:pStyle w:val="BodyText"/>
      </w:pPr>
      <w:r>
        <w:t xml:space="preserve">Cette classe comprend les chaînes de caractères textuels qui, dans un contexte culturel, peuvent être clairement identifiées comme des titres en raison de leur forme. En tant que sous-classe de </w:t>
      </w:r>
      <w:r>
        <w:rPr>
          <w:rStyle w:val="VerbatimChar"/>
        </w:rPr>
        <w:t>E41_Appellation</w:t>
      </w:r>
      <w:r>
        <w:t xml:space="preserve">, la classe </w:t>
      </w:r>
      <w:r>
        <w:rPr>
          <w:rStyle w:val="VerbatimChar"/>
        </w:rPr>
        <w:t>E35_Titre</w:t>
      </w:r>
      <w:r>
        <w:t xml:space="preserve"> peut être utilisée uniquement lorsqu'une telle chaîne est réellement utilisée comme le titre d'une œuvre, comme dans le cas d'un texte, d'une œuvre d'art ou d'une pièce musicale.</w:t>
      </w:r>
    </w:p>
    <w:p w14:paraId="0AF3574E" w14:textId="77777777" w:rsidR="0084489F" w:rsidRDefault="00110FE6">
      <w:pPr>
        <w:pStyle w:val="BodyText"/>
      </w:pPr>
      <w:r w:rsidRPr="1B9E7434">
        <w:rPr>
          <w:lang w:val="fr-FR"/>
        </w:rPr>
        <w:t xml:space="preserve">Les titres sont des phrases nominales ou verbales; ils ne doivent pas être confondus avec les noms d'objets génériques, tels que « chaise », « peinture » ou « livre » (ces derniers sont des noms communs qui représentent des instances de </w:t>
      </w:r>
      <w:r w:rsidRPr="1B9E7434">
        <w:rPr>
          <w:rStyle w:val="VerbatimChar"/>
          <w:lang w:val="fr-FR"/>
        </w:rPr>
        <w:t>E55_Type</w:t>
      </w:r>
      <w:r w:rsidRPr="1B9E7434">
        <w:rPr>
          <w:lang w:val="fr-FR"/>
        </w:rPr>
        <w:t>). Les titres peuvent être attribués par la personne ayant créé l'œuvre ou par un groupe social.</w:t>
      </w:r>
    </w:p>
    <w:p w14:paraId="346912BE" w14:textId="77777777" w:rsidR="0084489F" w:rsidRDefault="00110FE6">
      <w:pPr>
        <w:pStyle w:val="BodyText"/>
      </w:pPr>
      <w:r>
        <w:t>Cette classe comprend également les traductions de titres, qui sont utilisées comme substituts des titres originaux dans différents contextes sociaux.</w:t>
      </w:r>
    </w:p>
    <w:p w14:paraId="3E00E0D6" w14:textId="77777777" w:rsidR="0084489F" w:rsidRDefault="00110FE6">
      <w:pPr>
        <w:pStyle w:val="BodyText"/>
      </w:pPr>
      <w:r>
        <w:rPr>
          <w:b/>
          <w:bCs/>
        </w:rPr>
        <w:t>Exemples</w:t>
      </w:r>
    </w:p>
    <w:p w14:paraId="42BE351A" w14:textId="196C2AE0" w:rsidR="0084489F" w:rsidRDefault="00110FE6" w:rsidP="00806324">
      <w:pPr>
        <w:numPr>
          <w:ilvl w:val="0"/>
          <w:numId w:val="87"/>
        </w:numPr>
      </w:pPr>
      <w:r w:rsidRPr="1B9E7434">
        <w:rPr>
          <w:i/>
          <w:iCs/>
          <w:lang w:val="fr-FR"/>
        </w:rPr>
        <w:t>Le marchand de Venise</w:t>
      </w:r>
      <w:r w:rsidRPr="1B9E7434">
        <w:rPr>
          <w:lang w:val="fr-FR"/>
        </w:rPr>
        <w:t xml:space="preserve"> (McCullough, 2005)</w:t>
      </w:r>
    </w:p>
    <w:p w14:paraId="16080B9A" w14:textId="0911CE45" w:rsidR="0084489F" w:rsidRDefault="00110FE6" w:rsidP="00806324">
      <w:pPr>
        <w:numPr>
          <w:ilvl w:val="0"/>
          <w:numId w:val="87"/>
        </w:numPr>
      </w:pPr>
      <w:r w:rsidRPr="1B9E7434">
        <w:rPr>
          <w:i/>
          <w:iCs/>
          <w:lang w:val="fr-FR"/>
        </w:rPr>
        <w:t>Monna Lisa</w:t>
      </w:r>
      <w:r w:rsidRPr="1B9E7434">
        <w:rPr>
          <w:lang w:val="fr-FR"/>
        </w:rPr>
        <w:t xml:space="preserve"> (Mohen, Menu &amp; Mottin, 2006)</w:t>
      </w:r>
    </w:p>
    <w:p w14:paraId="4DB1CEAA" w14:textId="6A016837" w:rsidR="0084489F" w:rsidRDefault="00110FE6" w:rsidP="00806324">
      <w:pPr>
        <w:numPr>
          <w:ilvl w:val="0"/>
          <w:numId w:val="87"/>
        </w:numPr>
      </w:pPr>
      <w:r w:rsidRPr="1B9E7434">
        <w:rPr>
          <w:i/>
          <w:iCs/>
          <w:lang w:val="fr-FR"/>
        </w:rPr>
        <w:t>La Pie</w:t>
      </w:r>
      <w:r w:rsidRPr="1B9E7434">
        <w:rPr>
          <w:lang w:val="fr-FR"/>
        </w:rPr>
        <w:t xml:space="preserve"> (Bortolatto, 1981)</w:t>
      </w:r>
    </w:p>
    <w:p w14:paraId="395220AE" w14:textId="77777777" w:rsidR="0084489F" w:rsidRPr="008C0D99" w:rsidRDefault="00110FE6" w:rsidP="00806324">
      <w:pPr>
        <w:numPr>
          <w:ilvl w:val="0"/>
          <w:numId w:val="87"/>
        </w:numPr>
        <w:rPr>
          <w:lang w:val="en-CA"/>
        </w:rPr>
      </w:pPr>
      <w:r w:rsidRPr="008C0D99">
        <w:rPr>
          <w:i/>
          <w:iCs/>
          <w:lang w:val="en-CA"/>
        </w:rPr>
        <w:t>Lucy in the Sky with Diamonds</w:t>
      </w:r>
      <w:r w:rsidRPr="008C0D99">
        <w:rPr>
          <w:lang w:val="en-CA"/>
        </w:rPr>
        <w:t xml:space="preserve"> (Lennon, 1967)</w:t>
      </w:r>
    </w:p>
    <w:p w14:paraId="1EBC93A5" w14:textId="77777777" w:rsidR="0084489F" w:rsidRDefault="00110FE6">
      <w:pPr>
        <w:pStyle w:val="FirstParagraph"/>
      </w:pPr>
      <w:r>
        <w:rPr>
          <w:b/>
          <w:bCs/>
        </w:rPr>
        <w:t>Logique</w:t>
      </w:r>
    </w:p>
    <w:p w14:paraId="4378F204" w14:textId="77777777" w:rsidR="0084489F" w:rsidRDefault="00110FE6">
      <w:pPr>
        <w:pStyle w:val="BodyText"/>
      </w:pPr>
      <w:r>
        <w:t>E35(x) ⇒ E33(x)</w:t>
      </w:r>
    </w:p>
    <w:p w14:paraId="11E94B76" w14:textId="77777777" w:rsidR="0084489F" w:rsidRDefault="00110FE6">
      <w:pPr>
        <w:pStyle w:val="BodyText"/>
      </w:pPr>
      <w:r>
        <w:t>E35(x) ⇒ E41(x)</w:t>
      </w:r>
    </w:p>
    <w:p w14:paraId="3E00B6B3" w14:textId="77777777" w:rsidR="0084489F" w:rsidRDefault="00110FE6">
      <w:pPr>
        <w:pStyle w:val="BodyText"/>
      </w:pPr>
      <w:r>
        <w:rPr>
          <w:b/>
          <w:bCs/>
        </w:rPr>
        <w:t>Propriétés</w:t>
      </w:r>
    </w:p>
    <w:p w14:paraId="3C6DB9C9" w14:textId="77777777" w:rsidR="0084489F" w:rsidRDefault="00110FE6">
      <w:pPr>
        <w:pStyle w:val="BlockText"/>
      </w:pPr>
      <w:r>
        <w:rPr>
          <w:b/>
          <w:bCs/>
          <w:i/>
          <w:iCs/>
        </w:rPr>
        <w:t>Note de traduction</w:t>
      </w:r>
    </w:p>
    <w:p w14:paraId="587D15CE" w14:textId="77777777" w:rsidR="0084489F" w:rsidRDefault="00110FE6">
      <w:pPr>
        <w:pStyle w:val="BlockText"/>
      </w:pPr>
      <w:r>
        <w:rPr>
          <w:b/>
          <w:bCs/>
          <w:i/>
          <w:iCs/>
        </w:rPr>
        <w:t>Références</w:t>
      </w:r>
    </w:p>
    <w:p w14:paraId="51BA6C1B" w14:textId="77777777" w:rsidR="0084489F" w:rsidRDefault="0084489F">
      <w:pPr>
        <w:pStyle w:val="BlockText"/>
      </w:pPr>
    </w:p>
    <w:p w14:paraId="77D233B4" w14:textId="77777777" w:rsidR="0084489F" w:rsidRDefault="00110FE6">
      <w:pPr>
        <w:pStyle w:val="Heading2"/>
      </w:pPr>
      <w:bookmarkStart w:id="175" w:name="_Toc176864469"/>
      <w:bookmarkStart w:id="176" w:name="e36-entite-visuelle"/>
      <w:bookmarkEnd w:id="174"/>
      <w:r>
        <w:t>E36 Entité visuelle</w:t>
      </w:r>
      <w:bookmarkEnd w:id="175"/>
    </w:p>
    <w:p w14:paraId="56166FCF" w14:textId="77777777" w:rsidR="0084489F" w:rsidRDefault="00110FE6">
      <w:pPr>
        <w:pStyle w:val="FirstParagraph"/>
      </w:pPr>
      <w:r>
        <w:rPr>
          <w:b/>
          <w:bCs/>
        </w:rPr>
        <w:t>Sous-classe de</w:t>
      </w:r>
    </w:p>
    <w:p w14:paraId="35CC35EF" w14:textId="77777777" w:rsidR="0084489F" w:rsidRDefault="00110FE6">
      <w:pPr>
        <w:pStyle w:val="BodyText"/>
      </w:pPr>
      <w:r>
        <w:rPr>
          <w:rStyle w:val="VerbatimChar"/>
        </w:rPr>
        <w:t>E73_Objet_informationnel</w:t>
      </w:r>
    </w:p>
    <w:p w14:paraId="763DF494" w14:textId="77777777" w:rsidR="0084489F" w:rsidRDefault="00110FE6">
      <w:pPr>
        <w:pStyle w:val="BodyText"/>
      </w:pPr>
      <w:r>
        <w:rPr>
          <w:b/>
          <w:bCs/>
        </w:rPr>
        <w:t>Super-classe de</w:t>
      </w:r>
    </w:p>
    <w:p w14:paraId="41DCBB0A" w14:textId="77777777" w:rsidR="0084489F" w:rsidRDefault="00110FE6">
      <w:pPr>
        <w:pStyle w:val="BodyText"/>
      </w:pPr>
      <w:r>
        <w:rPr>
          <w:rStyle w:val="VerbatimChar"/>
        </w:rPr>
        <w:t>E37_Marque</w:t>
      </w:r>
    </w:p>
    <w:p w14:paraId="4C00506A" w14:textId="77777777" w:rsidR="0084489F" w:rsidRDefault="00110FE6">
      <w:pPr>
        <w:pStyle w:val="BodyText"/>
      </w:pPr>
      <w:r>
        <w:rPr>
          <w:b/>
          <w:bCs/>
        </w:rPr>
        <w:t>Note d’application</w:t>
      </w:r>
    </w:p>
    <w:p w14:paraId="4319CDEC" w14:textId="77777777" w:rsidR="0084489F" w:rsidRDefault="00110FE6">
      <w:pPr>
        <w:pStyle w:val="BodyText"/>
      </w:pPr>
      <w:r>
        <w:t>Cette classe comprend les aspects intellectuels ou conceptuels des marques et images.</w:t>
      </w:r>
    </w:p>
    <w:p w14:paraId="4FFDA14A" w14:textId="77777777" w:rsidR="0084489F" w:rsidRDefault="00110FE6">
      <w:pPr>
        <w:pStyle w:val="BodyText"/>
      </w:pPr>
      <w:r>
        <w:t>Cette classe n’a pas pour objectif de décrire les caractéristiques idiosyncratiques d’une incarnation physique individuelle d’une entité visuelle, mais le prototype qui lui est sous-jacent. Par exemple, une marque telle que le logo de l’ICOM est généralement considérée comme un seul et même logo même lorsque cette marque est utilisée dans plusieurs publications différentes. La taille, l’orientation et la couleur peuvent changer, mais le logo demeure uniquement identifiable. Il en est de même pour les images reproduites plusieurs fois. Cela signifie que les entités visuelles sont indépendantes de leur support physique.</w:t>
      </w:r>
    </w:p>
    <w:p w14:paraId="50216375" w14:textId="77777777" w:rsidR="0084489F" w:rsidRDefault="00110FE6">
      <w:pPr>
        <w:pStyle w:val="BodyText"/>
      </w:pPr>
      <w:r w:rsidRPr="1B9E7434">
        <w:rPr>
          <w:lang w:val="fr-FR"/>
        </w:rPr>
        <w:t xml:space="preserve">La classe </w:t>
      </w:r>
      <w:r w:rsidRPr="1B9E7434">
        <w:rPr>
          <w:rStyle w:val="VerbatimChar"/>
          <w:lang w:val="fr-FR"/>
        </w:rPr>
        <w:t>E36_Entité_visuelle</w:t>
      </w:r>
      <w:r w:rsidRPr="1B9E7434">
        <w:rPr>
          <w:lang w:val="fr-FR"/>
        </w:rPr>
        <w:t xml:space="preserve"> fournit un moyen d’identifier et de relier entre elles des instances de </w:t>
      </w:r>
      <w:r w:rsidRPr="1B9E7434">
        <w:rPr>
          <w:rStyle w:val="VerbatimChar"/>
          <w:lang w:val="fr-FR"/>
        </w:rPr>
        <w:t>E24_Chose_matérielle_élaborée_par_l’humain</w:t>
      </w:r>
      <w:r w:rsidRPr="1B9E7434">
        <w:rPr>
          <w:lang w:val="fr-FR"/>
        </w:rPr>
        <w:t xml:space="preserve"> qui portent les mêmes visuels (symboles, marques ou images, etc.). La propriété </w:t>
      </w:r>
      <w:r w:rsidRPr="1B9E7434">
        <w:rPr>
          <w:rStyle w:val="VerbatimChar"/>
          <w:lang w:val="fr-FR"/>
        </w:rPr>
        <w:t>P62_illustre (est_illustré_par)</w:t>
      </w:r>
      <w:r w:rsidRPr="1B9E7434">
        <w:rPr>
          <w:lang w:val="fr-FR"/>
        </w:rPr>
        <w:t xml:space="preserve"> entre une instance de </w:t>
      </w:r>
      <w:r w:rsidRPr="1B9E7434">
        <w:rPr>
          <w:rStyle w:val="VerbatimChar"/>
          <w:lang w:val="fr-FR"/>
        </w:rPr>
        <w:t>E24_Chose_matérielle_élaborée_par_l’humain</w:t>
      </w:r>
      <w:r w:rsidRPr="1B9E7434">
        <w:rPr>
          <w:lang w:val="fr-FR"/>
        </w:rPr>
        <w:t xml:space="preserve"> et les sujets représentés (</w:t>
      </w:r>
      <w:r w:rsidRPr="1B9E7434">
        <w:rPr>
          <w:rStyle w:val="VerbatimChar"/>
          <w:lang w:val="fr-FR"/>
        </w:rPr>
        <w:t>E1_Entité_CRM</w:t>
      </w:r>
      <w:r w:rsidRPr="1B9E7434">
        <w:rPr>
          <w:lang w:val="fr-FR"/>
        </w:rPr>
        <w:t xml:space="preserve">) peut être considérée comme un raccourci du chemin sémantique suivant : </w:t>
      </w:r>
      <w:r w:rsidRPr="1B9E7434">
        <w:rPr>
          <w:rStyle w:val="VerbatimChar"/>
          <w:lang w:val="fr-FR"/>
        </w:rPr>
        <w:t>E24_Chose_matérielle_élaborée_par_l’humain</w:t>
      </w:r>
      <w:r w:rsidRPr="1B9E7434">
        <w:rPr>
          <w:lang w:val="fr-FR"/>
        </w:rPr>
        <w:t xml:space="preserve">, </w:t>
      </w:r>
      <w:r w:rsidRPr="1B9E7434">
        <w:rPr>
          <w:rStyle w:val="VerbatimChar"/>
          <w:lang w:val="fr-FR"/>
        </w:rPr>
        <w:t>P65_représente_l’entité_visuelle (est_représenté_par)</w:t>
      </w:r>
      <w:r w:rsidRPr="1B9E7434">
        <w:rPr>
          <w:lang w:val="fr-FR"/>
        </w:rPr>
        <w:t xml:space="preserve">, </w:t>
      </w:r>
      <w:r w:rsidRPr="1B9E7434">
        <w:rPr>
          <w:rStyle w:val="VerbatimChar"/>
          <w:lang w:val="fr-FR"/>
        </w:rPr>
        <w:t>E36_Entité_visuelle</w:t>
      </w:r>
      <w:r w:rsidRPr="1B9E7434">
        <w:rPr>
          <w:lang w:val="fr-FR"/>
        </w:rPr>
        <w:t xml:space="preserve">, </w:t>
      </w:r>
      <w:r w:rsidRPr="1B9E7434">
        <w:rPr>
          <w:rStyle w:val="VerbatimChar"/>
          <w:lang w:val="fr-FR"/>
        </w:rPr>
        <w:t>P138_représente (est_représenté_par)</w:t>
      </w:r>
      <w:r w:rsidRPr="1B9E7434">
        <w:rPr>
          <w:lang w:val="fr-FR"/>
        </w:rPr>
        <w:t xml:space="preserve">, </w:t>
      </w:r>
      <w:r w:rsidRPr="1B9E7434">
        <w:rPr>
          <w:rStyle w:val="VerbatimChar"/>
          <w:lang w:val="fr-FR"/>
        </w:rPr>
        <w:t>E1_Entité_CRM</w:t>
      </w:r>
      <w:r w:rsidRPr="1B9E7434">
        <w:rPr>
          <w:lang w:val="fr-FR"/>
        </w:rPr>
        <w:t>. [Ce chemin sémantique développé] permet de saisir les caractéristiques optiques de la représentation, [ce que le raccourci ne permet pas].</w:t>
      </w:r>
    </w:p>
    <w:p w14:paraId="2BF15599" w14:textId="77777777" w:rsidR="0084489F" w:rsidRDefault="00110FE6">
      <w:pPr>
        <w:pStyle w:val="BodyText"/>
      </w:pPr>
      <w:r>
        <w:rPr>
          <w:b/>
          <w:bCs/>
        </w:rPr>
        <w:t>Exemples</w:t>
      </w:r>
    </w:p>
    <w:p w14:paraId="646D9D1B" w14:textId="2875920C" w:rsidR="0084489F" w:rsidRDefault="00110FE6" w:rsidP="00806324">
      <w:pPr>
        <w:numPr>
          <w:ilvl w:val="0"/>
          <w:numId w:val="88"/>
        </w:numPr>
      </w:pPr>
      <w:r w:rsidRPr="1B9E7434">
        <w:rPr>
          <w:lang w:val="fr-FR"/>
        </w:rPr>
        <w:t xml:space="preserve">L’apparence visuelle de </w:t>
      </w:r>
      <w:r w:rsidRPr="1B9E7434">
        <w:rPr>
          <w:i/>
          <w:iCs/>
          <w:lang w:val="fr-FR"/>
        </w:rPr>
        <w:t>La Pie</w:t>
      </w:r>
      <w:r w:rsidRPr="1B9E7434">
        <w:rPr>
          <w:lang w:val="fr-FR"/>
        </w:rPr>
        <w:t xml:space="preserve"> de Monet (Bortolatto, 1981)</w:t>
      </w:r>
    </w:p>
    <w:p w14:paraId="5C30FC6F" w14:textId="77777777" w:rsidR="0084489F" w:rsidRDefault="00110FE6" w:rsidP="00806324">
      <w:pPr>
        <w:numPr>
          <w:ilvl w:val="0"/>
          <w:numId w:val="88"/>
        </w:numPr>
      </w:pPr>
      <w:r>
        <w:t>Le logo de Coca-Cola (</w:t>
      </w:r>
      <w:r>
        <w:rPr>
          <w:rStyle w:val="VerbatimChar"/>
        </w:rPr>
        <w:t>E34_Inscription</w:t>
      </w:r>
      <w:r>
        <w:t>)</w:t>
      </w:r>
    </w:p>
    <w:p w14:paraId="5E51102E" w14:textId="77777777" w:rsidR="0084489F" w:rsidRDefault="00110FE6" w:rsidP="00806324">
      <w:pPr>
        <w:numPr>
          <w:ilvl w:val="0"/>
          <w:numId w:val="88"/>
        </w:numPr>
      </w:pPr>
      <w:r>
        <w:t>Le Chrisme constantinien (Chi-Rhô) (</w:t>
      </w:r>
      <w:r>
        <w:rPr>
          <w:rStyle w:val="VerbatimChar"/>
        </w:rPr>
        <w:t>E37_Marque</w:t>
      </w:r>
      <w:r>
        <w:t>)</w:t>
      </w:r>
    </w:p>
    <w:p w14:paraId="66E69717" w14:textId="77777777" w:rsidR="0084489F" w:rsidRDefault="00110FE6" w:rsidP="00806324">
      <w:pPr>
        <w:numPr>
          <w:ilvl w:val="0"/>
          <w:numId w:val="88"/>
        </w:numPr>
      </w:pPr>
      <w:r>
        <w:t>L’étoile rouge communiste (</w:t>
      </w:r>
      <w:r>
        <w:rPr>
          <w:rStyle w:val="VerbatimChar"/>
        </w:rPr>
        <w:t>E37_Marque</w:t>
      </w:r>
      <w:r>
        <w:t>)</w:t>
      </w:r>
    </w:p>
    <w:p w14:paraId="373F3A27" w14:textId="77777777" w:rsidR="0084489F" w:rsidRDefault="00110FE6" w:rsidP="00806324">
      <w:pPr>
        <w:numPr>
          <w:ilvl w:val="0"/>
          <w:numId w:val="88"/>
        </w:numPr>
      </w:pPr>
      <w:r>
        <w:t xml:space="preserve">La forme de la surface de la statue </w:t>
      </w:r>
      <w:r>
        <w:rPr>
          <w:i/>
          <w:iCs/>
        </w:rPr>
        <w:t>Le Penseur</w:t>
      </w:r>
      <w:r>
        <w:t xml:space="preserve"> d'Auguste Rodin [il en existe plus de 20 épreuves et même de tailles différentes. Il s'agit alors d'un bon exemple que ce n'est que la forme commune de la surface, une entité visuelle immatérielle, qui justifie d'exposer ces copies comme des œuvres d'Auguste Rodin. Comme il était courant à l'époque, Rodin lui-même n'a pas produit la statue de bronze, mais seulement le prototype.]</w:t>
      </w:r>
    </w:p>
    <w:p w14:paraId="0FA6BA1F" w14:textId="77777777" w:rsidR="0084489F" w:rsidRDefault="00110FE6">
      <w:pPr>
        <w:pStyle w:val="FirstParagraph"/>
      </w:pPr>
      <w:r>
        <w:rPr>
          <w:b/>
          <w:bCs/>
        </w:rPr>
        <w:t>Logique</w:t>
      </w:r>
    </w:p>
    <w:p w14:paraId="0A3EE379" w14:textId="77777777" w:rsidR="0084489F" w:rsidRDefault="00110FE6">
      <w:pPr>
        <w:pStyle w:val="BodyText"/>
      </w:pPr>
      <w:r>
        <w:t>E36(x) ⇒ E73(x)</w:t>
      </w:r>
    </w:p>
    <w:p w14:paraId="29A952E1" w14:textId="77777777" w:rsidR="0084489F" w:rsidRDefault="00110FE6" w:rsidP="004454E2">
      <w:pPr>
        <w:pStyle w:val="BodyText"/>
        <w:keepNext/>
      </w:pPr>
      <w:r>
        <w:rPr>
          <w:b/>
          <w:bCs/>
        </w:rPr>
        <w:lastRenderedPageBreak/>
        <w:t>Propriétés</w:t>
      </w:r>
    </w:p>
    <w:p w14:paraId="5FDD44DF" w14:textId="77777777" w:rsidR="0084489F" w:rsidRDefault="00110FE6" w:rsidP="004454E2">
      <w:pPr>
        <w:pStyle w:val="BodyText"/>
        <w:keepNext/>
      </w:pPr>
      <w:r w:rsidRPr="1B9E7434">
        <w:rPr>
          <w:rStyle w:val="VerbatimChar"/>
          <w:lang w:val="fr-FR"/>
        </w:rPr>
        <w:t>P138_représente (est_représenté_par)</w:t>
      </w:r>
      <w:r w:rsidRPr="1B9E7434">
        <w:rPr>
          <w:lang w:val="fr-FR"/>
        </w:rPr>
        <w:t xml:space="preserve"> : </w:t>
      </w:r>
      <w:r w:rsidRPr="1B9E7434">
        <w:rPr>
          <w:rStyle w:val="VerbatimChar"/>
          <w:lang w:val="fr-FR"/>
        </w:rPr>
        <w:t>E1_Entité_CRM</w:t>
      </w:r>
      <w:r w:rsidRPr="1B9E7434">
        <w:rPr>
          <w:lang w:val="fr-FR"/>
        </w:rPr>
        <w:t xml:space="preserve"> (</w:t>
      </w:r>
      <w:r w:rsidRPr="1B9E7434">
        <w:rPr>
          <w:rStyle w:val="VerbatimChar"/>
          <w:lang w:val="fr-FR"/>
        </w:rPr>
        <w:t>P138.1_mode_de_représentation</w:t>
      </w:r>
      <w:r w:rsidRPr="1B9E7434">
        <w:rPr>
          <w:lang w:val="fr-FR"/>
        </w:rPr>
        <w:t xml:space="preserve"> : </w:t>
      </w:r>
      <w:r w:rsidRPr="1B9E7434">
        <w:rPr>
          <w:rStyle w:val="VerbatimChar"/>
          <w:lang w:val="fr-FR"/>
        </w:rPr>
        <w:t>E55_Type</w:t>
      </w:r>
      <w:r w:rsidRPr="1B9E7434">
        <w:rPr>
          <w:lang w:val="fr-FR"/>
        </w:rPr>
        <w:t>)</w:t>
      </w:r>
    </w:p>
    <w:p w14:paraId="46A815A0" w14:textId="77777777" w:rsidR="0084489F" w:rsidRDefault="00110FE6">
      <w:pPr>
        <w:pStyle w:val="BlockText"/>
      </w:pPr>
      <w:r>
        <w:rPr>
          <w:b/>
          <w:bCs/>
          <w:i/>
          <w:iCs/>
        </w:rPr>
        <w:t>Note de traduction</w:t>
      </w:r>
    </w:p>
    <w:p w14:paraId="39526335" w14:textId="77777777" w:rsidR="0084489F" w:rsidRDefault="00110FE6">
      <w:pPr>
        <w:pStyle w:val="BlockText"/>
      </w:pPr>
      <w:r>
        <w:t>Selon Wikipédia, le Chi-Rho (Chi-Rhô) est un chrisme particulier composé des lettres grecques X (chi) et P (rhô) qui est connu sous le nom de Chrisme constantinien. À ce titre, il a été décidé de faire référence à ce symbole en utilisant le terme français reconnu, mais aussi d’indiquer les lettres grecques formant celui-ci.</w:t>
      </w:r>
    </w:p>
    <w:p w14:paraId="28B4B80E" w14:textId="77777777" w:rsidR="0084489F" w:rsidRDefault="00110FE6">
      <w:pPr>
        <w:pStyle w:val="BlockText"/>
      </w:pPr>
      <w:r>
        <w:rPr>
          <w:b/>
          <w:bCs/>
          <w:i/>
          <w:iCs/>
        </w:rPr>
        <w:t>Références</w:t>
      </w:r>
    </w:p>
    <w:p w14:paraId="3805B5B9" w14:textId="77777777" w:rsidR="0084489F" w:rsidRDefault="00110FE6">
      <w:pPr>
        <w:pStyle w:val="BlockText"/>
      </w:pPr>
      <w:r>
        <w:t xml:space="preserve">Wikipédia. « Chrisme ». Dans </w:t>
      </w:r>
      <w:r>
        <w:rPr>
          <w:i/>
          <w:iCs/>
        </w:rPr>
        <w:t>Wikipédia</w:t>
      </w:r>
      <w:r>
        <w:t xml:space="preserve">. </w:t>
      </w:r>
      <w:r w:rsidRPr="008C0D99">
        <w:rPr>
          <w:lang w:val="en-CA"/>
        </w:rPr>
        <w:t>San Francisco, US-CA: Wikipédia, 30 juin 2021.</w:t>
      </w:r>
      <w:hyperlink r:id="rId201">
        <w:r w:rsidRPr="008C0D99">
          <w:rPr>
            <w:rStyle w:val="Hyperlink"/>
            <w:lang w:val="en-CA"/>
          </w:rPr>
          <w:t xml:space="preserve"> </w:t>
        </w:r>
      </w:hyperlink>
      <w:hyperlink r:id="rId202">
        <w:r>
          <w:rPr>
            <w:rStyle w:val="Hyperlink"/>
          </w:rPr>
          <w:t>https://fr.wikipedia.org/w/index.php?title=Chrisme&amp;oldid=184249375</w:t>
        </w:r>
      </w:hyperlink>
      <w:r>
        <w:t>.</w:t>
      </w:r>
    </w:p>
    <w:p w14:paraId="37F812CF" w14:textId="77777777" w:rsidR="004454E2" w:rsidRPr="004454E2" w:rsidRDefault="004454E2" w:rsidP="004454E2">
      <w:pPr>
        <w:pStyle w:val="BodyText"/>
      </w:pPr>
    </w:p>
    <w:p w14:paraId="4E193C5E" w14:textId="77777777" w:rsidR="0084489F" w:rsidRDefault="00110FE6">
      <w:pPr>
        <w:pStyle w:val="Heading2"/>
      </w:pPr>
      <w:bookmarkStart w:id="177" w:name="_Toc176864470"/>
      <w:bookmarkStart w:id="178" w:name="e37-marque"/>
      <w:bookmarkEnd w:id="176"/>
      <w:r>
        <w:t>E37 Marque</w:t>
      </w:r>
      <w:bookmarkEnd w:id="177"/>
    </w:p>
    <w:p w14:paraId="392DCAE6" w14:textId="77777777" w:rsidR="0084489F" w:rsidRDefault="00110FE6">
      <w:pPr>
        <w:pStyle w:val="FirstParagraph"/>
      </w:pPr>
      <w:r>
        <w:rPr>
          <w:b/>
          <w:bCs/>
        </w:rPr>
        <w:t>Sous-classe de</w:t>
      </w:r>
    </w:p>
    <w:p w14:paraId="2CCDB0D9" w14:textId="77777777" w:rsidR="0084489F" w:rsidRDefault="00110FE6">
      <w:pPr>
        <w:pStyle w:val="BodyText"/>
      </w:pPr>
      <w:r>
        <w:rPr>
          <w:rStyle w:val="VerbatimChar"/>
        </w:rPr>
        <w:t>E36_Entité_visuelle</w:t>
      </w:r>
    </w:p>
    <w:p w14:paraId="6A063FC2" w14:textId="77777777" w:rsidR="0084489F" w:rsidRDefault="00110FE6">
      <w:pPr>
        <w:pStyle w:val="BodyText"/>
      </w:pPr>
      <w:r>
        <w:rPr>
          <w:b/>
          <w:bCs/>
        </w:rPr>
        <w:t>Super-classe de</w:t>
      </w:r>
    </w:p>
    <w:p w14:paraId="0CC8E7E5" w14:textId="77777777" w:rsidR="0084489F" w:rsidRDefault="00110FE6">
      <w:pPr>
        <w:pStyle w:val="BodyText"/>
      </w:pPr>
      <w:r>
        <w:rPr>
          <w:rStyle w:val="VerbatimChar"/>
        </w:rPr>
        <w:t>E34_Inscription</w:t>
      </w:r>
    </w:p>
    <w:p w14:paraId="1274FDAF" w14:textId="77777777" w:rsidR="0084489F" w:rsidRDefault="00110FE6">
      <w:pPr>
        <w:pStyle w:val="BodyText"/>
      </w:pPr>
      <w:r>
        <w:rPr>
          <w:b/>
          <w:bCs/>
        </w:rPr>
        <w:t>Note d’application</w:t>
      </w:r>
    </w:p>
    <w:p w14:paraId="2D34CC9C" w14:textId="77777777" w:rsidR="0084489F" w:rsidRDefault="00110FE6">
      <w:pPr>
        <w:pStyle w:val="BodyText"/>
      </w:pPr>
      <w:r>
        <w:t xml:space="preserve">Cette classe comprend les symboles, signes, signatures ou courts textes appliqués par des techniques arbitraires à des instances de </w:t>
      </w:r>
      <w:r>
        <w:rPr>
          <w:rStyle w:val="VerbatimChar"/>
        </w:rPr>
        <w:t>E24_Chose_matérielle_élaborée_par_l’humain</w:t>
      </w:r>
      <w:r>
        <w:t xml:space="preserve">, souvent pour indiquer des choses telles que le créateur, le propriétaire, des dédicaces, le but ou pour communiquer des informations en général. Les instances de </w:t>
      </w:r>
      <w:r>
        <w:rPr>
          <w:rStyle w:val="VerbatimChar"/>
        </w:rPr>
        <w:t>E37_Marque</w:t>
      </w:r>
      <w:r>
        <w:t xml:space="preserve"> ne représentent pas l’image réelle d’une marque, mais son idéal abstrait (ou archétype) tel qu’il est utilisé pour la codification dans les documents de référence constituant la documentation culturelle.</w:t>
      </w:r>
    </w:p>
    <w:p w14:paraId="5D9A52B0" w14:textId="77777777" w:rsidR="0084489F" w:rsidRDefault="00110FE6">
      <w:pPr>
        <w:pStyle w:val="BodyText"/>
      </w:pPr>
      <w:r>
        <w:t xml:space="preserve">Cette classe exclut de manière spécifique les caractéristiques qui n’ont pas de signification sémantique, telles que des éraflures ou des marques d’outil. Celles-ci doivent être documentées comme des instances de </w:t>
      </w:r>
      <w:r>
        <w:rPr>
          <w:rStyle w:val="VerbatimChar"/>
        </w:rPr>
        <w:t>E25_Caractéristique_élaborée_par_l’humain</w:t>
      </w:r>
      <w:r>
        <w:t>.</w:t>
      </w:r>
    </w:p>
    <w:p w14:paraId="046317DC" w14:textId="77777777" w:rsidR="0084489F" w:rsidRDefault="00110FE6">
      <w:pPr>
        <w:pStyle w:val="BodyText"/>
      </w:pPr>
      <w:r>
        <w:rPr>
          <w:b/>
          <w:bCs/>
        </w:rPr>
        <w:t>Exemples</w:t>
      </w:r>
    </w:p>
    <w:p w14:paraId="6897184E" w14:textId="60458434" w:rsidR="0084489F" w:rsidRDefault="00110FE6" w:rsidP="00806324">
      <w:pPr>
        <w:numPr>
          <w:ilvl w:val="0"/>
          <w:numId w:val="89"/>
        </w:numPr>
      </w:pPr>
      <w:r w:rsidRPr="1B9E7434">
        <w:rPr>
          <w:lang w:val="fr-FR"/>
        </w:rPr>
        <w:t>Symbole de la double hache minœnne (Lowe Fri, 2011)</w:t>
      </w:r>
    </w:p>
    <w:p w14:paraId="078C49D2" w14:textId="77777777" w:rsidR="0084489F" w:rsidRDefault="00110FE6" w:rsidP="00806324">
      <w:pPr>
        <w:numPr>
          <w:ilvl w:val="0"/>
          <w:numId w:val="89"/>
        </w:numPr>
      </w:pPr>
      <w:r>
        <w:t>©</w:t>
      </w:r>
    </w:p>
    <w:p w14:paraId="2BF8BCD4" w14:textId="77777777" w:rsidR="0084489F" w:rsidRDefault="00110FE6" w:rsidP="00806324">
      <w:pPr>
        <w:numPr>
          <w:ilvl w:val="0"/>
          <w:numId w:val="89"/>
        </w:numPr>
      </w:pPr>
      <w:r>
        <w:t>☺</w:t>
      </w:r>
    </w:p>
    <w:p w14:paraId="0070EC0F" w14:textId="77777777" w:rsidR="0084489F" w:rsidRDefault="00110FE6">
      <w:pPr>
        <w:pStyle w:val="FirstParagraph"/>
      </w:pPr>
      <w:r>
        <w:rPr>
          <w:b/>
          <w:bCs/>
        </w:rPr>
        <w:t>Logique</w:t>
      </w:r>
    </w:p>
    <w:p w14:paraId="071CA32A" w14:textId="77777777" w:rsidR="0084489F" w:rsidRDefault="00110FE6">
      <w:pPr>
        <w:pStyle w:val="BodyText"/>
      </w:pPr>
      <w:r>
        <w:t>E37(x) ⇒ E36(x)</w:t>
      </w:r>
    </w:p>
    <w:p w14:paraId="70AC4012" w14:textId="77777777" w:rsidR="0084489F" w:rsidRDefault="00110FE6">
      <w:pPr>
        <w:pStyle w:val="BodyText"/>
      </w:pPr>
      <w:r>
        <w:rPr>
          <w:b/>
          <w:bCs/>
        </w:rPr>
        <w:t>Propriétés</w:t>
      </w:r>
    </w:p>
    <w:p w14:paraId="1B22F8A0" w14:textId="77777777" w:rsidR="0084489F" w:rsidRDefault="00110FE6">
      <w:pPr>
        <w:pStyle w:val="BlockText"/>
      </w:pPr>
      <w:r>
        <w:rPr>
          <w:b/>
          <w:bCs/>
          <w:i/>
          <w:iCs/>
        </w:rPr>
        <w:t>Note de traduction</w:t>
      </w:r>
    </w:p>
    <w:p w14:paraId="27A8DA95" w14:textId="77777777" w:rsidR="0084489F" w:rsidRDefault="00110FE6">
      <w:pPr>
        <w:pStyle w:val="BlockText"/>
      </w:pPr>
      <w:r>
        <w:rPr>
          <w:b/>
          <w:bCs/>
          <w:i/>
          <w:iCs/>
        </w:rPr>
        <w:t>Références</w:t>
      </w:r>
    </w:p>
    <w:p w14:paraId="13D65269" w14:textId="77777777" w:rsidR="0084489F" w:rsidRDefault="0084489F">
      <w:pPr>
        <w:pStyle w:val="BlockText"/>
      </w:pPr>
    </w:p>
    <w:p w14:paraId="2024362D" w14:textId="77777777" w:rsidR="0084489F" w:rsidRDefault="00110FE6">
      <w:pPr>
        <w:pStyle w:val="Heading2"/>
      </w:pPr>
      <w:bookmarkStart w:id="179" w:name="_Toc176864471"/>
      <w:bookmarkStart w:id="180" w:name="e39-actant"/>
      <w:bookmarkEnd w:id="178"/>
      <w:r>
        <w:lastRenderedPageBreak/>
        <w:t>E39 Actant</w:t>
      </w:r>
      <w:bookmarkEnd w:id="179"/>
    </w:p>
    <w:p w14:paraId="283F2062" w14:textId="77777777" w:rsidR="0084489F" w:rsidRDefault="00110FE6">
      <w:pPr>
        <w:pStyle w:val="FirstParagraph"/>
      </w:pPr>
      <w:r>
        <w:rPr>
          <w:b/>
          <w:bCs/>
        </w:rPr>
        <w:t>Sous-classe de</w:t>
      </w:r>
    </w:p>
    <w:p w14:paraId="18CA26BF" w14:textId="77777777" w:rsidR="0084489F" w:rsidRDefault="00110FE6">
      <w:pPr>
        <w:pStyle w:val="BodyText"/>
      </w:pPr>
      <w:r>
        <w:rPr>
          <w:rStyle w:val="VerbatimChar"/>
        </w:rPr>
        <w:t>E77_Entité_persistante</w:t>
      </w:r>
    </w:p>
    <w:p w14:paraId="1E3D2A61" w14:textId="77777777" w:rsidR="0084489F" w:rsidRDefault="00110FE6">
      <w:pPr>
        <w:pStyle w:val="BodyText"/>
      </w:pPr>
      <w:r>
        <w:rPr>
          <w:b/>
          <w:bCs/>
        </w:rPr>
        <w:t>Super-classe de</w:t>
      </w:r>
    </w:p>
    <w:p w14:paraId="2B8F9F89" w14:textId="77777777" w:rsidR="0084489F" w:rsidRDefault="00110FE6">
      <w:pPr>
        <w:pStyle w:val="BodyText"/>
      </w:pPr>
      <w:r>
        <w:rPr>
          <w:rStyle w:val="VerbatimChar"/>
        </w:rPr>
        <w:t>E21_Personne</w:t>
      </w:r>
    </w:p>
    <w:p w14:paraId="3FE80B82" w14:textId="77777777" w:rsidR="0084489F" w:rsidRDefault="00110FE6">
      <w:pPr>
        <w:pStyle w:val="BodyText"/>
      </w:pPr>
      <w:r>
        <w:rPr>
          <w:rStyle w:val="VerbatimChar"/>
        </w:rPr>
        <w:t>E74_Groupe</w:t>
      </w:r>
    </w:p>
    <w:p w14:paraId="440E51AB" w14:textId="77777777" w:rsidR="0084489F" w:rsidRDefault="00110FE6">
      <w:pPr>
        <w:pStyle w:val="BodyText"/>
      </w:pPr>
      <w:r>
        <w:rPr>
          <w:b/>
          <w:bCs/>
        </w:rPr>
        <w:t>Note d’application</w:t>
      </w:r>
    </w:p>
    <w:p w14:paraId="745FE5FC" w14:textId="77777777" w:rsidR="0084489F" w:rsidRDefault="00110FE6">
      <w:pPr>
        <w:pStyle w:val="BodyText"/>
      </w:pPr>
      <w:r w:rsidRPr="1B9E7434">
        <w:rPr>
          <w:lang w:val="fr-FR"/>
        </w:rPr>
        <w:t>Cette classe comprend les personnes, que ce soit des individus ou des groupes, qui ont le potentiel d’effectuer intentionnellement des actions pour lesquelles elles peuvent être tenues responsables.</w:t>
      </w:r>
    </w:p>
    <w:p w14:paraId="1E06DEB9" w14:textId="77777777" w:rsidR="0084489F" w:rsidRDefault="00110FE6">
      <w:pPr>
        <w:pStyle w:val="BodyText"/>
      </w:pPr>
      <w:r>
        <w:rPr>
          <w:b/>
          <w:bCs/>
        </w:rPr>
        <w:t>Exemples</w:t>
      </w:r>
    </w:p>
    <w:p w14:paraId="089B2186" w14:textId="77777777" w:rsidR="0084489F" w:rsidRPr="008C0D99" w:rsidRDefault="00110FE6" w:rsidP="00806324">
      <w:pPr>
        <w:numPr>
          <w:ilvl w:val="0"/>
          <w:numId w:val="90"/>
        </w:numPr>
        <w:rPr>
          <w:lang w:val="en-CA"/>
        </w:rPr>
      </w:pPr>
      <w:r w:rsidRPr="008C0D99">
        <w:rPr>
          <w:lang w:val="en-CA"/>
        </w:rPr>
        <w:t>London and Continental Railways (</w:t>
      </w:r>
      <w:r w:rsidRPr="008C0D99">
        <w:rPr>
          <w:rStyle w:val="VerbatimChar"/>
          <w:lang w:val="en-CA"/>
        </w:rPr>
        <w:t>E74_Groupe</w:t>
      </w:r>
      <w:r w:rsidRPr="008C0D99">
        <w:rPr>
          <w:lang w:val="en-CA"/>
        </w:rPr>
        <w:t>)</w:t>
      </w:r>
    </w:p>
    <w:p w14:paraId="4261BBA4" w14:textId="77777777" w:rsidR="0084489F" w:rsidRDefault="00110FE6" w:rsidP="00806324">
      <w:pPr>
        <w:numPr>
          <w:ilvl w:val="0"/>
          <w:numId w:val="90"/>
        </w:numPr>
      </w:pPr>
      <w:r>
        <w:t>Le Gouverneur de la Banque d’Angleterre en 1975 (</w:t>
      </w:r>
      <w:r>
        <w:rPr>
          <w:rStyle w:val="VerbatimChar"/>
        </w:rPr>
        <w:t>E21_Personne</w:t>
      </w:r>
      <w:r>
        <w:t>)</w:t>
      </w:r>
    </w:p>
    <w:p w14:paraId="3A6851A1" w14:textId="506AEF53" w:rsidR="0084489F" w:rsidRDefault="00110FE6" w:rsidP="00806324">
      <w:pPr>
        <w:numPr>
          <w:ilvl w:val="0"/>
          <w:numId w:val="90"/>
        </w:numPr>
      </w:pPr>
      <w:r w:rsidRPr="1B9E7434">
        <w:rPr>
          <w:lang w:val="fr-FR"/>
        </w:rPr>
        <w:t>Sir Ian McKellen (</w:t>
      </w:r>
      <w:r w:rsidRPr="1B9E7434">
        <w:rPr>
          <w:rStyle w:val="VerbatimChar"/>
          <w:lang w:val="fr-FR"/>
        </w:rPr>
        <w:t>E21_Personne</w:t>
      </w:r>
      <w:r w:rsidRPr="1B9E7434">
        <w:rPr>
          <w:lang w:val="fr-FR"/>
        </w:rPr>
        <w:t>) (Gibson, 1986)</w:t>
      </w:r>
    </w:p>
    <w:p w14:paraId="4F10592A" w14:textId="77777777" w:rsidR="0084489F" w:rsidRDefault="00110FE6">
      <w:pPr>
        <w:pStyle w:val="FirstParagraph"/>
      </w:pPr>
      <w:r>
        <w:rPr>
          <w:b/>
          <w:bCs/>
        </w:rPr>
        <w:t>Logique</w:t>
      </w:r>
    </w:p>
    <w:p w14:paraId="41398BA1" w14:textId="77777777" w:rsidR="0084489F" w:rsidRDefault="00110FE6">
      <w:pPr>
        <w:pStyle w:val="BodyText"/>
      </w:pPr>
      <w:r>
        <w:t>E39(x) ⇒ E77(x)</w:t>
      </w:r>
    </w:p>
    <w:p w14:paraId="57AE847E" w14:textId="77777777" w:rsidR="0084489F" w:rsidRDefault="00110FE6">
      <w:pPr>
        <w:pStyle w:val="BodyText"/>
      </w:pPr>
      <w:r>
        <w:rPr>
          <w:b/>
          <w:bCs/>
        </w:rPr>
        <w:t>Propriétés</w:t>
      </w:r>
    </w:p>
    <w:p w14:paraId="5D1DA9EB" w14:textId="77777777" w:rsidR="0084489F" w:rsidRDefault="00110FE6">
      <w:pPr>
        <w:pStyle w:val="BodyText"/>
      </w:pPr>
      <w:r w:rsidRPr="1B9E7434">
        <w:rPr>
          <w:rStyle w:val="VerbatimChar"/>
          <w:lang w:val="fr-FR"/>
        </w:rPr>
        <w:t>P74_a_pour_résidence_actuelle_ou_antérieure (est_la_résidence_actuelle_ou_antérieure_de)</w:t>
      </w:r>
      <w:r w:rsidRPr="1B9E7434">
        <w:rPr>
          <w:lang w:val="fr-FR"/>
        </w:rPr>
        <w:t xml:space="preserve"> : </w:t>
      </w:r>
      <w:r w:rsidRPr="1B9E7434">
        <w:rPr>
          <w:rStyle w:val="VerbatimChar"/>
          <w:lang w:val="fr-FR"/>
        </w:rPr>
        <w:t>E53_Lieu</w:t>
      </w:r>
    </w:p>
    <w:p w14:paraId="560C7589" w14:textId="77777777" w:rsidR="0084489F" w:rsidRDefault="00110FE6">
      <w:pPr>
        <w:pStyle w:val="BodyText"/>
      </w:pPr>
      <w:r w:rsidRPr="1B9E7434">
        <w:rPr>
          <w:rStyle w:val="VerbatimChar"/>
          <w:lang w:val="fr-FR"/>
        </w:rPr>
        <w:t>P75_possède (est_possédé_par)</w:t>
      </w:r>
      <w:r w:rsidRPr="1B9E7434">
        <w:rPr>
          <w:lang w:val="fr-FR"/>
        </w:rPr>
        <w:t xml:space="preserve"> : </w:t>
      </w:r>
      <w:r w:rsidRPr="1B9E7434">
        <w:rPr>
          <w:rStyle w:val="VerbatimChar"/>
          <w:lang w:val="fr-FR"/>
        </w:rPr>
        <w:t>E30_Droit</w:t>
      </w:r>
    </w:p>
    <w:p w14:paraId="3705E874" w14:textId="77777777" w:rsidR="0084489F" w:rsidRDefault="00110FE6">
      <w:pPr>
        <w:pStyle w:val="BodyText"/>
      </w:pPr>
      <w:r w:rsidRPr="1B9E7434">
        <w:rPr>
          <w:rStyle w:val="VerbatimChar"/>
          <w:lang w:val="fr-FR"/>
        </w:rPr>
        <w:t>P76_a_pour_coordonnées (permet_de_contacter)</w:t>
      </w:r>
      <w:r w:rsidRPr="1B9E7434">
        <w:rPr>
          <w:lang w:val="fr-FR"/>
        </w:rPr>
        <w:t xml:space="preserve"> : </w:t>
      </w:r>
      <w:r w:rsidRPr="1B9E7434">
        <w:rPr>
          <w:rStyle w:val="VerbatimChar"/>
          <w:lang w:val="fr-FR"/>
        </w:rPr>
        <w:t>E41_Appellation</w:t>
      </w:r>
      <w:r w:rsidRPr="1B9E7434">
        <w:rPr>
          <w:lang w:val="fr-FR"/>
        </w:rPr>
        <w:t>.</w:t>
      </w:r>
    </w:p>
    <w:p w14:paraId="78B38241" w14:textId="77777777" w:rsidR="0084489F" w:rsidRDefault="00110FE6">
      <w:pPr>
        <w:pStyle w:val="BlockText"/>
      </w:pPr>
      <w:r>
        <w:rPr>
          <w:b/>
          <w:bCs/>
          <w:i/>
          <w:iCs/>
        </w:rPr>
        <w:t>Note de traduction</w:t>
      </w:r>
    </w:p>
    <w:p w14:paraId="1998E8D5" w14:textId="77777777" w:rsidR="0084489F" w:rsidRDefault="00110FE6">
      <w:pPr>
        <w:pStyle w:val="BlockText"/>
      </w:pPr>
      <w:r w:rsidRPr="1B9E7434">
        <w:rPr>
          <w:lang w:val="fr-FR"/>
        </w:rPr>
        <w:t>L’entrée anglophone réfère à « Sir Ian McKellan », qui comporte une erreur dans le nom de « Sir Ian McKellen ». La traduction francophone a choisi de ne pas reconduire cette erreur à des fins d’exactitude.</w:t>
      </w:r>
    </w:p>
    <w:p w14:paraId="1A28F88A" w14:textId="77777777" w:rsidR="0084489F" w:rsidRDefault="00110FE6">
      <w:pPr>
        <w:pStyle w:val="BlockText"/>
      </w:pPr>
      <w:r>
        <w:t>L’utilisation du terme « actant » a été retenu au lieu du terme « acteur » car le premier est plus inclusif et ne nécessite pas l’usage des formes binaires masculine et féminine (acteur et actrice).</w:t>
      </w:r>
    </w:p>
    <w:p w14:paraId="30D392B6" w14:textId="77777777" w:rsidR="0084489F" w:rsidRDefault="00110FE6">
      <w:pPr>
        <w:pStyle w:val="BlockText"/>
      </w:pPr>
      <w:r>
        <w:rPr>
          <w:b/>
          <w:bCs/>
          <w:i/>
          <w:iCs/>
        </w:rPr>
        <w:t>Références</w:t>
      </w:r>
    </w:p>
    <w:p w14:paraId="3FB01C05" w14:textId="77777777" w:rsidR="0084489F" w:rsidRDefault="00110FE6">
      <w:pPr>
        <w:pStyle w:val="BlockText"/>
      </w:pPr>
      <w:r w:rsidRPr="1B9E7434">
        <w:rPr>
          <w:lang w:val="fr-FR"/>
        </w:rPr>
        <w:t xml:space="preserve">Antidote. « actant ». Dans </w:t>
      </w:r>
      <w:r w:rsidRPr="1B9E7434">
        <w:rPr>
          <w:i/>
          <w:iCs/>
          <w:lang w:val="fr-FR"/>
        </w:rPr>
        <w:t>Antidote</w:t>
      </w:r>
      <w:r w:rsidRPr="1B9E7434">
        <w:rPr>
          <w:lang w:val="fr-FR"/>
        </w:rPr>
        <w:t>. Montréal, CA-QC: Druide Informatique, 2022.</w:t>
      </w:r>
      <w:hyperlink r:id="rId203">
        <w:r w:rsidRPr="1B9E7434">
          <w:rPr>
            <w:rStyle w:val="Hyperlink"/>
            <w:lang w:val="fr-FR"/>
          </w:rPr>
          <w:t xml:space="preserve"> </w:t>
        </w:r>
      </w:hyperlink>
      <w:hyperlink r:id="rId204">
        <w:r w:rsidRPr="1B9E7434">
          <w:rPr>
            <w:rStyle w:val="Hyperlink"/>
            <w:lang w:val="fr-FR"/>
          </w:rPr>
          <w:t>https://antidote.app/dictionnaires/fr/definitions/FRUAgAAAABGUgBDZAAAQ2QAAC0AAACDTm9thmFjdGFudICAgA%3D%3Dd707/RlLvh7cyNTY2N%2B%2BHt05vbQ%3D%3D/RlLvh7cyNTY2N%2B%2BHt05vbe%2BHt2FjdGFudO%2BHt2FjdGFudA%3D%3D</w:t>
        </w:r>
      </w:hyperlink>
      <w:r w:rsidRPr="1B9E7434">
        <w:rPr>
          <w:lang w:val="fr-FR"/>
        </w:rPr>
        <w:t>.</w:t>
      </w:r>
    </w:p>
    <w:p w14:paraId="02145737" w14:textId="77777777" w:rsidR="004454E2" w:rsidRPr="004454E2" w:rsidRDefault="004454E2" w:rsidP="004454E2">
      <w:pPr>
        <w:pStyle w:val="BodyText"/>
      </w:pPr>
    </w:p>
    <w:p w14:paraId="622FC5BB" w14:textId="77777777" w:rsidR="0084489F" w:rsidRDefault="00110FE6">
      <w:pPr>
        <w:pStyle w:val="Heading2"/>
      </w:pPr>
      <w:bookmarkStart w:id="181" w:name="_Toc176864472"/>
      <w:bookmarkStart w:id="182" w:name="e41-appellation"/>
      <w:bookmarkEnd w:id="180"/>
      <w:r>
        <w:t>E41 Appellation</w:t>
      </w:r>
      <w:bookmarkEnd w:id="181"/>
    </w:p>
    <w:p w14:paraId="5DC16F93" w14:textId="77777777" w:rsidR="0084489F" w:rsidRDefault="00110FE6">
      <w:pPr>
        <w:pStyle w:val="FirstParagraph"/>
      </w:pPr>
      <w:r>
        <w:rPr>
          <w:b/>
          <w:bCs/>
        </w:rPr>
        <w:t>Sous-classe de</w:t>
      </w:r>
    </w:p>
    <w:p w14:paraId="60E22FAB" w14:textId="77777777" w:rsidR="0084489F" w:rsidRDefault="00110FE6">
      <w:pPr>
        <w:pStyle w:val="BodyText"/>
      </w:pPr>
      <w:r>
        <w:rPr>
          <w:rStyle w:val="VerbatimChar"/>
        </w:rPr>
        <w:t>E90_Objet_symbolique</w:t>
      </w:r>
    </w:p>
    <w:p w14:paraId="604BA815" w14:textId="77777777" w:rsidR="0084489F" w:rsidRDefault="00110FE6" w:rsidP="004454E2">
      <w:pPr>
        <w:pStyle w:val="BodyText"/>
        <w:keepNext/>
      </w:pPr>
      <w:r>
        <w:rPr>
          <w:b/>
          <w:bCs/>
        </w:rPr>
        <w:lastRenderedPageBreak/>
        <w:t>Super-classe de</w:t>
      </w:r>
    </w:p>
    <w:p w14:paraId="517C1C39" w14:textId="77777777" w:rsidR="0084489F" w:rsidRDefault="00110FE6" w:rsidP="004454E2">
      <w:pPr>
        <w:pStyle w:val="BodyText"/>
        <w:keepNext/>
      </w:pPr>
      <w:r>
        <w:rPr>
          <w:rStyle w:val="VerbatimChar"/>
        </w:rPr>
        <w:t>E35_Titre</w:t>
      </w:r>
    </w:p>
    <w:p w14:paraId="21539472" w14:textId="77777777" w:rsidR="0084489F" w:rsidRDefault="00110FE6">
      <w:pPr>
        <w:pStyle w:val="BodyText"/>
      </w:pPr>
      <w:r>
        <w:rPr>
          <w:rStyle w:val="VerbatimChar"/>
        </w:rPr>
        <w:t>E42_Identifiant</w:t>
      </w:r>
    </w:p>
    <w:p w14:paraId="1E7295CF" w14:textId="77777777" w:rsidR="0084489F" w:rsidRDefault="00110FE6">
      <w:pPr>
        <w:pStyle w:val="BodyText"/>
      </w:pPr>
      <w:r>
        <w:rPr>
          <w:rStyle w:val="VerbatimChar"/>
        </w:rPr>
        <w:t>E61_Primitive_temporelle</w:t>
      </w:r>
    </w:p>
    <w:p w14:paraId="2CE9E91D" w14:textId="77777777" w:rsidR="0084489F" w:rsidRDefault="00110FE6">
      <w:pPr>
        <w:pStyle w:val="BodyText"/>
      </w:pPr>
      <w:r>
        <w:rPr>
          <w:rStyle w:val="VerbatimChar"/>
        </w:rPr>
        <w:t>E94_Primitive_spatiale</w:t>
      </w:r>
    </w:p>
    <w:p w14:paraId="24A0B8E1" w14:textId="77777777" w:rsidR="0084489F" w:rsidRDefault="00110FE6">
      <w:pPr>
        <w:pStyle w:val="BodyText"/>
      </w:pPr>
      <w:r>
        <w:rPr>
          <w:rStyle w:val="VerbatimChar"/>
        </w:rPr>
        <w:t>E95_Primitive_spatio-temporelle</w:t>
      </w:r>
    </w:p>
    <w:p w14:paraId="44E1642F" w14:textId="77777777" w:rsidR="0084489F" w:rsidRDefault="00110FE6">
      <w:pPr>
        <w:pStyle w:val="BodyText"/>
      </w:pPr>
      <w:r>
        <w:rPr>
          <w:b/>
          <w:bCs/>
        </w:rPr>
        <w:t>Note d’application</w:t>
      </w:r>
    </w:p>
    <w:p w14:paraId="15CD2DC0" w14:textId="77777777" w:rsidR="0084489F" w:rsidRDefault="00110FE6">
      <w:pPr>
        <w:pStyle w:val="BodyText"/>
      </w:pPr>
      <w:r>
        <w:t>Cette classe comprend tous les signes, qu’ils soient porteurs ou non de sens, ou les arrangements de signes qui suivent une syntaxe particulière et qui sont ou peuvent être utilisés pour désigner et identifier une instance spécifique d’une classe dans un contexte donné.</w:t>
      </w:r>
    </w:p>
    <w:p w14:paraId="7B60EDF2" w14:textId="77777777" w:rsidR="0084489F" w:rsidRDefault="00110FE6">
      <w:pPr>
        <w:pStyle w:val="BodyText"/>
      </w:pPr>
      <w:r>
        <w:t xml:space="preserve">Les instances de </w:t>
      </w:r>
      <w:r>
        <w:rPr>
          <w:rStyle w:val="VerbatimChar"/>
        </w:rPr>
        <w:t>E41_Appellation</w:t>
      </w:r>
      <w:r>
        <w:t xml:space="preserve"> n’identifient pas les choses par leur sens, même si elles en ont un, mais par convention, tradition ou accord. Les instances de </w:t>
      </w:r>
      <w:r>
        <w:rPr>
          <w:rStyle w:val="VerbatimChar"/>
        </w:rPr>
        <w:t>E41_Appellation</w:t>
      </w:r>
      <w:r>
        <w:t xml:space="preserve"> sont des constructions culturelles. Comme telles, elles possèdent un contexte, une histoire et un usage dans le temps et dans l’espace par un groupe d’utilisateurs. Une instance donnée de </w:t>
      </w:r>
      <w:r>
        <w:rPr>
          <w:rStyle w:val="VerbatimChar"/>
        </w:rPr>
        <w:t>E41_Appellation</w:t>
      </w:r>
      <w:r>
        <w:t xml:space="preserve"> peut avoir des formes alternatives, c.-à-d. d’autres instances de </w:t>
      </w:r>
      <w:r>
        <w:rPr>
          <w:rStyle w:val="VerbatimChar"/>
        </w:rPr>
        <w:t>E41_Appellation</w:t>
      </w:r>
      <w:r>
        <w:t xml:space="preserve"> qui sont considérées comme équivalentes indépendamment de la chose qu’elle dénote.</w:t>
      </w:r>
    </w:p>
    <w:p w14:paraId="50955CE4" w14:textId="77777777" w:rsidR="0084489F" w:rsidRDefault="00110FE6">
      <w:pPr>
        <w:pStyle w:val="BodyText"/>
      </w:pPr>
      <w:r w:rsidRPr="1B9E7434">
        <w:rPr>
          <w:lang w:val="fr-FR"/>
        </w:rPr>
        <w:t xml:space="preserve">Différentes langues peuvent employer différentes appellations pour référer à la même chose. [n.d.t. C’est le cas pour] le nom des grandes villes. Certaines appellations peuvent être formulées à l'aide d'un syntagme nominal valide dans une langue particulière. Dans ces cas, les instances de </w:t>
      </w:r>
      <w:r w:rsidRPr="1B9E7434">
        <w:rPr>
          <w:rStyle w:val="VerbatimChar"/>
          <w:lang w:val="fr-FR"/>
        </w:rPr>
        <w:t>E41_Appellation</w:t>
      </w:r>
      <w:r w:rsidRPr="1B9E7434">
        <w:rPr>
          <w:lang w:val="fr-FR"/>
        </w:rPr>
        <w:t xml:space="preserve"> doivent également être déclarées comme des instances de </w:t>
      </w:r>
      <w:r w:rsidRPr="1B9E7434">
        <w:rPr>
          <w:rStyle w:val="VerbatimChar"/>
          <w:lang w:val="fr-FR"/>
        </w:rPr>
        <w:t>E33_Objet_linguistique</w:t>
      </w:r>
      <w:r w:rsidRPr="1B9E7434">
        <w:rPr>
          <w:lang w:val="fr-FR"/>
        </w:rPr>
        <w:t xml:space="preserve">. Ensuite, la langue utilisant l’appellation peut être déclarée avec la propriété </w:t>
      </w:r>
      <w:r w:rsidRPr="1B9E7434">
        <w:rPr>
          <w:rStyle w:val="VerbatimChar"/>
          <w:lang w:val="fr-FR"/>
        </w:rPr>
        <w:t>P72_a_pour_langue (est_la_langue_de)</w:t>
      </w:r>
      <w:r w:rsidRPr="1B9E7434">
        <w:rPr>
          <w:lang w:val="fr-FR"/>
        </w:rPr>
        <w:t xml:space="preserve"> : </w:t>
      </w:r>
      <w:r w:rsidRPr="1B9E7434">
        <w:rPr>
          <w:rStyle w:val="VerbatimChar"/>
          <w:lang w:val="fr-FR"/>
        </w:rPr>
        <w:t>E56_Langue</w:t>
      </w:r>
      <w:r w:rsidRPr="1B9E7434">
        <w:rPr>
          <w:lang w:val="fr-FR"/>
        </w:rPr>
        <w:t>.</w:t>
      </w:r>
    </w:p>
    <w:p w14:paraId="0D1979F6" w14:textId="77777777" w:rsidR="0084489F" w:rsidRDefault="00110FE6">
      <w:pPr>
        <w:pStyle w:val="BodyText"/>
      </w:pPr>
      <w:r>
        <w:t xml:space="preserve">Les instances de </w:t>
      </w:r>
      <w:r>
        <w:rPr>
          <w:rStyle w:val="VerbatimChar"/>
        </w:rPr>
        <w:t>E41_Appellation</w:t>
      </w:r>
      <w:r>
        <w:t xml:space="preserve"> peuvent être utilisées pour identifier toute instance de </w:t>
      </w:r>
      <w:r>
        <w:rPr>
          <w:rStyle w:val="VerbatimChar"/>
        </w:rPr>
        <w:t>E1_Entité_CRM</w:t>
      </w:r>
      <w:r>
        <w:t xml:space="preserve">. Elles sont parfois caractéristiques des instances de certaines sous-classes plus spécifiques de </w:t>
      </w:r>
      <w:r>
        <w:rPr>
          <w:rStyle w:val="VerbatimChar"/>
        </w:rPr>
        <w:t>E1_Entité_CRM</w:t>
      </w:r>
      <w:r>
        <w:t xml:space="preserve">. C’est le cas des instances de </w:t>
      </w:r>
      <w:r>
        <w:rPr>
          <w:rStyle w:val="VerbatimChar"/>
        </w:rPr>
        <w:t>E52_Intervalle_temporel</w:t>
      </w:r>
      <w:r>
        <w:t xml:space="preserve"> (par exemple « dates »), </w:t>
      </w:r>
      <w:r>
        <w:rPr>
          <w:rStyle w:val="VerbatimChar"/>
        </w:rPr>
        <w:t>E39_Actant</w:t>
      </w:r>
      <w:r>
        <w:t xml:space="preserve">, </w:t>
      </w:r>
      <w:r>
        <w:rPr>
          <w:rStyle w:val="VerbatimChar"/>
        </w:rPr>
        <w:t>E53_Lieu</w:t>
      </w:r>
      <w:r>
        <w:t xml:space="preserve"> ou </w:t>
      </w:r>
      <w:r>
        <w:rPr>
          <w:rStyle w:val="VerbatimChar"/>
        </w:rPr>
        <w:t>E28_Objet_conceptuel</w:t>
      </w:r>
      <w:r>
        <w:t>. Les adresses postales et les adresses courriel sont des exemples caractéristiques d’identifiants utilisés par des services acheminant des choses entre des clients.</w:t>
      </w:r>
    </w:p>
    <w:p w14:paraId="256891C2" w14:textId="77777777" w:rsidR="0084489F" w:rsidRDefault="00110FE6">
      <w:pPr>
        <w:pStyle w:val="BodyText"/>
      </w:pPr>
      <w:r>
        <w:t xml:space="preserve">Même les identifiants exprimés numériquement pour désigner des étendues spatiales ou temporelles, telles que les dates du calendrier grégorien ou les coordonnées spatiales, sont considérés comme des instances de </w:t>
      </w:r>
      <w:r>
        <w:rPr>
          <w:rStyle w:val="VerbatimChar"/>
        </w:rPr>
        <w:t>E41_Appellation</w:t>
      </w:r>
      <w:r>
        <w:t xml:space="preserve">, et ce, même s'ils permettent de déterminer un temps ou un lieu par une procédure connue à partir d'un point de référence, jouant ainsi un double rôle comme instance de </w:t>
      </w:r>
      <w:r>
        <w:rPr>
          <w:rStyle w:val="VerbatimChar"/>
        </w:rPr>
        <w:t>E41_Appellation et</w:t>
      </w:r>
      <w:r>
        <w:t xml:space="preserve"> </w:t>
      </w:r>
      <w:r>
        <w:rPr>
          <w:rStyle w:val="VerbatimChar"/>
        </w:rPr>
        <w:t>E59_Valeur_primitive</w:t>
      </w:r>
      <w:r>
        <w:t>.</w:t>
      </w:r>
    </w:p>
    <w:p w14:paraId="37AC8C94" w14:textId="77777777" w:rsidR="0084489F" w:rsidRDefault="00110FE6">
      <w:pPr>
        <w:pStyle w:val="BodyText"/>
      </w:pPr>
      <w:r>
        <w:t xml:space="preserve">Les instances de </w:t>
      </w:r>
      <w:r>
        <w:rPr>
          <w:rStyle w:val="VerbatimChar"/>
        </w:rPr>
        <w:t>E41_Appellation</w:t>
      </w:r>
      <w:r>
        <w:t xml:space="preserve"> ne doivent pas être confondues avec l’acte de nommer quelque chose. Se reporter à </w:t>
      </w:r>
      <w:r>
        <w:rPr>
          <w:rStyle w:val="VerbatimChar"/>
        </w:rPr>
        <w:t>E15_Assignation_d'identifiant</w:t>
      </w:r>
      <w:r>
        <w:t>.</w:t>
      </w:r>
    </w:p>
    <w:p w14:paraId="7199E015" w14:textId="77777777" w:rsidR="0084489F" w:rsidRDefault="00110FE6">
      <w:pPr>
        <w:pStyle w:val="BodyText"/>
      </w:pPr>
      <w:r>
        <w:rPr>
          <w:b/>
          <w:bCs/>
        </w:rPr>
        <w:t>Exemples</w:t>
      </w:r>
    </w:p>
    <w:p w14:paraId="3736690F" w14:textId="77777777" w:rsidR="0084489F" w:rsidRDefault="00110FE6" w:rsidP="00806324">
      <w:pPr>
        <w:numPr>
          <w:ilvl w:val="0"/>
          <w:numId w:val="91"/>
        </w:numPr>
      </w:pPr>
      <w:r>
        <w:t>« Martin »</w:t>
      </w:r>
    </w:p>
    <w:p w14:paraId="3D693FCA" w14:textId="17ADA715" w:rsidR="0084489F" w:rsidRDefault="00110FE6" w:rsidP="00806324">
      <w:pPr>
        <w:numPr>
          <w:ilvl w:val="0"/>
          <w:numId w:val="91"/>
        </w:numPr>
      </w:pPr>
      <w:r w:rsidRPr="1B9E7434">
        <w:rPr>
          <w:lang w:val="fr-FR"/>
        </w:rPr>
        <w:t>« Aquæ Sulis Minerva »</w:t>
      </w:r>
    </w:p>
    <w:p w14:paraId="09C0EBF9" w14:textId="3FE51618" w:rsidR="0084489F" w:rsidRDefault="00110FE6" w:rsidP="00806324">
      <w:pPr>
        <w:numPr>
          <w:ilvl w:val="0"/>
          <w:numId w:val="91"/>
        </w:numPr>
      </w:pPr>
      <w:r w:rsidRPr="1B9E7434">
        <w:rPr>
          <w:lang w:val="fr-FR"/>
        </w:rPr>
        <w:t>« Le Marchand de Venise » (</w:t>
      </w:r>
      <w:r w:rsidRPr="1B9E7434">
        <w:rPr>
          <w:rStyle w:val="VerbatimChar"/>
          <w:lang w:val="fr-FR"/>
        </w:rPr>
        <w:t>E35_Titre</w:t>
      </w:r>
      <w:r w:rsidRPr="1B9E7434">
        <w:rPr>
          <w:lang w:val="fr-FR"/>
        </w:rPr>
        <w:t>) (McCullough, 2005)</w:t>
      </w:r>
    </w:p>
    <w:p w14:paraId="49295CCA" w14:textId="1096F5BB" w:rsidR="0084489F" w:rsidRDefault="00110FE6" w:rsidP="00806324">
      <w:pPr>
        <w:numPr>
          <w:ilvl w:val="0"/>
          <w:numId w:val="91"/>
        </w:numPr>
      </w:pPr>
      <w:r w:rsidRPr="1B9E7434">
        <w:rPr>
          <w:lang w:val="fr-FR"/>
        </w:rPr>
        <w:lastRenderedPageBreak/>
        <w:t>« Spigelia marilandica (L.) L. » [pas l’espèce, juste son nom] (Hershberger, Robacker &amp; Jenkins, 2015)</w:t>
      </w:r>
    </w:p>
    <w:p w14:paraId="52D9871A" w14:textId="77777777" w:rsidR="0084489F" w:rsidRDefault="00110FE6" w:rsidP="00806324">
      <w:pPr>
        <w:numPr>
          <w:ilvl w:val="0"/>
          <w:numId w:val="91"/>
        </w:numPr>
      </w:pPr>
      <w:r>
        <w:t>« Science de l’information » [pas la science elle-même, mais le nom par lequel on y réfère dans un contexte francophone]</w:t>
      </w:r>
    </w:p>
    <w:p w14:paraId="7E20C27D" w14:textId="77777777" w:rsidR="0084489F" w:rsidRDefault="00110FE6" w:rsidP="00806324">
      <w:pPr>
        <w:numPr>
          <w:ilvl w:val="0"/>
          <w:numId w:val="91"/>
        </w:numPr>
      </w:pPr>
      <w:r>
        <w:t>« 安 » [[n.d.t. Sinogramme et kanji] chinois. [n.d.t. En transcription hanyu pinyin], « An » veut dire « paix »]</w:t>
      </w:r>
      <w:r>
        <w:rPr>
          <w:vertAlign w:val="superscript"/>
        </w:rPr>
        <w:t>1</w:t>
      </w:r>
    </w:p>
    <w:p w14:paraId="49D231A4" w14:textId="77777777" w:rsidR="0084489F" w:rsidRDefault="00110FE6" w:rsidP="00806324">
      <w:pPr>
        <w:numPr>
          <w:ilvl w:val="0"/>
          <w:numId w:val="91"/>
        </w:numPr>
      </w:pPr>
      <w:r>
        <w:t>« 6°5’29”N 45°12’13”O » [exemple d'une coordonnée géographique]</w:t>
      </w:r>
    </w:p>
    <w:p w14:paraId="1FC740B7" w14:textId="77777777" w:rsidR="0084489F" w:rsidRDefault="00110FE6" w:rsidP="00806324">
      <w:pPr>
        <w:numPr>
          <w:ilvl w:val="0"/>
          <w:numId w:val="91"/>
        </w:numPr>
      </w:pPr>
      <w:r>
        <w:t>« Le fou de la reine noire en g4 » [une coordonnée aux échecs, un exemple de coordonnée spatiale dans un espace conceptuel (</w:t>
      </w:r>
      <w:r>
        <w:rPr>
          <w:rStyle w:val="VerbatimChar"/>
        </w:rPr>
        <w:t>E89_Objet_propositionnel</w:t>
      </w:r>
      <w:r>
        <w:t>)]</w:t>
      </w:r>
    </w:p>
    <w:p w14:paraId="3A0A61AE" w14:textId="77777777" w:rsidR="0084489F" w:rsidRDefault="00110FE6" w:rsidP="00806324">
      <w:pPr>
        <w:numPr>
          <w:ilvl w:val="0"/>
          <w:numId w:val="91"/>
        </w:numPr>
      </w:pPr>
      <w:r>
        <w:t>« 19-MAR-1922 » [exemple de date]</w:t>
      </w:r>
    </w:p>
    <w:p w14:paraId="3B5228B4" w14:textId="77777777" w:rsidR="0084489F" w:rsidRDefault="00110FE6" w:rsidP="00806324">
      <w:pPr>
        <w:numPr>
          <w:ilvl w:val="0"/>
          <w:numId w:val="91"/>
        </w:numPr>
      </w:pPr>
      <w:r>
        <w:t>« +41 22 418 5571 » [exemple de point de contact]</w:t>
      </w:r>
    </w:p>
    <w:p w14:paraId="59F048B9" w14:textId="1EC6B80A" w:rsidR="0084489F" w:rsidRDefault="00110FE6" w:rsidP="00806324">
      <w:pPr>
        <w:numPr>
          <w:ilvl w:val="0"/>
          <w:numId w:val="91"/>
        </w:numPr>
      </w:pPr>
      <w:r w:rsidRPr="1B9E7434">
        <w:rPr>
          <w:lang w:val="fr-FR"/>
        </w:rPr>
        <w:t>« weasel@paveprime.com » [exemple de point de contact]</w:t>
      </w:r>
    </w:p>
    <w:p w14:paraId="7222B80C" w14:textId="77777777" w:rsidR="0084489F" w:rsidRDefault="00110FE6" w:rsidP="00806324">
      <w:pPr>
        <w:numPr>
          <w:ilvl w:val="0"/>
          <w:numId w:val="91"/>
        </w:numPr>
      </w:pPr>
      <w:r>
        <w:t>« CH-1211, Genève » [exemple d’appellation de lieu]</w:t>
      </w:r>
    </w:p>
    <w:p w14:paraId="38FB9234" w14:textId="7CEEF4F2" w:rsidR="0084489F" w:rsidRDefault="00110FE6" w:rsidP="00806324">
      <w:pPr>
        <w:numPr>
          <w:ilvl w:val="0"/>
          <w:numId w:val="91"/>
        </w:numPr>
      </w:pPr>
      <w:r w:rsidRPr="1B9E7434">
        <w:rPr>
          <w:lang w:val="fr-FR"/>
        </w:rPr>
        <w:t>« 1-29-3 Otsuka, Bunkyo-ku, Tokyo, 121, Japan » [exemple d’adresse postale]</w:t>
      </w:r>
    </w:p>
    <w:p w14:paraId="2624B9D2" w14:textId="78088A58" w:rsidR="0084489F" w:rsidRDefault="00110FE6" w:rsidP="00806324">
      <w:pPr>
        <w:numPr>
          <w:ilvl w:val="0"/>
          <w:numId w:val="91"/>
        </w:numPr>
      </w:pPr>
      <w:r w:rsidRPr="1B9E7434">
        <w:rPr>
          <w:lang w:val="fr-FR"/>
        </w:rPr>
        <w:t>« la dunette du HMS Victory » [exemple de définition d’une section sur un objet élaboré par l'humain (</w:t>
      </w:r>
      <w:r w:rsidRPr="1B9E7434">
        <w:rPr>
          <w:rStyle w:val="VerbatimChar"/>
          <w:lang w:val="fr-FR"/>
        </w:rPr>
        <w:t>E22_Objet_élaboré_par_l’humain</w:t>
      </w:r>
      <w:r w:rsidRPr="1B9E7434">
        <w:rPr>
          <w:lang w:val="fr-FR"/>
        </w:rPr>
        <w:t>)]</w:t>
      </w:r>
    </w:p>
    <w:p w14:paraId="69F97A77" w14:textId="7BFECF3A" w:rsidR="0084489F" w:rsidRDefault="00110FE6" w:rsidP="00806324">
      <w:pPr>
        <w:numPr>
          <w:ilvl w:val="0"/>
          <w:numId w:val="91"/>
        </w:numPr>
      </w:pPr>
      <w:r w:rsidRPr="1B9E7434">
        <w:rPr>
          <w:lang w:val="fr-FR"/>
        </w:rPr>
        <w:t xml:space="preserve">« la fesse gauche de la </w:t>
      </w:r>
      <w:r w:rsidRPr="1B9E7434">
        <w:rPr>
          <w:i/>
          <w:iCs/>
          <w:lang w:val="fr-FR"/>
        </w:rPr>
        <w:t>Vénus de Milo</w:t>
      </w:r>
      <w:r w:rsidRPr="1B9E7434">
        <w:rPr>
          <w:lang w:val="fr-FR"/>
        </w:rPr>
        <w:t> » [exemple de définition d’une section sur un objet élaboré par l'humain (</w:t>
      </w:r>
      <w:r w:rsidRPr="1B9E7434">
        <w:rPr>
          <w:rStyle w:val="VerbatimChar"/>
          <w:lang w:val="fr-FR"/>
        </w:rPr>
        <w:t>E22_Objet_élaboré_par_l’humain</w:t>
      </w:r>
      <w:r w:rsidRPr="1B9E7434">
        <w:rPr>
          <w:lang w:val="fr-FR"/>
        </w:rPr>
        <w:t>)]</w:t>
      </w:r>
    </w:p>
    <w:p w14:paraId="22DC0485" w14:textId="77777777" w:rsidR="0084489F" w:rsidRDefault="00110FE6">
      <w:pPr>
        <w:pStyle w:val="FirstParagraph"/>
      </w:pPr>
      <w:r>
        <w:rPr>
          <w:b/>
          <w:bCs/>
        </w:rPr>
        <w:t>Logique</w:t>
      </w:r>
    </w:p>
    <w:p w14:paraId="6DA61B42" w14:textId="77777777" w:rsidR="0084489F" w:rsidRDefault="00110FE6">
      <w:pPr>
        <w:pStyle w:val="BodyText"/>
      </w:pPr>
      <w:r>
        <w:t>E41(x) ⇒ E90(x)</w:t>
      </w:r>
    </w:p>
    <w:p w14:paraId="1870B4FB" w14:textId="77777777" w:rsidR="0084489F" w:rsidRDefault="00110FE6">
      <w:pPr>
        <w:pStyle w:val="BodyText"/>
      </w:pPr>
      <w:r>
        <w:rPr>
          <w:b/>
          <w:bCs/>
        </w:rPr>
        <w:t>Propriétés</w:t>
      </w:r>
    </w:p>
    <w:p w14:paraId="36DBBA5B" w14:textId="77777777" w:rsidR="0084489F" w:rsidRDefault="00110FE6">
      <w:pPr>
        <w:pStyle w:val="BodyText"/>
      </w:pPr>
      <w:r w:rsidRPr="1B9E7434">
        <w:rPr>
          <w:rStyle w:val="VerbatimChar"/>
          <w:lang w:val="fr-FR"/>
        </w:rPr>
        <w:t>P139_a_pour_forme_alternative (est_la_forme_alternative_de)</w:t>
      </w:r>
      <w:r w:rsidRPr="1B9E7434">
        <w:rPr>
          <w:lang w:val="fr-FR"/>
        </w:rPr>
        <w:t xml:space="preserve"> : </w:t>
      </w:r>
      <w:r w:rsidRPr="1B9E7434">
        <w:rPr>
          <w:rStyle w:val="VerbatimChar"/>
          <w:lang w:val="fr-FR"/>
        </w:rPr>
        <w:t>E41_Appellation</w:t>
      </w:r>
    </w:p>
    <w:p w14:paraId="2688FF3D" w14:textId="77777777" w:rsidR="0084489F" w:rsidRDefault="00110FE6">
      <w:pPr>
        <w:pStyle w:val="BodyText"/>
      </w:pPr>
      <w:r>
        <w:t>(</w:t>
      </w:r>
      <w:r>
        <w:rPr>
          <w:rStyle w:val="VerbatimChar"/>
        </w:rPr>
        <w:t>P139.1_a_pour_type</w:t>
      </w:r>
      <w:r>
        <w:t xml:space="preserve"> : </w:t>
      </w:r>
      <w:r>
        <w:rPr>
          <w:rStyle w:val="VerbatimChar"/>
        </w:rPr>
        <w:t>E55_Type</w:t>
      </w:r>
      <w:r>
        <w:t>)</w:t>
      </w:r>
    </w:p>
    <w:p w14:paraId="70B49A41" w14:textId="77777777" w:rsidR="0084489F" w:rsidRDefault="00110FE6">
      <w:pPr>
        <w:pStyle w:val="BlockText"/>
      </w:pPr>
      <w:r>
        <w:rPr>
          <w:b/>
          <w:bCs/>
          <w:i/>
          <w:iCs/>
        </w:rPr>
        <w:t>Note de traduction</w:t>
      </w:r>
    </w:p>
    <w:p w14:paraId="5B8E9A4F" w14:textId="77777777" w:rsidR="0084489F" w:rsidRDefault="00110FE6">
      <w:pPr>
        <w:pStyle w:val="BlockText"/>
      </w:pPr>
      <w:r>
        <w:rPr>
          <w:b/>
          <w:bCs/>
          <w:i/>
          <w:iCs/>
        </w:rPr>
        <w:t>Références</w:t>
      </w:r>
    </w:p>
    <w:p w14:paraId="08C2BBB8" w14:textId="77777777" w:rsidR="0084489F" w:rsidRDefault="00110FE6">
      <w:pPr>
        <w:pStyle w:val="BlockText"/>
      </w:pPr>
      <w:r>
        <w:t xml:space="preserve">Wikipédia. </w:t>
      </w:r>
      <w:r w:rsidRPr="008C0D99">
        <w:rPr>
          <w:lang w:val="en-CA"/>
        </w:rPr>
        <w:t xml:space="preserve">« </w:t>
      </w:r>
      <w:r>
        <w:t>安</w:t>
      </w:r>
      <w:r w:rsidRPr="008C0D99">
        <w:rPr>
          <w:lang w:val="en-CA"/>
        </w:rPr>
        <w:t xml:space="preserve"> ». Dans </w:t>
      </w:r>
      <w:r w:rsidRPr="008C0D99">
        <w:rPr>
          <w:i/>
          <w:iCs/>
          <w:lang w:val="en-CA"/>
        </w:rPr>
        <w:t>Wikipédia</w:t>
      </w:r>
      <w:r w:rsidRPr="008C0D99">
        <w:rPr>
          <w:lang w:val="en-CA"/>
        </w:rPr>
        <w:t>. San Francisco, US-CA: Wikipédia, 21 octobre 2020.</w:t>
      </w:r>
      <w:hyperlink r:id="rId205">
        <w:r w:rsidRPr="008C0D99">
          <w:rPr>
            <w:rStyle w:val="Hyperlink"/>
            <w:lang w:val="en-CA"/>
          </w:rPr>
          <w:t xml:space="preserve"> </w:t>
        </w:r>
      </w:hyperlink>
      <w:hyperlink r:id="rId206">
        <w:r>
          <w:rPr>
            <w:rStyle w:val="Hyperlink"/>
          </w:rPr>
          <w:t>https://fr.wikipedia.org/w/index.php?title=%E5%AE%89</w:t>
        </w:r>
      </w:hyperlink>
      <w:r>
        <w:t>.</w:t>
      </w:r>
    </w:p>
    <w:p w14:paraId="72255200" w14:textId="77777777" w:rsidR="004454E2" w:rsidRPr="004454E2" w:rsidRDefault="004454E2" w:rsidP="004454E2">
      <w:pPr>
        <w:pStyle w:val="BodyText"/>
      </w:pPr>
    </w:p>
    <w:p w14:paraId="31A82E5A" w14:textId="77777777" w:rsidR="0084489F" w:rsidRDefault="00110FE6">
      <w:pPr>
        <w:pStyle w:val="Heading2"/>
      </w:pPr>
      <w:bookmarkStart w:id="183" w:name="_Toc176864473"/>
      <w:bookmarkStart w:id="184" w:name="e42-identifiant"/>
      <w:bookmarkEnd w:id="182"/>
      <w:r>
        <w:t>E42 Identifiant</w:t>
      </w:r>
      <w:bookmarkEnd w:id="183"/>
    </w:p>
    <w:p w14:paraId="1C07087E" w14:textId="77777777" w:rsidR="0084489F" w:rsidRDefault="00110FE6">
      <w:pPr>
        <w:pStyle w:val="FirstParagraph"/>
      </w:pPr>
      <w:r>
        <w:rPr>
          <w:b/>
          <w:bCs/>
        </w:rPr>
        <w:t>Sous-classe de</w:t>
      </w:r>
    </w:p>
    <w:p w14:paraId="54DD7C6D" w14:textId="77777777" w:rsidR="0084489F" w:rsidRDefault="00110FE6">
      <w:pPr>
        <w:pStyle w:val="BodyText"/>
      </w:pPr>
      <w:r>
        <w:rPr>
          <w:rStyle w:val="VerbatimChar"/>
        </w:rPr>
        <w:t>E41_Appellation</w:t>
      </w:r>
    </w:p>
    <w:p w14:paraId="4FFB3358" w14:textId="77777777" w:rsidR="0084489F" w:rsidRDefault="00110FE6">
      <w:pPr>
        <w:pStyle w:val="BodyText"/>
      </w:pPr>
      <w:r>
        <w:rPr>
          <w:b/>
          <w:bCs/>
        </w:rPr>
        <w:t>Super-classe de</w:t>
      </w:r>
    </w:p>
    <w:p w14:paraId="72ED9753" w14:textId="77777777" w:rsidR="0084489F" w:rsidRDefault="00110FE6" w:rsidP="004454E2">
      <w:pPr>
        <w:pStyle w:val="BodyText"/>
        <w:keepNext/>
      </w:pPr>
      <w:r>
        <w:rPr>
          <w:b/>
          <w:bCs/>
        </w:rPr>
        <w:lastRenderedPageBreak/>
        <w:t>Note d’application</w:t>
      </w:r>
    </w:p>
    <w:p w14:paraId="1FD33B9F" w14:textId="77777777" w:rsidR="0084489F" w:rsidRDefault="00110FE6" w:rsidP="004454E2">
      <w:pPr>
        <w:pStyle w:val="BodyText"/>
        <w:keepNext/>
      </w:pPr>
      <w:r>
        <w:t xml:space="preserve">Cette classe comprend des chaînes de caractères ou des codes assignés à des instances de </w:t>
      </w:r>
      <w:r>
        <w:rPr>
          <w:rStyle w:val="VerbatimChar"/>
        </w:rPr>
        <w:t>E1_Entité_CRM</w:t>
      </w:r>
      <w:r>
        <w:t xml:space="preserve"> afin de les identifier de manière unique et pérenne dans le contexte d’une ou de plusieurs organisations. Ces codes sont souvent appelés numéros d’inventaire, codes d’enregistrement, etc. et sont typiquement composés de séquences alphanumériques. Les adresses postales, les numéros de téléphone, les URL et les adresses courriel sont des exemples caractéristiques d’identifiants utilisés par des services acheminant des choses entre des clients.</w:t>
      </w:r>
    </w:p>
    <w:p w14:paraId="05A30EF8" w14:textId="77777777" w:rsidR="0084489F" w:rsidRDefault="00110FE6">
      <w:pPr>
        <w:pStyle w:val="BodyText"/>
      </w:pPr>
      <w:r>
        <w:t xml:space="preserve">La classe </w:t>
      </w:r>
      <w:r>
        <w:rPr>
          <w:rStyle w:val="VerbatimChar"/>
        </w:rPr>
        <w:t>E42_Identifiant</w:t>
      </w:r>
      <w:r>
        <w:t xml:space="preserve"> n’est normalement pas utilisée pour représenter des identifiants générés par la machine et utilisés pour le traitement automatisé, sauf si ceux-ci sont aussi utilisés par des agents humains.</w:t>
      </w:r>
    </w:p>
    <w:p w14:paraId="5B81E927" w14:textId="77777777" w:rsidR="0084489F" w:rsidRDefault="00110FE6">
      <w:pPr>
        <w:pStyle w:val="BodyText"/>
      </w:pPr>
      <w:r>
        <w:rPr>
          <w:b/>
          <w:bCs/>
        </w:rPr>
        <w:t>Exemples</w:t>
      </w:r>
    </w:p>
    <w:p w14:paraId="21DA6BB0" w14:textId="77777777" w:rsidR="0084489F" w:rsidRDefault="00110FE6" w:rsidP="00806324">
      <w:pPr>
        <w:numPr>
          <w:ilvl w:val="0"/>
          <w:numId w:val="92"/>
        </w:numPr>
      </w:pPr>
      <w:r>
        <w:t>« MM.GE.195 »</w:t>
      </w:r>
    </w:p>
    <w:p w14:paraId="536215B4" w14:textId="77777777" w:rsidR="0084489F" w:rsidRDefault="00110FE6" w:rsidP="00806324">
      <w:pPr>
        <w:numPr>
          <w:ilvl w:val="0"/>
          <w:numId w:val="92"/>
        </w:numPr>
      </w:pPr>
      <w:r>
        <w:t>« 13.45.1976 »</w:t>
      </w:r>
    </w:p>
    <w:p w14:paraId="74E78144" w14:textId="730FEF43" w:rsidR="0084489F" w:rsidRDefault="00110FE6" w:rsidP="00806324">
      <w:pPr>
        <w:numPr>
          <w:ilvl w:val="0"/>
          <w:numId w:val="92"/>
        </w:numPr>
      </w:pPr>
      <w:r w:rsidRPr="1B9E7434">
        <w:rPr>
          <w:lang w:val="fr-FR"/>
        </w:rPr>
        <w:t>« OXCMS: 1997.4.1 » (fictif)</w:t>
      </w:r>
    </w:p>
    <w:p w14:paraId="7056F69A" w14:textId="77777777" w:rsidR="0084489F" w:rsidRDefault="00110FE6" w:rsidP="00806324">
      <w:pPr>
        <w:numPr>
          <w:ilvl w:val="0"/>
          <w:numId w:val="92"/>
        </w:numPr>
      </w:pPr>
      <w:r>
        <w:t>ISSN « 0041-5278 » [identifiant du « The UNESCO Courier » en version imprimée]</w:t>
      </w:r>
    </w:p>
    <w:p w14:paraId="533F572C" w14:textId="419FEDBE" w:rsidR="0084489F" w:rsidRDefault="00110FE6" w:rsidP="00806324">
      <w:pPr>
        <w:numPr>
          <w:ilvl w:val="0"/>
          <w:numId w:val="92"/>
        </w:numPr>
      </w:pPr>
      <w:r w:rsidRPr="1B9E7434">
        <w:rPr>
          <w:lang w:val="fr-FR"/>
        </w:rPr>
        <w:t>ISRC « FIFIN8900116 » [Identifiant du « Kraft (29 min 14 s) / Magnus Lindberg, comp.; Toimii Ensemble ; Swedish Radio symphony orchestra; Esa-Pekka Salonen, dir. »]</w:t>
      </w:r>
    </w:p>
    <w:p w14:paraId="40001C1C" w14:textId="4AF68132" w:rsidR="0084489F" w:rsidRDefault="00110FE6" w:rsidP="00806324">
      <w:pPr>
        <w:numPr>
          <w:ilvl w:val="0"/>
          <w:numId w:val="92"/>
        </w:numPr>
      </w:pPr>
      <w:r w:rsidRPr="1B9E7434">
        <w:rPr>
          <w:lang w:val="fr-FR"/>
        </w:rPr>
        <w:t>Cote « Res 8 P 10 »</w:t>
      </w:r>
    </w:p>
    <w:p w14:paraId="5F4331F1" w14:textId="3B0730CD" w:rsidR="0084489F" w:rsidRDefault="00110FE6" w:rsidP="00806324">
      <w:pPr>
        <w:numPr>
          <w:ilvl w:val="0"/>
          <w:numId w:val="92"/>
        </w:numPr>
      </w:pPr>
      <w:r w:rsidRPr="1B9E7434">
        <w:rPr>
          <w:lang w:val="fr-FR"/>
        </w:rPr>
        <w:t>« Guillaume de Machaut (1300?-1377) » [un nom de personne utilisé dans une vedette d’autorité qui suit les règles de catalogage françaises] (Reaney, 1974)</w:t>
      </w:r>
    </w:p>
    <w:p w14:paraId="2FDFC73D" w14:textId="77777777" w:rsidR="0084489F" w:rsidRDefault="00110FE6" w:rsidP="00806324">
      <w:pPr>
        <w:numPr>
          <w:ilvl w:val="0"/>
          <w:numId w:val="92"/>
        </w:numPr>
      </w:pPr>
      <w:r>
        <w:t>« +41 22 418 5571 »</w:t>
      </w:r>
    </w:p>
    <w:p w14:paraId="36EB3D16" w14:textId="77777777" w:rsidR="0084489F" w:rsidRDefault="00000000" w:rsidP="00806324">
      <w:pPr>
        <w:numPr>
          <w:ilvl w:val="0"/>
          <w:numId w:val="92"/>
        </w:numPr>
      </w:pPr>
      <w:hyperlink r:id="rId207">
        <w:r w:rsidR="00110FE6">
          <w:rPr>
            <w:rStyle w:val="Hyperlink"/>
          </w:rPr>
          <w:t>weasel@paveprime.com</w:t>
        </w:r>
      </w:hyperlink>
    </w:p>
    <w:p w14:paraId="79934B3B" w14:textId="77777777" w:rsidR="0084489F" w:rsidRDefault="00110FE6" w:rsidP="00806324">
      <w:pPr>
        <w:numPr>
          <w:ilvl w:val="0"/>
          <w:numId w:val="92"/>
        </w:numPr>
      </w:pPr>
      <w:r>
        <w:t>« Rue David Dufour 5, CH-1211, Genève »</w:t>
      </w:r>
    </w:p>
    <w:p w14:paraId="22BA1943" w14:textId="423A9E36" w:rsidR="0084489F" w:rsidRDefault="00110FE6" w:rsidP="00806324">
      <w:pPr>
        <w:numPr>
          <w:ilvl w:val="0"/>
          <w:numId w:val="92"/>
        </w:numPr>
      </w:pPr>
      <w:r w:rsidRPr="1B9E7434">
        <w:rPr>
          <w:lang w:val="fr-FR"/>
        </w:rPr>
        <w:t>« 1-29-3 Otsuka, Bunkyo-ku, Tokyo, 121, Japan »</w:t>
      </w:r>
    </w:p>
    <w:p w14:paraId="5867D882" w14:textId="77777777" w:rsidR="0084489F" w:rsidRDefault="00110FE6">
      <w:pPr>
        <w:pStyle w:val="FirstParagraph"/>
      </w:pPr>
      <w:r>
        <w:rPr>
          <w:b/>
          <w:bCs/>
        </w:rPr>
        <w:t>Logique</w:t>
      </w:r>
    </w:p>
    <w:p w14:paraId="22E9E3C5" w14:textId="77777777" w:rsidR="0084489F" w:rsidRDefault="00110FE6">
      <w:pPr>
        <w:pStyle w:val="BodyText"/>
      </w:pPr>
      <w:r>
        <w:t>E42(x) ⇒ E41(x)</w:t>
      </w:r>
    </w:p>
    <w:p w14:paraId="01D3CFAA" w14:textId="77777777" w:rsidR="0084489F" w:rsidRDefault="00110FE6">
      <w:pPr>
        <w:pStyle w:val="BodyText"/>
      </w:pPr>
      <w:r>
        <w:rPr>
          <w:b/>
          <w:bCs/>
        </w:rPr>
        <w:t>Propriétés</w:t>
      </w:r>
    </w:p>
    <w:p w14:paraId="35D27118" w14:textId="77777777" w:rsidR="0084489F" w:rsidRDefault="00110FE6">
      <w:pPr>
        <w:pStyle w:val="BlockText"/>
      </w:pPr>
      <w:r>
        <w:rPr>
          <w:b/>
          <w:bCs/>
          <w:i/>
          <w:iCs/>
        </w:rPr>
        <w:t>Note de traduction</w:t>
      </w:r>
    </w:p>
    <w:p w14:paraId="6549725F" w14:textId="77777777" w:rsidR="0084489F" w:rsidRDefault="00110FE6">
      <w:pPr>
        <w:pStyle w:val="BlockText"/>
      </w:pPr>
      <w:r>
        <w:rPr>
          <w:b/>
          <w:bCs/>
          <w:i/>
          <w:iCs/>
        </w:rPr>
        <w:t>Références</w:t>
      </w:r>
    </w:p>
    <w:p w14:paraId="4DB59063" w14:textId="77777777" w:rsidR="0084489F" w:rsidRDefault="0084489F">
      <w:pPr>
        <w:pStyle w:val="BlockText"/>
      </w:pPr>
    </w:p>
    <w:p w14:paraId="4970F2B1" w14:textId="77777777" w:rsidR="0084489F" w:rsidRDefault="00110FE6">
      <w:pPr>
        <w:pStyle w:val="Heading2"/>
      </w:pPr>
      <w:bookmarkStart w:id="185" w:name="_Toc176864474"/>
      <w:bookmarkStart w:id="186" w:name="e52-intervalle-temporel"/>
      <w:bookmarkEnd w:id="184"/>
      <w:r>
        <w:t>E52 Intervalle temporel</w:t>
      </w:r>
      <w:bookmarkEnd w:id="185"/>
    </w:p>
    <w:p w14:paraId="0D1B4A25" w14:textId="77777777" w:rsidR="0084489F" w:rsidRDefault="00110FE6">
      <w:pPr>
        <w:pStyle w:val="FirstParagraph"/>
      </w:pPr>
      <w:r>
        <w:rPr>
          <w:b/>
          <w:bCs/>
        </w:rPr>
        <w:t>Sous-classe de</w:t>
      </w:r>
    </w:p>
    <w:p w14:paraId="6AF818BF" w14:textId="77777777" w:rsidR="0084489F" w:rsidRDefault="00110FE6">
      <w:pPr>
        <w:pStyle w:val="BodyText"/>
      </w:pPr>
      <w:r>
        <w:rPr>
          <w:rStyle w:val="VerbatimChar"/>
        </w:rPr>
        <w:t>E1_Entité_CRM</w:t>
      </w:r>
    </w:p>
    <w:p w14:paraId="4ADA5724" w14:textId="77777777" w:rsidR="0084489F" w:rsidRDefault="00110FE6">
      <w:pPr>
        <w:pStyle w:val="BodyText"/>
      </w:pPr>
      <w:r>
        <w:rPr>
          <w:b/>
          <w:bCs/>
        </w:rPr>
        <w:t>Super-classe de</w:t>
      </w:r>
    </w:p>
    <w:p w14:paraId="354DCE61" w14:textId="77777777" w:rsidR="0084489F" w:rsidRDefault="00110FE6">
      <w:pPr>
        <w:pStyle w:val="BodyText"/>
      </w:pPr>
      <w:r>
        <w:rPr>
          <w:b/>
          <w:bCs/>
        </w:rPr>
        <w:lastRenderedPageBreak/>
        <w:t>Note d’application</w:t>
      </w:r>
    </w:p>
    <w:p w14:paraId="04F331F7" w14:textId="77777777" w:rsidR="0084489F" w:rsidRDefault="00110FE6">
      <w:pPr>
        <w:pStyle w:val="BodyText"/>
      </w:pPr>
      <w:r>
        <w:t>Cette classe comprend des étendues temporelles abstraites, au sens de la physique galiléenne, ayant un début, une fin et une durée.</w:t>
      </w:r>
    </w:p>
    <w:p w14:paraId="00D0723A" w14:textId="77777777" w:rsidR="0084489F" w:rsidRDefault="00110FE6">
      <w:pPr>
        <w:pStyle w:val="BodyText"/>
      </w:pPr>
      <w:r>
        <w:t xml:space="preserve">Les instances de </w:t>
      </w:r>
      <w:r>
        <w:rPr>
          <w:rStyle w:val="VerbatimChar"/>
        </w:rPr>
        <w:t>E52_Intervalle_temporel</w:t>
      </w:r>
      <w:r>
        <w:t xml:space="preserve"> n'ont aucune connotation sémantique au sujet des phénomènes se produisant dans l'étendue temporelle qu'elles représentent. Elles ne véhiculent aucun autre sens que celui du positionnement sur la « ligne du temps » de la chronologie. L'étendue réelle d'une instance de </w:t>
      </w:r>
      <w:r>
        <w:rPr>
          <w:rStyle w:val="VerbatimChar"/>
        </w:rPr>
        <w:t>E52_Intervalle_temporel</w:t>
      </w:r>
      <w:r>
        <w:t xml:space="preserve"> peut être estimée en se référant aux propriétés de </w:t>
      </w:r>
      <w:r>
        <w:rPr>
          <w:rStyle w:val="VerbatimChar"/>
        </w:rPr>
        <w:t>E52_Intervalle_temporel</w:t>
      </w:r>
      <w:r>
        <w:t xml:space="preserve"> qui indiquent des limites internes et externes sous la forme de dates (instances de </w:t>
      </w:r>
      <w:r>
        <w:rPr>
          <w:rStyle w:val="VerbatimChar"/>
        </w:rPr>
        <w:t>E61_Primitive_temporelle</w:t>
      </w:r>
      <w:r>
        <w:t>). La comparaison des connaissances sur les intervalles de temps est fondamentale pour le raisonnement chronologique.</w:t>
      </w:r>
    </w:p>
    <w:p w14:paraId="57BAD5F6" w14:textId="77777777" w:rsidR="0084489F" w:rsidRDefault="00110FE6">
      <w:pPr>
        <w:pStyle w:val="BodyText"/>
      </w:pPr>
      <w:r w:rsidRPr="1B9E7434">
        <w:rPr>
          <w:lang w:val="fr-FR"/>
        </w:rPr>
        <w:t xml:space="preserve">Certaines instances de </w:t>
      </w:r>
      <w:r w:rsidRPr="1B9E7434">
        <w:rPr>
          <w:rStyle w:val="VerbatimChar"/>
          <w:lang w:val="fr-FR"/>
        </w:rPr>
        <w:t>E52_Intervalle_temporel</w:t>
      </w:r>
      <w:r w:rsidRPr="1B9E7434">
        <w:rPr>
          <w:lang w:val="fr-FR"/>
        </w:rPr>
        <w:t xml:space="preserve"> peuvent être définies comme l'étendue temporelle réelle, en principe observable, d’instances de </w:t>
      </w:r>
      <w:r w:rsidRPr="1B9E7434">
        <w:rPr>
          <w:rStyle w:val="VerbatimChar"/>
          <w:lang w:val="fr-FR"/>
        </w:rPr>
        <w:t>E2_Entité_temporelle</w:t>
      </w:r>
      <w:r w:rsidRPr="1B9E7434">
        <w:rPr>
          <w:lang w:val="fr-FR"/>
        </w:rPr>
        <w:t xml:space="preserve"> au moyen de la propriété </w:t>
      </w:r>
      <w:r w:rsidRPr="1B9E7434">
        <w:rPr>
          <w:rStyle w:val="VerbatimChar"/>
          <w:lang w:val="fr-FR"/>
        </w:rPr>
        <w:t>P4_a_pour_intervalle_temporel (est_l’intervalle_temporel_de)</w:t>
      </w:r>
      <w:r w:rsidRPr="1B9E7434">
        <w:rPr>
          <w:lang w:val="fr-FR"/>
        </w:rPr>
        <w:t xml:space="preserve"> : </w:t>
      </w:r>
      <w:r w:rsidRPr="1B9E7434">
        <w:rPr>
          <w:rStyle w:val="VerbatimChar"/>
          <w:lang w:val="fr-FR"/>
        </w:rPr>
        <w:t>E52_Intervalle_temporel</w:t>
      </w:r>
      <w:r w:rsidRPr="1B9E7434">
        <w:rPr>
          <w:lang w:val="fr-FR"/>
        </w:rPr>
        <w:t xml:space="preserve">. Ils constituent des intervalles de temps phénoménaux tels que définis dans </w:t>
      </w:r>
      <w:hyperlink r:id="rId208">
        <w:r w:rsidRPr="1B9E7434">
          <w:rPr>
            <w:rStyle w:val="Hyperlink"/>
            <w:lang w:val="fr-FR"/>
          </w:rPr>
          <w:t>CRMgeo</w:t>
        </w:r>
      </w:hyperlink>
      <w:r w:rsidRPr="1B9E7434">
        <w:rPr>
          <w:lang w:val="fr-FR"/>
        </w:rPr>
        <w:t xml:space="preserve"> (Doerr &amp; Hiebel, 2013). Puisque la connaissance de l'histoire est imparfaite et que les phénomènes physiques sont flous de nature, l'étendue d’intervalles temporels phénoménaux ne peut être décrite qu’approximativement. Un cas extrême d'approximation pourrait, par exemple, définir une instance de </w:t>
      </w:r>
      <w:r w:rsidRPr="1B9E7434">
        <w:rPr>
          <w:rStyle w:val="VerbatimChar"/>
          <w:lang w:val="fr-FR"/>
        </w:rPr>
        <w:t>E52_Intervalle_temporel</w:t>
      </w:r>
      <w:r w:rsidRPr="1B9E7434">
        <w:rPr>
          <w:lang w:val="fr-FR"/>
        </w:rPr>
        <w:t xml:space="preserve"> ayant un début, une fin et une durée inconnus. Cette instance pourrait néanmoins être associée à d'autres descriptions grâce auxquelles il serait possible d'inférer des informations, comme dans le cas des chronologies relatives.</w:t>
      </w:r>
    </w:p>
    <w:p w14:paraId="35AF35BB" w14:textId="77777777" w:rsidR="0084489F" w:rsidRDefault="00110FE6">
      <w:pPr>
        <w:pStyle w:val="BodyText"/>
      </w:pPr>
      <w:r w:rsidRPr="1B9E7434">
        <w:rPr>
          <w:lang w:val="fr-FR"/>
        </w:rPr>
        <w:t xml:space="preserve">Certaines instances de </w:t>
      </w:r>
      <w:r w:rsidRPr="1B9E7434">
        <w:rPr>
          <w:rStyle w:val="VerbatimChar"/>
          <w:lang w:val="fr-FR"/>
        </w:rPr>
        <w:t>E52_Intervalle_temporel</w:t>
      </w:r>
      <w:r w:rsidRPr="1B9E7434">
        <w:rPr>
          <w:lang w:val="fr-FR"/>
        </w:rPr>
        <w:t xml:space="preserve"> peuvent être définies précisément comme représentant une déclaration d'une étendue temporelle, par exemple, réalisée dans le cadre d’un contrat commercial. Elles constituent des intervalles de temps déclaratifs tels que définis dans CRMgeo (Doerr &amp; Hiebel 2013) et peuvent être décrites au moyen de la propriété </w:t>
      </w:r>
      <w:r w:rsidRPr="1B9E7434">
        <w:rPr>
          <w:rStyle w:val="VerbatimChar"/>
          <w:lang w:val="fr-FR"/>
        </w:rPr>
        <w:t>E61_Primitive_temporelle</w:t>
      </w:r>
      <w:r w:rsidRPr="1B9E7434">
        <w:rPr>
          <w:lang w:val="fr-FR"/>
        </w:rPr>
        <w:t xml:space="preserve"> </w:t>
      </w:r>
      <w:r w:rsidRPr="1B9E7434">
        <w:rPr>
          <w:rStyle w:val="VerbatimChar"/>
          <w:lang w:val="fr-FR"/>
        </w:rPr>
        <w:t>P170_temps_défini_par (définit_le_temps)</w:t>
      </w:r>
      <w:r w:rsidRPr="1B9E7434">
        <w:rPr>
          <w:lang w:val="fr-FR"/>
        </w:rPr>
        <w:t xml:space="preserve"> : </w:t>
      </w:r>
      <w:r w:rsidRPr="1B9E7434">
        <w:rPr>
          <w:rStyle w:val="VerbatimChar"/>
          <w:lang w:val="fr-FR"/>
        </w:rPr>
        <w:t>E52_Intervalle_temporel</w:t>
      </w:r>
      <w:r w:rsidRPr="1B9E7434">
        <w:rPr>
          <w:lang w:val="fr-FR"/>
        </w:rPr>
        <w:t>.</w:t>
      </w:r>
    </w:p>
    <w:p w14:paraId="1DAD1370" w14:textId="77777777" w:rsidR="0084489F" w:rsidRDefault="00110FE6">
      <w:pPr>
        <w:pStyle w:val="BodyText"/>
      </w:pPr>
      <w:r>
        <w:t xml:space="preserve">Lorsqu’une même instance de </w:t>
      </w:r>
      <w:r>
        <w:rPr>
          <w:rStyle w:val="VerbatimChar"/>
        </w:rPr>
        <w:t>E52_Intervalle_temporel</w:t>
      </w:r>
      <w:r>
        <w:t xml:space="preserve"> est utilisée pour deux évènements, celle-ci décrit ces derniers comme étant simultanés, même si rien d'autre n'est connu.</w:t>
      </w:r>
    </w:p>
    <w:p w14:paraId="13CF74A0" w14:textId="77777777" w:rsidR="0084489F" w:rsidRDefault="00110FE6">
      <w:pPr>
        <w:pStyle w:val="BodyText"/>
      </w:pPr>
      <w:r>
        <w:rPr>
          <w:b/>
          <w:bCs/>
        </w:rPr>
        <w:t>Exemples</w:t>
      </w:r>
    </w:p>
    <w:p w14:paraId="18B9D5CD" w14:textId="77777777" w:rsidR="0084489F" w:rsidRDefault="00110FE6" w:rsidP="00806324">
      <w:pPr>
        <w:numPr>
          <w:ilvl w:val="0"/>
          <w:numId w:val="93"/>
        </w:numPr>
      </w:pPr>
      <w:r>
        <w:t>1961</w:t>
      </w:r>
    </w:p>
    <w:p w14:paraId="2C4BCB60" w14:textId="77777777" w:rsidR="0084489F" w:rsidRDefault="00110FE6" w:rsidP="00806324">
      <w:pPr>
        <w:numPr>
          <w:ilvl w:val="0"/>
          <w:numId w:val="93"/>
        </w:numPr>
      </w:pPr>
      <w:r>
        <w:t>Du 1993-12-17 au 1996-12-08</w:t>
      </w:r>
    </w:p>
    <w:p w14:paraId="72C5FAAA" w14:textId="77777777" w:rsidR="0084489F" w:rsidRDefault="00110FE6" w:rsidP="00806324">
      <w:pPr>
        <w:numPr>
          <w:ilvl w:val="0"/>
          <w:numId w:val="93"/>
        </w:numPr>
      </w:pPr>
      <w:r>
        <w:t>14 h 30 à 16 h 22 4 juillet 1945</w:t>
      </w:r>
    </w:p>
    <w:p w14:paraId="302E2EF7" w14:textId="3455665F" w:rsidR="0084489F" w:rsidRDefault="00110FE6" w:rsidP="00806324">
      <w:pPr>
        <w:numPr>
          <w:ilvl w:val="0"/>
          <w:numId w:val="93"/>
        </w:numPr>
      </w:pPr>
      <w:r w:rsidRPr="1B9E7434">
        <w:rPr>
          <w:lang w:val="fr-FR"/>
        </w:rPr>
        <w:t>9:30 am 1999.01.01 à 2:00 pm 1999.01.01</w:t>
      </w:r>
    </w:p>
    <w:p w14:paraId="76CC8016" w14:textId="77777777" w:rsidR="0084489F" w:rsidRDefault="00110FE6" w:rsidP="00806324">
      <w:pPr>
        <w:numPr>
          <w:ilvl w:val="0"/>
          <w:numId w:val="93"/>
        </w:numPr>
      </w:pPr>
      <w:r>
        <w:t>Intervalle temporel de la dynastie Ming (Chan, 2011)</w:t>
      </w:r>
    </w:p>
    <w:p w14:paraId="1E5ABB57" w14:textId="77777777" w:rsidR="0084489F" w:rsidRDefault="00110FE6">
      <w:pPr>
        <w:pStyle w:val="FirstParagraph"/>
      </w:pPr>
      <w:r>
        <w:rPr>
          <w:b/>
          <w:bCs/>
        </w:rPr>
        <w:t>Logique</w:t>
      </w:r>
    </w:p>
    <w:p w14:paraId="19D1A916" w14:textId="77777777" w:rsidR="0084489F" w:rsidRDefault="00110FE6">
      <w:pPr>
        <w:pStyle w:val="BodyText"/>
      </w:pPr>
      <w:r>
        <w:t>E52(x) ⇒ E1(x)</w:t>
      </w:r>
    </w:p>
    <w:p w14:paraId="1B50787A" w14:textId="77777777" w:rsidR="0084489F" w:rsidRDefault="00110FE6">
      <w:pPr>
        <w:pStyle w:val="BodyText"/>
      </w:pPr>
      <w:r>
        <w:rPr>
          <w:b/>
          <w:bCs/>
        </w:rPr>
        <w:t>Propriétés</w:t>
      </w:r>
    </w:p>
    <w:p w14:paraId="792A9EBB" w14:textId="77777777" w:rsidR="0084489F" w:rsidRDefault="00110FE6">
      <w:pPr>
        <w:pStyle w:val="BodyText"/>
      </w:pPr>
      <w:r>
        <w:rPr>
          <w:rStyle w:val="VerbatimChar"/>
        </w:rPr>
        <w:t>P79_a_son_début_qualifié_par</w:t>
      </w:r>
      <w:r>
        <w:t xml:space="preserve"> : </w:t>
      </w:r>
      <w:r>
        <w:rPr>
          <w:rStyle w:val="VerbatimChar"/>
        </w:rPr>
        <w:t>E62_Chaîne_de_caractères</w:t>
      </w:r>
    </w:p>
    <w:p w14:paraId="731877E6" w14:textId="77777777" w:rsidR="0084489F" w:rsidRDefault="00110FE6">
      <w:pPr>
        <w:pStyle w:val="BodyText"/>
      </w:pPr>
      <w:r>
        <w:rPr>
          <w:rStyle w:val="VerbatimChar"/>
        </w:rPr>
        <w:t>P80_a_sa_fin_qualifiée_par</w:t>
      </w:r>
      <w:r>
        <w:t xml:space="preserve"> : </w:t>
      </w:r>
      <w:r>
        <w:rPr>
          <w:rStyle w:val="VerbatimChar"/>
        </w:rPr>
        <w:t>E62_Chaîne_de_caractères</w:t>
      </w:r>
    </w:p>
    <w:p w14:paraId="0CBC9816" w14:textId="77777777" w:rsidR="0084489F" w:rsidRDefault="00110FE6">
      <w:pPr>
        <w:pStyle w:val="BodyText"/>
      </w:pPr>
      <w:r>
        <w:rPr>
          <w:rStyle w:val="VerbatimChar"/>
        </w:rPr>
        <w:t>P81_a_couvert</w:t>
      </w:r>
      <w:r>
        <w:t xml:space="preserve"> : </w:t>
      </w:r>
      <w:r>
        <w:rPr>
          <w:rStyle w:val="VerbatimChar"/>
        </w:rPr>
        <w:t>E61_Primitive_temporelle</w:t>
      </w:r>
    </w:p>
    <w:p w14:paraId="3A233C44" w14:textId="77777777" w:rsidR="0084489F" w:rsidRDefault="00110FE6">
      <w:pPr>
        <w:pStyle w:val="BodyText"/>
      </w:pPr>
      <w:r>
        <w:rPr>
          <w:rStyle w:val="VerbatimChar"/>
        </w:rPr>
        <w:lastRenderedPageBreak/>
        <w:t>P82_a_eu_lieu_durant</w:t>
      </w:r>
      <w:r>
        <w:t xml:space="preserve"> : </w:t>
      </w:r>
      <w:r>
        <w:rPr>
          <w:rStyle w:val="VerbatimChar"/>
        </w:rPr>
        <w:t>E61_Primitive_temporelle</w:t>
      </w:r>
    </w:p>
    <w:p w14:paraId="74CBBFFC" w14:textId="77777777" w:rsidR="0084489F" w:rsidRDefault="00110FE6">
      <w:pPr>
        <w:pStyle w:val="BodyText"/>
      </w:pPr>
      <w:r>
        <w:rPr>
          <w:rStyle w:val="VerbatimChar"/>
        </w:rPr>
        <w:t>P86_s’insère_dans (contient)</w:t>
      </w:r>
      <w:r>
        <w:t xml:space="preserve"> : </w:t>
      </w:r>
      <w:r>
        <w:rPr>
          <w:rStyle w:val="VerbatimChar"/>
        </w:rPr>
        <w:t>E52_Intervalle_temporel</w:t>
      </w:r>
    </w:p>
    <w:p w14:paraId="47912B18" w14:textId="77777777" w:rsidR="0084489F" w:rsidRDefault="00110FE6">
      <w:pPr>
        <w:pStyle w:val="BodyText"/>
      </w:pPr>
      <w:r w:rsidRPr="1B9E7434">
        <w:rPr>
          <w:rStyle w:val="VerbatimChar"/>
          <w:lang w:val="fr-FR"/>
        </w:rPr>
        <w:t>P191_a_eu_pour_durée (était_la_durée_de)</w:t>
      </w:r>
      <w:r w:rsidRPr="1B9E7434">
        <w:rPr>
          <w:lang w:val="fr-FR"/>
        </w:rPr>
        <w:t xml:space="preserve"> : </w:t>
      </w:r>
      <w:r w:rsidRPr="1B9E7434">
        <w:rPr>
          <w:rStyle w:val="VerbatimChar"/>
          <w:lang w:val="fr-FR"/>
        </w:rPr>
        <w:t>E54_Dimension</w:t>
      </w:r>
    </w:p>
    <w:p w14:paraId="272F1DFF" w14:textId="77777777" w:rsidR="0084489F" w:rsidRDefault="00110FE6">
      <w:pPr>
        <w:pStyle w:val="BlockText"/>
      </w:pPr>
      <w:r>
        <w:rPr>
          <w:b/>
          <w:bCs/>
          <w:i/>
          <w:iCs/>
        </w:rPr>
        <w:t>Note de traduction</w:t>
      </w:r>
    </w:p>
    <w:p w14:paraId="559E9727" w14:textId="77777777" w:rsidR="0084489F" w:rsidRDefault="00110FE6">
      <w:pPr>
        <w:pStyle w:val="BlockText"/>
      </w:pPr>
      <w:r w:rsidRPr="1B9E7434">
        <w:rPr>
          <w:lang w:val="fr-FR"/>
        </w:rPr>
        <w:t>Le terme « via » a été traduit par « au moyen de » tel que suggéré par Termium Plus.</w:t>
      </w:r>
    </w:p>
    <w:p w14:paraId="40199300" w14:textId="77777777" w:rsidR="0084489F" w:rsidRDefault="00110FE6">
      <w:pPr>
        <w:pStyle w:val="BlockText"/>
      </w:pPr>
      <w:r>
        <w:t>Les exemples ont été traduits en concordance avec la version anglaise afin de démontrer que plusieurs typographies peuvent être utilisées pour indiquer les intervalles de temps. Toutefois, le Groupe de traduction a statué que la norme ISO sur la représentation de la date et de l’heure doit être privilégiée en français : AAAA-MM-JJ et la notation de l’heure selon la journée de vingt-quatre heures (de 0 h à 24 h).</w:t>
      </w:r>
    </w:p>
    <w:p w14:paraId="30294D0E" w14:textId="77777777" w:rsidR="0084489F" w:rsidRDefault="00110FE6">
      <w:pPr>
        <w:pStyle w:val="BlockText"/>
      </w:pPr>
      <w:r>
        <w:rPr>
          <w:b/>
          <w:bCs/>
          <w:i/>
          <w:iCs/>
        </w:rPr>
        <w:t>Références</w:t>
      </w:r>
    </w:p>
    <w:p w14:paraId="3B7DD4B3" w14:textId="77777777" w:rsidR="0084489F" w:rsidRDefault="00110FE6">
      <w:pPr>
        <w:pStyle w:val="BlockText"/>
      </w:pPr>
      <w:r w:rsidRPr="1B9E7434">
        <w:rPr>
          <w:lang w:val="fr-FR"/>
        </w:rPr>
        <w:t>CIDOC CRM. « CRMgeo ». Modèle, 2021.</w:t>
      </w:r>
      <w:hyperlink r:id="rId209">
        <w:r w:rsidRPr="1B9E7434">
          <w:rPr>
            <w:rStyle w:val="Hyperlink"/>
            <w:lang w:val="fr-FR"/>
          </w:rPr>
          <w:t xml:space="preserve"> </w:t>
        </w:r>
      </w:hyperlink>
      <w:hyperlink r:id="rId210">
        <w:r w:rsidRPr="1B9E7434">
          <w:rPr>
            <w:rStyle w:val="Hyperlink"/>
            <w:lang w:val="fr-FR"/>
          </w:rPr>
          <w:t>http://www.cidoc-crm.org/crmgeo/home-5</w:t>
        </w:r>
      </w:hyperlink>
      <w:r w:rsidRPr="1B9E7434">
        <w:rPr>
          <w:lang w:val="fr-FR"/>
        </w:rPr>
        <w:t>.</w:t>
      </w:r>
    </w:p>
    <w:p w14:paraId="65559CDC" w14:textId="77777777" w:rsidR="0084489F" w:rsidRDefault="00110FE6">
      <w:pPr>
        <w:pStyle w:val="BlockText"/>
      </w:pPr>
      <w:r w:rsidRPr="1B9E7434">
        <w:rPr>
          <w:lang w:val="fr-FR"/>
        </w:rPr>
        <w:t xml:space="preserve">Office québécois de la langue française. « Écriture des dates et des heures dans les lettres et les textes courants ». Dans </w:t>
      </w:r>
      <w:r w:rsidRPr="1B9E7434">
        <w:rPr>
          <w:i/>
          <w:iCs/>
          <w:lang w:val="fr-FR"/>
        </w:rPr>
        <w:t>Banque de dépannage linguistique</w:t>
      </w:r>
      <w:r w:rsidRPr="1B9E7434">
        <w:rPr>
          <w:lang w:val="fr-FR"/>
        </w:rPr>
        <w:t>. Québec, CA-QC: Office québécois de la langue française, 2019.</w:t>
      </w:r>
      <w:hyperlink r:id="rId211">
        <w:r w:rsidRPr="1B9E7434">
          <w:rPr>
            <w:rStyle w:val="Hyperlink"/>
            <w:lang w:val="fr-FR"/>
          </w:rPr>
          <w:t xml:space="preserve"> </w:t>
        </w:r>
      </w:hyperlink>
      <w:hyperlink r:id="rId212">
        <w:r w:rsidRPr="1B9E7434">
          <w:rPr>
            <w:rStyle w:val="Hyperlink"/>
            <w:lang w:val="fr-FR"/>
          </w:rPr>
          <w:t>https://vitrinelinguistique.oqlf.gouv.qc.ca/21242/la-typographie/nombres/ecriture-des-dates-et-des-heures-dans-les-lettres-et-les-textes-courants</w:t>
        </w:r>
      </w:hyperlink>
      <w:r w:rsidRPr="1B9E7434">
        <w:rPr>
          <w:lang w:val="fr-FR"/>
        </w:rPr>
        <w:t>.</w:t>
      </w:r>
    </w:p>
    <w:p w14:paraId="206F88DA" w14:textId="77777777" w:rsidR="0084489F" w:rsidRDefault="00110FE6">
      <w:pPr>
        <w:pStyle w:val="BlockText"/>
      </w:pPr>
      <w:r w:rsidRPr="1B9E7434">
        <w:rPr>
          <w:lang w:val="fr-FR"/>
        </w:rPr>
        <w:t xml:space="preserve">Termium. « via ». Dans </w:t>
      </w:r>
      <w:r w:rsidRPr="1B9E7434">
        <w:rPr>
          <w:i/>
          <w:iCs/>
          <w:lang w:val="fr-FR"/>
        </w:rPr>
        <w:t>Termium Plus</w:t>
      </w:r>
      <w:r w:rsidRPr="1B9E7434">
        <w:rPr>
          <w:lang w:val="fr-FR"/>
        </w:rPr>
        <w:t>. Ottawa, CA-ON: Gouvernement du Canada, 8 mars 2001.</w:t>
      </w:r>
      <w:hyperlink r:id="rId213" w:anchor="fichesauve-saverecord4">
        <w:r w:rsidRPr="1B9E7434">
          <w:rPr>
            <w:rStyle w:val="Hyperlink"/>
            <w:lang w:val="fr-FR"/>
          </w:rPr>
          <w:t xml:space="preserve"> </w:t>
        </w:r>
      </w:hyperlink>
      <w:hyperlink r:id="rId214" w:anchor="fichesauve-saverecord4">
        <w:r w:rsidRPr="1B9E7434">
          <w:rPr>
            <w:rStyle w:val="Hyperlink"/>
            <w:lang w:val="fr-FR"/>
          </w:rPr>
          <w:t>https://www.btb.termiumplus.gc.ca/tpv2alpha/alpha-fra.html?lang=fra&amp;srchtxt=VIA&amp;i=&amp;index=ent&amp;sg_kp_wet=1323269&amp;fchrcrdnm=4#fichesauve-saverecord4</w:t>
        </w:r>
      </w:hyperlink>
      <w:r w:rsidRPr="1B9E7434">
        <w:rPr>
          <w:lang w:val="fr-FR"/>
        </w:rPr>
        <w:t>.</w:t>
      </w:r>
    </w:p>
    <w:p w14:paraId="7227BF09" w14:textId="77777777" w:rsidR="004454E2" w:rsidRPr="004454E2" w:rsidRDefault="004454E2" w:rsidP="004454E2">
      <w:pPr>
        <w:pStyle w:val="BodyText"/>
      </w:pPr>
    </w:p>
    <w:p w14:paraId="71E1E05E" w14:textId="77777777" w:rsidR="0084489F" w:rsidRDefault="00110FE6">
      <w:pPr>
        <w:pStyle w:val="Heading2"/>
      </w:pPr>
      <w:bookmarkStart w:id="187" w:name="_Toc176864475"/>
      <w:bookmarkStart w:id="188" w:name="e53-lieu"/>
      <w:bookmarkEnd w:id="186"/>
      <w:r>
        <w:t>E53 Lieu</w:t>
      </w:r>
      <w:bookmarkEnd w:id="187"/>
    </w:p>
    <w:p w14:paraId="016979CD" w14:textId="77777777" w:rsidR="0084489F" w:rsidRDefault="00110FE6">
      <w:pPr>
        <w:pStyle w:val="FirstParagraph"/>
      </w:pPr>
      <w:r>
        <w:rPr>
          <w:b/>
          <w:bCs/>
        </w:rPr>
        <w:t>Sous-classe de</w:t>
      </w:r>
    </w:p>
    <w:p w14:paraId="4672667E" w14:textId="77777777" w:rsidR="0084489F" w:rsidRDefault="00110FE6">
      <w:pPr>
        <w:pStyle w:val="BodyText"/>
      </w:pPr>
      <w:r>
        <w:rPr>
          <w:rStyle w:val="VerbatimChar"/>
        </w:rPr>
        <w:t>E1_Entité_CRM</w:t>
      </w:r>
    </w:p>
    <w:p w14:paraId="2DD2D262" w14:textId="77777777" w:rsidR="0084489F" w:rsidRDefault="00110FE6">
      <w:pPr>
        <w:pStyle w:val="BodyText"/>
      </w:pPr>
      <w:r>
        <w:rPr>
          <w:b/>
          <w:bCs/>
        </w:rPr>
        <w:t>Super-classe de</w:t>
      </w:r>
    </w:p>
    <w:p w14:paraId="0BDDBA0B" w14:textId="77777777" w:rsidR="0084489F" w:rsidRDefault="00110FE6">
      <w:pPr>
        <w:pStyle w:val="BodyText"/>
      </w:pPr>
      <w:r>
        <w:rPr>
          <w:b/>
          <w:bCs/>
        </w:rPr>
        <w:t>Note d’application</w:t>
      </w:r>
    </w:p>
    <w:p w14:paraId="5436F390" w14:textId="77777777" w:rsidR="0084489F" w:rsidRDefault="00110FE6">
      <w:pPr>
        <w:pStyle w:val="BodyText"/>
      </w:pPr>
      <w:r>
        <w:t xml:space="preserve">Cette classe comprend des étendues dans l'espace naturel dans lequel des personnes vivent, en particulier à la surface de la Terre, au sens pur de la physique : indépendantes des phénomènes temporels et de la matière. La classe </w:t>
      </w:r>
      <w:r>
        <w:rPr>
          <w:rStyle w:val="VerbatimChar"/>
        </w:rPr>
        <w:t>E53_Lieu</w:t>
      </w:r>
      <w:r>
        <w:t xml:space="preserve"> peut servir à décrire la localisation physique de choses, de phénomènes ou d'autres domaines d'intérêt. Géométriquement, les instances de </w:t>
      </w:r>
      <w:r>
        <w:rPr>
          <w:rStyle w:val="VerbatimChar"/>
        </w:rPr>
        <w:t>E53_Lieu</w:t>
      </w:r>
      <w:r>
        <w:t xml:space="preserve"> constituent des zones uniques contiguës ou des agrégations finies de zones disjointes dans l'espace qui sont chacune individuellement contiguës. Les instances de </w:t>
      </w:r>
      <w:r>
        <w:rPr>
          <w:rStyle w:val="VerbatimChar"/>
        </w:rPr>
        <w:t>E53_Lieu</w:t>
      </w:r>
      <w:r>
        <w:t xml:space="preserve"> peuvent avoir des limites floues.</w:t>
      </w:r>
    </w:p>
    <w:p w14:paraId="5B2AC4A9" w14:textId="77777777" w:rsidR="0084489F" w:rsidRDefault="00110FE6">
      <w:pPr>
        <w:pStyle w:val="BodyText"/>
      </w:pPr>
      <w:r>
        <w:t xml:space="preserve">Les instances de </w:t>
      </w:r>
      <w:r>
        <w:rPr>
          <w:rStyle w:val="VerbatimChar"/>
        </w:rPr>
        <w:t>E53_Lieu</w:t>
      </w:r>
      <w:r>
        <w:t xml:space="preserve"> sont généralement déterminées en fonction de la position d'objets « immobiles », tels que des bâtiments, des villes, des montagnes, des rivières ou des marques géodésiques dédiées, mais peuvent également être déterminées en fonction d’objets mobiles. Une instance de </w:t>
      </w:r>
      <w:r>
        <w:rPr>
          <w:rStyle w:val="VerbatimChar"/>
        </w:rPr>
        <w:t>E53_Lieu</w:t>
      </w:r>
      <w:r>
        <w:t xml:space="preserve"> peut être déterminée en combinant un cadre de référence et une localisation s’y rapportant.</w:t>
      </w:r>
    </w:p>
    <w:p w14:paraId="12C77013" w14:textId="39076E50" w:rsidR="0084489F" w:rsidRDefault="00110FE6">
      <w:pPr>
        <w:pStyle w:val="BodyText"/>
      </w:pPr>
      <w:r w:rsidRPr="1B9E7434">
        <w:rPr>
          <w:lang w:val="fr-FR"/>
        </w:rPr>
        <w:t xml:space="preserve">Il est parfois argumenté qu’il est préférable d’identifier les instances de </w:t>
      </w:r>
      <w:r w:rsidRPr="1B9E7434">
        <w:rPr>
          <w:rStyle w:val="VerbatimChar"/>
          <w:lang w:val="fr-FR"/>
        </w:rPr>
        <w:t>E53_Lieu</w:t>
      </w:r>
      <w:r w:rsidRPr="1B9E7434">
        <w:rPr>
          <w:lang w:val="fr-FR"/>
        </w:rPr>
        <w:t xml:space="preserve"> par des coordonnées mondiales ou des systèmes de référence absolus. Cependant, les références relatives sont souvent plus pertinentes dans le contexte de la documentation culturelle et ont tendance à être plus précises. En particulier, la position par rapport à de grands objets mobiles, tels que des navires, est souvent d'intérêt. Par exemple, le lieu où [n.d.t. Horatio] Nelson est mort est connu en référence à un objet mobile de grande dimension, soit le [n.d.t. navire de ligne] HMS Victory. Une résolution de cette instance de </w:t>
      </w:r>
      <w:r w:rsidRPr="1B9E7434">
        <w:rPr>
          <w:rStyle w:val="VerbatimChar"/>
          <w:lang w:val="fr-FR"/>
        </w:rPr>
        <w:t>E53_Lieu</w:t>
      </w:r>
      <w:r w:rsidRPr="1B9E7434">
        <w:rPr>
          <w:lang w:val="fr-FR"/>
        </w:rPr>
        <w:t xml:space="preserve"> en termes de coordonnées absolues nécessiterait la connaissance des mouvements du navire et </w:t>
      </w:r>
      <w:r w:rsidRPr="1B9E7434">
        <w:rPr>
          <w:lang w:val="fr-FR"/>
        </w:rPr>
        <w:lastRenderedPageBreak/>
        <w:t>de l'heure précise de la mort; l'un ou l'autre pouvant être révisé, le résultat manquerait de pertinence historique et culturelle.</w:t>
      </w:r>
    </w:p>
    <w:p w14:paraId="082332DE" w14:textId="77777777" w:rsidR="0084489F" w:rsidRDefault="00110FE6">
      <w:pPr>
        <w:pStyle w:val="BodyText"/>
      </w:pPr>
      <w:r w:rsidRPr="1B9E7434">
        <w:rPr>
          <w:lang w:val="fr-FR"/>
        </w:rPr>
        <w:t xml:space="preserve">Toute instance de </w:t>
      </w:r>
      <w:r w:rsidRPr="1B9E7434">
        <w:rPr>
          <w:rStyle w:val="VerbatimChar"/>
          <w:lang w:val="fr-FR"/>
        </w:rPr>
        <w:t>E18_Chose_matérielle</w:t>
      </w:r>
      <w:r w:rsidRPr="1B9E7434">
        <w:rPr>
          <w:lang w:val="fr-FR"/>
        </w:rPr>
        <w:t xml:space="preserve"> peut servir de cadre de référence pour une instance de </w:t>
      </w:r>
      <w:r w:rsidRPr="1B9E7434">
        <w:rPr>
          <w:rStyle w:val="VerbatimChar"/>
          <w:lang w:val="fr-FR"/>
        </w:rPr>
        <w:t>E53_Lieu</w:t>
      </w:r>
      <w:r w:rsidRPr="1B9E7434">
        <w:rPr>
          <w:lang w:val="fr-FR"/>
        </w:rPr>
        <w:t xml:space="preserve">. Cela peut être documenté à l'aide de la propriété </w:t>
      </w:r>
      <w:r w:rsidRPr="1B9E7434">
        <w:rPr>
          <w:rStyle w:val="VerbatimChar"/>
          <w:lang w:val="fr-FR"/>
        </w:rPr>
        <w:t>P157_est_à_l’arrêt_par_rapport_à (procure_l'espace_de_référence_pour)</w:t>
      </w:r>
      <w:r w:rsidRPr="1B9E7434">
        <w:rPr>
          <w:lang w:val="fr-FR"/>
        </w:rPr>
        <w:t>.</w:t>
      </w:r>
    </w:p>
    <w:p w14:paraId="49631756" w14:textId="77777777" w:rsidR="0084489F" w:rsidRDefault="00110FE6">
      <w:pPr>
        <w:pStyle w:val="BodyText"/>
      </w:pPr>
      <w:r>
        <w:rPr>
          <w:b/>
          <w:bCs/>
        </w:rPr>
        <w:t>Exemples</w:t>
      </w:r>
    </w:p>
    <w:p w14:paraId="798309EB" w14:textId="77777777" w:rsidR="0084489F" w:rsidRDefault="00110FE6" w:rsidP="00806324">
      <w:pPr>
        <w:numPr>
          <w:ilvl w:val="0"/>
          <w:numId w:val="94"/>
        </w:numPr>
      </w:pPr>
      <w:r>
        <w:t>L'étendue du Royaume-Uni en 2003</w:t>
      </w:r>
    </w:p>
    <w:p w14:paraId="332067BF" w14:textId="77777777" w:rsidR="0084489F" w:rsidRDefault="00110FE6" w:rsidP="00806324">
      <w:pPr>
        <w:numPr>
          <w:ilvl w:val="0"/>
          <w:numId w:val="94"/>
        </w:numPr>
      </w:pPr>
      <w:r>
        <w:t>La position du poinçon à l'intérieur de mon alliance (fictif)</w:t>
      </w:r>
    </w:p>
    <w:p w14:paraId="7D38C919" w14:textId="77777777" w:rsidR="0084489F" w:rsidRDefault="00110FE6" w:rsidP="00806324">
      <w:pPr>
        <w:numPr>
          <w:ilvl w:val="0"/>
          <w:numId w:val="94"/>
        </w:numPr>
      </w:pPr>
      <w:r>
        <w:t>Le lieu visé par la phrase : « Poissons pêchés à trois milles au nord du confluent de l'Arve et du Rhône »</w:t>
      </w:r>
    </w:p>
    <w:p w14:paraId="0687C590" w14:textId="6035497B" w:rsidR="0084489F" w:rsidRDefault="00F41FF7" w:rsidP="00806324">
      <w:pPr>
        <w:numPr>
          <w:ilvl w:val="0"/>
          <w:numId w:val="94"/>
        </w:numPr>
      </w:pPr>
      <w:r w:rsidRPr="00F41FF7">
        <w:t>Ici -&gt;</w:t>
      </w:r>
      <w:r>
        <w:t> </w:t>
      </w:r>
      <w:r w:rsidRPr="00F41FF7">
        <w:t>&lt;- [l'endroit entre ces deux flèches dans l'une des copies papier du lecteur de ce document. Chaque exemplaire constitue un lieu différent de cet endroit]</w:t>
      </w:r>
    </w:p>
    <w:p w14:paraId="21B2D3FF" w14:textId="77777777" w:rsidR="0084489F" w:rsidRDefault="00110FE6">
      <w:pPr>
        <w:pStyle w:val="FirstParagraph"/>
      </w:pPr>
      <w:r>
        <w:rPr>
          <w:b/>
          <w:bCs/>
        </w:rPr>
        <w:t>Logique</w:t>
      </w:r>
    </w:p>
    <w:p w14:paraId="647B9754" w14:textId="77777777" w:rsidR="0084489F" w:rsidRDefault="00110FE6">
      <w:pPr>
        <w:pStyle w:val="BodyText"/>
      </w:pPr>
      <w:r>
        <w:t>E53(x) ⇒ E1(x)</w:t>
      </w:r>
    </w:p>
    <w:p w14:paraId="74696C78" w14:textId="77777777" w:rsidR="0084489F" w:rsidRDefault="00110FE6">
      <w:pPr>
        <w:pStyle w:val="BodyText"/>
      </w:pPr>
      <w:r>
        <w:rPr>
          <w:b/>
          <w:bCs/>
        </w:rPr>
        <w:t>Propriétés</w:t>
      </w:r>
    </w:p>
    <w:p w14:paraId="0B733A92" w14:textId="77777777" w:rsidR="0084489F" w:rsidRDefault="00110FE6">
      <w:pPr>
        <w:pStyle w:val="BodyText"/>
      </w:pPr>
      <w:r>
        <w:rPr>
          <w:rStyle w:val="VerbatimChar"/>
        </w:rPr>
        <w:t>P89_s’insère_dans (contient)</w:t>
      </w:r>
      <w:r>
        <w:t xml:space="preserve"> : </w:t>
      </w:r>
      <w:r>
        <w:rPr>
          <w:rStyle w:val="VerbatimChar"/>
        </w:rPr>
        <w:t>E53_Lieu</w:t>
      </w:r>
    </w:p>
    <w:p w14:paraId="5E9AB9FF" w14:textId="77777777" w:rsidR="0084489F" w:rsidRDefault="00110FE6">
      <w:pPr>
        <w:pStyle w:val="BodyText"/>
      </w:pPr>
      <w:r>
        <w:rPr>
          <w:rStyle w:val="VerbatimChar"/>
        </w:rPr>
        <w:t>P121_se_superpose_partiellement_à</w:t>
      </w:r>
      <w:r>
        <w:t xml:space="preserve"> : </w:t>
      </w:r>
      <w:r>
        <w:rPr>
          <w:rStyle w:val="VerbatimChar"/>
        </w:rPr>
        <w:t>E53_Lieu</w:t>
      </w:r>
    </w:p>
    <w:p w14:paraId="70DE45FF" w14:textId="77777777" w:rsidR="0084489F" w:rsidRDefault="00110FE6">
      <w:pPr>
        <w:pStyle w:val="BodyText"/>
      </w:pPr>
      <w:r>
        <w:rPr>
          <w:rStyle w:val="VerbatimChar"/>
        </w:rPr>
        <w:t>P122_est_limitrophe_de</w:t>
      </w:r>
      <w:r>
        <w:t xml:space="preserve"> : </w:t>
      </w:r>
      <w:r>
        <w:rPr>
          <w:rStyle w:val="VerbatimChar"/>
        </w:rPr>
        <w:t>E53_Lieu</w:t>
      </w:r>
    </w:p>
    <w:p w14:paraId="1A304A17" w14:textId="77777777" w:rsidR="0084489F" w:rsidRDefault="00110FE6">
      <w:pPr>
        <w:pStyle w:val="BodyText"/>
      </w:pPr>
      <w:r w:rsidRPr="1B9E7434">
        <w:rPr>
          <w:rStyle w:val="VerbatimChar"/>
          <w:lang w:val="fr-FR"/>
        </w:rPr>
        <w:t>P157_est_à_l’arrêt_par_rapport_à (procure_l'espace_de_référence_pour)</w:t>
      </w:r>
      <w:r w:rsidRPr="1B9E7434">
        <w:rPr>
          <w:lang w:val="fr-FR"/>
        </w:rPr>
        <w:t xml:space="preserve"> : </w:t>
      </w:r>
      <w:r w:rsidRPr="1B9E7434">
        <w:rPr>
          <w:rStyle w:val="VerbatimChar"/>
          <w:lang w:val="fr-FR"/>
        </w:rPr>
        <w:t>E18_Chose_matérielle</w:t>
      </w:r>
    </w:p>
    <w:p w14:paraId="499710F9" w14:textId="77777777" w:rsidR="0084489F" w:rsidRDefault="00110FE6">
      <w:pPr>
        <w:pStyle w:val="BodyText"/>
      </w:pPr>
      <w:r w:rsidRPr="1B9E7434">
        <w:rPr>
          <w:rStyle w:val="VerbatimChar"/>
          <w:lang w:val="fr-FR"/>
        </w:rPr>
        <w:t>P168_lieu_défini_par (définit_le_lieu)</w:t>
      </w:r>
      <w:r w:rsidRPr="1B9E7434">
        <w:rPr>
          <w:lang w:val="fr-FR"/>
        </w:rPr>
        <w:t xml:space="preserve"> : </w:t>
      </w:r>
      <w:r w:rsidRPr="1B9E7434">
        <w:rPr>
          <w:rStyle w:val="VerbatimChar"/>
          <w:lang w:val="fr-FR"/>
        </w:rPr>
        <w:t>E94_Primitive_spatiale</w:t>
      </w:r>
    </w:p>
    <w:p w14:paraId="4372F846" w14:textId="77777777" w:rsidR="0084489F" w:rsidRDefault="00110FE6">
      <w:pPr>
        <w:pStyle w:val="BodyText"/>
      </w:pPr>
      <w:r>
        <w:rPr>
          <w:rStyle w:val="VerbatimChar"/>
        </w:rPr>
        <w:t>P171_quelque_part_dans</w:t>
      </w:r>
      <w:r>
        <w:t xml:space="preserve"> : </w:t>
      </w:r>
      <w:r>
        <w:rPr>
          <w:rStyle w:val="VerbatimChar"/>
        </w:rPr>
        <w:t>E94_Primitive_spatiale</w:t>
      </w:r>
    </w:p>
    <w:p w14:paraId="2CAB6AC6" w14:textId="77777777" w:rsidR="0084489F" w:rsidRDefault="00110FE6">
      <w:pPr>
        <w:pStyle w:val="BodyText"/>
      </w:pPr>
      <w:r>
        <w:rPr>
          <w:rStyle w:val="VerbatimChar"/>
        </w:rPr>
        <w:t>P172_contient</w:t>
      </w:r>
      <w:r>
        <w:t xml:space="preserve"> : </w:t>
      </w:r>
      <w:r>
        <w:rPr>
          <w:rStyle w:val="VerbatimChar"/>
        </w:rPr>
        <w:t>E94_Primitive_spatiale</w:t>
      </w:r>
    </w:p>
    <w:p w14:paraId="472C037F" w14:textId="77777777" w:rsidR="0084489F" w:rsidRDefault="00110FE6">
      <w:pPr>
        <w:pStyle w:val="BodyText"/>
      </w:pPr>
      <w:r w:rsidRPr="1B9E7434">
        <w:rPr>
          <w:rStyle w:val="VerbatimChar"/>
          <w:lang w:val="fr-FR"/>
        </w:rPr>
        <w:t>P189_approxime (est_approximé_par)</w:t>
      </w:r>
      <w:r w:rsidRPr="1B9E7434">
        <w:rPr>
          <w:lang w:val="fr-FR"/>
        </w:rPr>
        <w:t xml:space="preserve"> : </w:t>
      </w:r>
      <w:r w:rsidRPr="1B9E7434">
        <w:rPr>
          <w:rStyle w:val="VerbatimChar"/>
          <w:lang w:val="fr-FR"/>
        </w:rPr>
        <w:t>E53_Lieu</w:t>
      </w:r>
    </w:p>
    <w:p w14:paraId="7E8F099B" w14:textId="77777777" w:rsidR="0084489F" w:rsidRDefault="00110FE6">
      <w:pPr>
        <w:pStyle w:val="BlockText"/>
      </w:pPr>
      <w:r>
        <w:rPr>
          <w:b/>
          <w:bCs/>
          <w:i/>
          <w:iCs/>
        </w:rPr>
        <w:t>Note de traduction</w:t>
      </w:r>
    </w:p>
    <w:p w14:paraId="507083C8" w14:textId="77777777" w:rsidR="0084489F" w:rsidRDefault="00110FE6">
      <w:pPr>
        <w:pStyle w:val="BlockText"/>
      </w:pPr>
      <w:r>
        <w:rPr>
          <w:b/>
          <w:bCs/>
          <w:i/>
          <w:iCs/>
        </w:rPr>
        <w:t>Références</w:t>
      </w:r>
    </w:p>
    <w:p w14:paraId="077C6EE5" w14:textId="77777777" w:rsidR="0084489F" w:rsidRDefault="0084489F">
      <w:pPr>
        <w:pStyle w:val="BlockText"/>
      </w:pPr>
    </w:p>
    <w:p w14:paraId="4BB6F57F" w14:textId="77777777" w:rsidR="0084489F" w:rsidRDefault="00110FE6">
      <w:pPr>
        <w:pStyle w:val="Heading2"/>
      </w:pPr>
      <w:bookmarkStart w:id="189" w:name="_Toc176864476"/>
      <w:bookmarkStart w:id="190" w:name="e54-dimension"/>
      <w:bookmarkEnd w:id="188"/>
      <w:r>
        <w:t>E54 Dimension</w:t>
      </w:r>
      <w:bookmarkEnd w:id="189"/>
    </w:p>
    <w:p w14:paraId="44F4ECB7" w14:textId="77777777" w:rsidR="0084489F" w:rsidRDefault="00110FE6">
      <w:pPr>
        <w:pStyle w:val="FirstParagraph"/>
      </w:pPr>
      <w:r>
        <w:rPr>
          <w:b/>
          <w:bCs/>
        </w:rPr>
        <w:t>Sous-classe de</w:t>
      </w:r>
    </w:p>
    <w:p w14:paraId="032A11AF" w14:textId="77777777" w:rsidR="0084489F" w:rsidRDefault="00110FE6">
      <w:pPr>
        <w:pStyle w:val="BodyText"/>
      </w:pPr>
      <w:r>
        <w:rPr>
          <w:rStyle w:val="VerbatimChar"/>
        </w:rPr>
        <w:t>E1_Entité_CRM</w:t>
      </w:r>
    </w:p>
    <w:p w14:paraId="7FF51AF2" w14:textId="77777777" w:rsidR="0084489F" w:rsidRDefault="00110FE6">
      <w:pPr>
        <w:pStyle w:val="BodyText"/>
      </w:pPr>
      <w:r>
        <w:rPr>
          <w:b/>
          <w:bCs/>
        </w:rPr>
        <w:t>Super-classe de</w:t>
      </w:r>
    </w:p>
    <w:p w14:paraId="7917B4D7" w14:textId="77777777" w:rsidR="0084489F" w:rsidRDefault="00110FE6">
      <w:pPr>
        <w:pStyle w:val="BodyText"/>
      </w:pPr>
      <w:r>
        <w:rPr>
          <w:rStyle w:val="VerbatimChar"/>
        </w:rPr>
        <w:t>E97_Valeur_monétaire</w:t>
      </w:r>
    </w:p>
    <w:p w14:paraId="1D81A7D9" w14:textId="77777777" w:rsidR="0084489F" w:rsidRDefault="00110FE6" w:rsidP="00F361B3">
      <w:pPr>
        <w:pStyle w:val="BodyText"/>
        <w:keepNext/>
      </w:pPr>
      <w:r>
        <w:rPr>
          <w:b/>
          <w:bCs/>
        </w:rPr>
        <w:lastRenderedPageBreak/>
        <w:t>Note d’application</w:t>
      </w:r>
    </w:p>
    <w:p w14:paraId="12110088" w14:textId="77777777" w:rsidR="0084489F" w:rsidRDefault="00110FE6" w:rsidP="00F361B3">
      <w:pPr>
        <w:pStyle w:val="BodyText"/>
        <w:keepNext/>
      </w:pPr>
      <w:r>
        <w:t>Cette classe comprend des propriétés quantifiables pouvant être mesurées par le biais d’une opération d’étalonnage et estimées avec des valeurs, c.-à-d. des points ou des régions dans un espace mathématique ou conceptuel, tels que les entiers naturels ou les nombres réels, les valeurs du mode colorimétrique RVB [n.d.t. rouge, vert, bleu, etc.</w:t>
      </w:r>
    </w:p>
    <w:p w14:paraId="314E2CEF" w14:textId="77777777" w:rsidR="0084489F" w:rsidRDefault="00110FE6">
      <w:pPr>
        <w:pStyle w:val="BodyText"/>
      </w:pPr>
      <w:r w:rsidRPr="1B9E7434">
        <w:rPr>
          <w:lang w:val="fr-FR"/>
        </w:rPr>
        <w:t xml:space="preserve">Une instance de </w:t>
      </w:r>
      <w:r w:rsidRPr="1B9E7434">
        <w:rPr>
          <w:rStyle w:val="VerbatimChar"/>
          <w:lang w:val="fr-FR"/>
        </w:rPr>
        <w:t>E54_Dimension</w:t>
      </w:r>
      <w:r w:rsidRPr="1B9E7434">
        <w:rPr>
          <w:lang w:val="fr-FR"/>
        </w:rPr>
        <w:t xml:space="preserve"> représente la quantité empirique ou théoriquement dérivée, y compris les approximations résultant de la méthode ou du calcul spécifique. L’identité d’une instance de </w:t>
      </w:r>
      <w:r w:rsidRPr="1B9E7434">
        <w:rPr>
          <w:rStyle w:val="VerbatimChar"/>
          <w:lang w:val="fr-FR"/>
        </w:rPr>
        <w:t>E54_Dimension</w:t>
      </w:r>
      <w:r w:rsidRPr="1B9E7434">
        <w:rPr>
          <w:lang w:val="fr-FR"/>
        </w:rPr>
        <w:t xml:space="preserve"> dépend de la méthode selon laquelle elle est déterminée parce que chacune des méthodes pourrait produire des valeurs différentes même lorsque des qualités comparables sont déterminées. Par exemple, la dimension de l’envergure d’un oiseau vivant sera différente de celle d’un oiseau mort. La datation par thermoluminescence et la datation par réhydroxylation sont des dimensions différentes de distance temporelle, même si elles visent à dater le même objet. La méthode de détermination doit être exprimée à l’aide de la propriété </w:t>
      </w:r>
      <w:r w:rsidRPr="1B9E7434">
        <w:rPr>
          <w:rStyle w:val="VerbatimChar"/>
          <w:lang w:val="fr-FR"/>
        </w:rPr>
        <w:t>P2_a_pour_type (est_le_type_de)</w:t>
      </w:r>
      <w:r w:rsidRPr="1B9E7434">
        <w:rPr>
          <w:lang w:val="fr-FR"/>
        </w:rPr>
        <w:t>. Des termes simples tels que « diamètre » ou « longueur » sont généralement insuffisants pour décrire clairement une dimension alors que l'expression « étendue linéaire maximale » peut être suffisante.</w:t>
      </w:r>
    </w:p>
    <w:p w14:paraId="1F1EAA43" w14:textId="77777777" w:rsidR="0084489F" w:rsidRDefault="00110FE6">
      <w:pPr>
        <w:pStyle w:val="BodyText"/>
      </w:pPr>
      <w:r>
        <w:t xml:space="preserve">Les propriétés de la classe </w:t>
      </w:r>
      <w:r>
        <w:rPr>
          <w:rStyle w:val="VerbatimChar"/>
        </w:rPr>
        <w:t>E54_Dimension</w:t>
      </w:r>
      <w:r>
        <w:t xml:space="preserve"> permettent d’exprimer les valeurs numériques approximatives des instances de </w:t>
      </w:r>
      <w:r>
        <w:rPr>
          <w:rStyle w:val="VerbatimChar"/>
        </w:rPr>
        <w:t>E54_Dimension</w:t>
      </w:r>
      <w:r>
        <w:t xml:space="preserve"> convenables à la précision de la méthode de détermination utilisée. Si la quantité appartient à un espace non discret selon les lois de la physique, comme une distance spatiale, il est recommandé de l’enregistrer comme une estimation par intervalles ou régions d’indétermination couvrant les valeurs considérées vraies. Par exemple, une longueur de 5 centimètres peut être enregistrée comme 4,5-5,5 centimètres, en fonction de la précision de l’observation. La comparabilité des valeurs décrites dans différentes unités dépend significativement de la représentation comme des régions de valeurs.</w:t>
      </w:r>
    </w:p>
    <w:p w14:paraId="76769338" w14:textId="77777777" w:rsidR="0084489F" w:rsidRDefault="00110FE6">
      <w:pPr>
        <w:pStyle w:val="BodyText"/>
      </w:pPr>
      <w:r w:rsidRPr="1B9E7434">
        <w:rPr>
          <w:lang w:val="fr-FR"/>
        </w:rPr>
        <w:t xml:space="preserve">Les estimations numériques archaïques enregistrées comme instances de </w:t>
      </w:r>
      <w:r w:rsidRPr="1B9E7434">
        <w:rPr>
          <w:rStyle w:val="VerbatimChar"/>
          <w:lang w:val="fr-FR"/>
        </w:rPr>
        <w:t>E58_Unité_de_mesure</w:t>
      </w:r>
      <w:r w:rsidRPr="1B9E7434">
        <w:rPr>
          <w:lang w:val="fr-FR"/>
        </w:rPr>
        <w:t xml:space="preserve"> utilisées dans les documents historiques doivent être conservées. Les valeurs équivalentes correspondant aux connaissances actuelles doivent être enregistrées comme des instances supplémentaires de </w:t>
      </w:r>
      <w:r w:rsidRPr="1B9E7434">
        <w:rPr>
          <w:rStyle w:val="VerbatimChar"/>
          <w:lang w:val="fr-FR"/>
        </w:rPr>
        <w:t>E54_Dimension</w:t>
      </w:r>
      <w:r w:rsidRPr="1B9E7434">
        <w:rPr>
          <w:lang w:val="fr-FR"/>
        </w:rPr>
        <w:t>, le cas échéant.</w:t>
      </w:r>
    </w:p>
    <w:p w14:paraId="3DFAC51A" w14:textId="77777777" w:rsidR="0084489F" w:rsidRDefault="00110FE6">
      <w:pPr>
        <w:pStyle w:val="BodyText"/>
      </w:pPr>
      <w:r>
        <w:rPr>
          <w:b/>
          <w:bCs/>
        </w:rPr>
        <w:t>Exemples</w:t>
      </w:r>
    </w:p>
    <w:p w14:paraId="586856BA" w14:textId="77777777" w:rsidR="0084489F" w:rsidRDefault="00110FE6" w:rsidP="00806324">
      <w:pPr>
        <w:numPr>
          <w:ilvl w:val="0"/>
          <w:numId w:val="95"/>
        </w:numPr>
      </w:pPr>
      <w:r>
        <w:t>Le poids de l’obélisque de Louxor [250 tonnes]</w:t>
      </w:r>
    </w:p>
    <w:p w14:paraId="35D40712" w14:textId="77777777" w:rsidR="0084489F" w:rsidRDefault="00110FE6" w:rsidP="00806324">
      <w:pPr>
        <w:numPr>
          <w:ilvl w:val="0"/>
          <w:numId w:val="95"/>
        </w:numPr>
      </w:pPr>
      <w:r>
        <w:t>La hauteur du David de Michel-Ange [5,17 mètres]</w:t>
      </w:r>
    </w:p>
    <w:p w14:paraId="22200DCA" w14:textId="4D27C4B7" w:rsidR="0084489F" w:rsidRDefault="00110FE6" w:rsidP="00806324">
      <w:pPr>
        <w:numPr>
          <w:ilvl w:val="0"/>
          <w:numId w:val="95"/>
        </w:numPr>
      </w:pPr>
      <w:r w:rsidRPr="1B9E7434">
        <w:rPr>
          <w:lang w:val="fr-FR"/>
        </w:rPr>
        <w:t>La masse du diamant Cullinan [530,2 carats]</w:t>
      </w:r>
    </w:p>
    <w:p w14:paraId="42BDC677" w14:textId="77777777" w:rsidR="0084489F" w:rsidRDefault="00110FE6" w:rsidP="00806324">
      <w:pPr>
        <w:numPr>
          <w:ilvl w:val="0"/>
          <w:numId w:val="95"/>
        </w:numPr>
      </w:pPr>
      <w:r>
        <w:t>L’âge calibré au carbone 14 du Suaire de Turin [1262-1312 EC, 1303-1384 EC]</w:t>
      </w:r>
    </w:p>
    <w:p w14:paraId="05739308" w14:textId="0334D1F8" w:rsidR="0084489F" w:rsidRDefault="00110FE6" w:rsidP="00806324">
      <w:pPr>
        <w:numPr>
          <w:ilvl w:val="0"/>
          <w:numId w:val="95"/>
        </w:numPr>
      </w:pPr>
      <w:r w:rsidRPr="1B9E7434">
        <w:rPr>
          <w:lang w:val="fr-FR"/>
        </w:rPr>
        <w:t>Le diamètre horizontal du grand cercle de sarsen de Stonehenge [33 mètres] (Pryor, 2016)</w:t>
      </w:r>
    </w:p>
    <w:p w14:paraId="3DDC5E8B" w14:textId="1EC0B725" w:rsidR="0084489F" w:rsidRDefault="00110FE6" w:rsidP="00806324">
      <w:pPr>
        <w:numPr>
          <w:ilvl w:val="0"/>
          <w:numId w:val="95"/>
        </w:numPr>
      </w:pPr>
      <w:r w:rsidRPr="1B9E7434">
        <w:rPr>
          <w:lang w:val="fr-FR"/>
        </w:rPr>
        <w:t>La longueur des côtés de la grande pyramide de Gizeh [230.34 mètres] (Lehner &amp; Hawass, 2017)</w:t>
      </w:r>
    </w:p>
    <w:p w14:paraId="4A23BCA8" w14:textId="77777777" w:rsidR="0084489F" w:rsidRDefault="00110FE6" w:rsidP="00806324">
      <w:pPr>
        <w:numPr>
          <w:ilvl w:val="0"/>
          <w:numId w:val="95"/>
        </w:numPr>
      </w:pPr>
      <w:r>
        <w:t>La durée de l’intervalle temporel de la bataille d’Issos le 15 novembre 333 AEC [moins de 12 heures] (Howard, 2012)</w:t>
      </w:r>
    </w:p>
    <w:p w14:paraId="580961C8" w14:textId="77777777" w:rsidR="0084489F" w:rsidRDefault="00110FE6" w:rsidP="00806324">
      <w:pPr>
        <w:numPr>
          <w:ilvl w:val="0"/>
          <w:numId w:val="95"/>
        </w:numPr>
      </w:pPr>
      <w:r>
        <w:t xml:space="preserve">Le prix d’adjudication, en livres sterling, par Christie's de l’œuvre de Vincent Van Gogh </w:t>
      </w:r>
      <w:r>
        <w:rPr>
          <w:i/>
          <w:iCs/>
        </w:rPr>
        <w:t>Nature morte : Vase avec quinze tournesols</w:t>
      </w:r>
      <w:r>
        <w:t xml:space="preserve"> à Londres le 30 mars 1987 (</w:t>
      </w:r>
      <w:r>
        <w:rPr>
          <w:rStyle w:val="VerbatimChar"/>
        </w:rPr>
        <w:t>E97_Valeur_monétaire</w:t>
      </w:r>
      <w:r>
        <w:t>) [24,75 millions de livres sterling] (</w:t>
      </w:r>
      <w:r>
        <w:rPr>
          <w:rStyle w:val="VerbatimChar"/>
        </w:rPr>
        <w:t>E54_Dimension</w:t>
      </w:r>
      <w:r>
        <w:t>)</w:t>
      </w:r>
    </w:p>
    <w:p w14:paraId="7AF90CF2" w14:textId="77777777" w:rsidR="0084489F" w:rsidRDefault="00110FE6">
      <w:pPr>
        <w:pStyle w:val="FirstParagraph"/>
      </w:pPr>
      <w:r>
        <w:rPr>
          <w:b/>
          <w:bCs/>
        </w:rPr>
        <w:t>Logique</w:t>
      </w:r>
    </w:p>
    <w:p w14:paraId="3F729135" w14:textId="77777777" w:rsidR="0084489F" w:rsidRDefault="00110FE6">
      <w:pPr>
        <w:pStyle w:val="BodyText"/>
      </w:pPr>
      <w:r>
        <w:lastRenderedPageBreak/>
        <w:t>E54(x) ⇒ E1(x)</w:t>
      </w:r>
    </w:p>
    <w:p w14:paraId="29396A4F" w14:textId="77777777" w:rsidR="0084489F" w:rsidRDefault="00110FE6">
      <w:pPr>
        <w:pStyle w:val="BodyText"/>
      </w:pPr>
      <w:r>
        <w:rPr>
          <w:b/>
          <w:bCs/>
        </w:rPr>
        <w:t>Propriétés</w:t>
      </w:r>
    </w:p>
    <w:p w14:paraId="1AB01A30" w14:textId="77777777" w:rsidR="0084489F" w:rsidRDefault="00110FE6">
      <w:pPr>
        <w:pStyle w:val="BodyText"/>
      </w:pPr>
      <w:r>
        <w:rPr>
          <w:rStyle w:val="VerbatimChar"/>
        </w:rPr>
        <w:t>P90_a_pour_valeur</w:t>
      </w:r>
      <w:r>
        <w:t xml:space="preserve"> : </w:t>
      </w:r>
      <w:r>
        <w:rPr>
          <w:rStyle w:val="VerbatimChar"/>
        </w:rPr>
        <w:t>E60_Nombre</w:t>
      </w:r>
    </w:p>
    <w:p w14:paraId="70E973D5" w14:textId="77777777" w:rsidR="0084489F" w:rsidRDefault="00110FE6">
      <w:pPr>
        <w:pStyle w:val="BodyText"/>
      </w:pPr>
      <w:r w:rsidRPr="1B9E7434">
        <w:rPr>
          <w:rStyle w:val="VerbatimChar"/>
          <w:lang w:val="fr-FR"/>
        </w:rPr>
        <w:t>P91_a_pour_unité_de_mesure (est_l’unité_de_mesure_de)</w:t>
      </w:r>
      <w:r w:rsidRPr="1B9E7434">
        <w:rPr>
          <w:lang w:val="fr-FR"/>
        </w:rPr>
        <w:t xml:space="preserve"> : </w:t>
      </w:r>
      <w:r w:rsidRPr="1B9E7434">
        <w:rPr>
          <w:rStyle w:val="VerbatimChar"/>
          <w:lang w:val="fr-FR"/>
        </w:rPr>
        <w:t>E58_Unité_de_mesure</w:t>
      </w:r>
    </w:p>
    <w:p w14:paraId="470DAEC2" w14:textId="77777777" w:rsidR="0084489F" w:rsidRDefault="00110FE6">
      <w:pPr>
        <w:pStyle w:val="BlockText"/>
      </w:pPr>
      <w:r>
        <w:rPr>
          <w:b/>
          <w:bCs/>
          <w:i/>
          <w:iCs/>
        </w:rPr>
        <w:t>Note de traduction</w:t>
      </w:r>
    </w:p>
    <w:p w14:paraId="72F63665" w14:textId="77777777" w:rsidR="0084489F" w:rsidRDefault="00110FE6">
      <w:pPr>
        <w:pStyle w:val="BlockText"/>
      </w:pPr>
      <w:r>
        <w:rPr>
          <w:b/>
          <w:bCs/>
          <w:i/>
          <w:iCs/>
        </w:rPr>
        <w:t>Références</w:t>
      </w:r>
    </w:p>
    <w:p w14:paraId="6A91AC70" w14:textId="77777777" w:rsidR="0084489F" w:rsidRDefault="0084489F">
      <w:pPr>
        <w:pStyle w:val="BlockText"/>
      </w:pPr>
    </w:p>
    <w:p w14:paraId="71912651" w14:textId="77777777" w:rsidR="0084489F" w:rsidRDefault="00110FE6">
      <w:pPr>
        <w:pStyle w:val="Heading2"/>
      </w:pPr>
      <w:bookmarkStart w:id="191" w:name="_Toc176864477"/>
      <w:bookmarkStart w:id="192" w:name="e55-type"/>
      <w:bookmarkEnd w:id="190"/>
      <w:r>
        <w:t>E55 Type</w:t>
      </w:r>
      <w:bookmarkEnd w:id="191"/>
    </w:p>
    <w:p w14:paraId="6877E543" w14:textId="77777777" w:rsidR="0084489F" w:rsidRDefault="00110FE6">
      <w:pPr>
        <w:pStyle w:val="FirstParagraph"/>
      </w:pPr>
      <w:r>
        <w:rPr>
          <w:b/>
          <w:bCs/>
        </w:rPr>
        <w:t>Sous-classe de</w:t>
      </w:r>
    </w:p>
    <w:p w14:paraId="5AA334A6" w14:textId="77777777" w:rsidR="0084489F" w:rsidRDefault="00110FE6">
      <w:pPr>
        <w:pStyle w:val="BodyText"/>
      </w:pPr>
      <w:r>
        <w:rPr>
          <w:rStyle w:val="VerbatimChar"/>
        </w:rPr>
        <w:t>E28_Objet_conceptuel</w:t>
      </w:r>
    </w:p>
    <w:p w14:paraId="4227A111" w14:textId="77777777" w:rsidR="0084489F" w:rsidRDefault="00110FE6">
      <w:pPr>
        <w:pStyle w:val="BodyText"/>
      </w:pPr>
      <w:r>
        <w:rPr>
          <w:b/>
          <w:bCs/>
        </w:rPr>
        <w:t>Super-classe de</w:t>
      </w:r>
    </w:p>
    <w:p w14:paraId="055ADE13" w14:textId="77777777" w:rsidR="0084489F" w:rsidRDefault="00110FE6">
      <w:pPr>
        <w:pStyle w:val="BodyText"/>
      </w:pPr>
      <w:r>
        <w:rPr>
          <w:rStyle w:val="VerbatimChar"/>
        </w:rPr>
        <w:t>E56_Langue</w:t>
      </w:r>
    </w:p>
    <w:p w14:paraId="0A062AAA" w14:textId="77777777" w:rsidR="0084489F" w:rsidRDefault="00110FE6">
      <w:pPr>
        <w:pStyle w:val="BodyText"/>
      </w:pPr>
      <w:r>
        <w:rPr>
          <w:rStyle w:val="VerbatimChar"/>
        </w:rPr>
        <w:t>E57_Matériau</w:t>
      </w:r>
    </w:p>
    <w:p w14:paraId="299F723B" w14:textId="77777777" w:rsidR="0084489F" w:rsidRDefault="00110FE6">
      <w:pPr>
        <w:pStyle w:val="BodyText"/>
      </w:pPr>
      <w:r>
        <w:rPr>
          <w:rStyle w:val="VerbatimChar"/>
        </w:rPr>
        <w:t>E58_Unité_de_mesure</w:t>
      </w:r>
    </w:p>
    <w:p w14:paraId="64EE1D4B" w14:textId="77777777" w:rsidR="0084489F" w:rsidRDefault="00110FE6">
      <w:pPr>
        <w:pStyle w:val="BodyText"/>
      </w:pPr>
      <w:r>
        <w:rPr>
          <w:rStyle w:val="VerbatimChar"/>
        </w:rPr>
        <w:t>E99_Modèle_de_produit</w:t>
      </w:r>
    </w:p>
    <w:p w14:paraId="1DE6BA9D" w14:textId="77777777" w:rsidR="0084489F" w:rsidRDefault="00110FE6">
      <w:pPr>
        <w:pStyle w:val="BodyText"/>
      </w:pPr>
      <w:r>
        <w:rPr>
          <w:b/>
          <w:bCs/>
        </w:rPr>
        <w:t>Note d’application</w:t>
      </w:r>
    </w:p>
    <w:p w14:paraId="3791CFE2" w14:textId="77777777" w:rsidR="0084489F" w:rsidRDefault="00110FE6">
      <w:pPr>
        <w:pStyle w:val="BodyText"/>
      </w:pPr>
      <w:r>
        <w:t xml:space="preserve">Cette classe comprend des concepts désignés par des termes issus de thésaurus et de vocabulaires contrôlés utilisés pour caractériser et catégoriser les instances des classes du CIDOC CRM. Les instances de </w:t>
      </w:r>
      <w:r>
        <w:rPr>
          <w:rStyle w:val="VerbatimChar"/>
        </w:rPr>
        <w:t>E55_Type</w:t>
      </w:r>
      <w:r>
        <w:t xml:space="preserve"> représentent des concepts par opposition aux instances de </w:t>
      </w:r>
      <w:r>
        <w:rPr>
          <w:rStyle w:val="VerbatimChar"/>
        </w:rPr>
        <w:t>E41_Appellation</w:t>
      </w:r>
      <w:r>
        <w:t xml:space="preserve"> qui sont utilisées pour nommer les instances des classes du CIDOC CRM.</w:t>
      </w:r>
    </w:p>
    <w:p w14:paraId="6FE0E970" w14:textId="77777777" w:rsidR="0084489F" w:rsidRDefault="00110FE6">
      <w:pPr>
        <w:pStyle w:val="BodyText"/>
      </w:pPr>
      <w:r w:rsidRPr="1B9E7434">
        <w:rPr>
          <w:lang w:val="fr-FR"/>
        </w:rPr>
        <w:t xml:space="preserve">La classe </w:t>
      </w:r>
      <w:r w:rsidRPr="1B9E7434">
        <w:rPr>
          <w:rStyle w:val="VerbatimChar"/>
          <w:lang w:val="fr-FR"/>
        </w:rPr>
        <w:t>E55_Type</w:t>
      </w:r>
      <w:r w:rsidRPr="1B9E7434">
        <w:rPr>
          <w:lang w:val="fr-FR"/>
        </w:rPr>
        <w:t xml:space="preserve"> est le point d’entrée qui permet d’accueillir des ontologies et thésaurus spécifiques. Ceux-ci peuvent être représentés dans le CIDOC CRM comme des sous-classes de </w:t>
      </w:r>
      <w:r w:rsidRPr="1B9E7434">
        <w:rPr>
          <w:rStyle w:val="VerbatimChar"/>
          <w:lang w:val="fr-FR"/>
        </w:rPr>
        <w:t>E55_Type</w:t>
      </w:r>
      <w:r w:rsidRPr="1B9E7434">
        <w:rPr>
          <w:lang w:val="fr-FR"/>
        </w:rPr>
        <w:t xml:space="preserve">, formant des hiérarchies de termes, c.-à-d. que les instances de </w:t>
      </w:r>
      <w:r w:rsidRPr="1B9E7434">
        <w:rPr>
          <w:rStyle w:val="VerbatimChar"/>
          <w:lang w:val="fr-FR"/>
        </w:rPr>
        <w:t>E55_Type</w:t>
      </w:r>
      <w:r w:rsidRPr="1B9E7434">
        <w:rPr>
          <w:lang w:val="fr-FR"/>
        </w:rPr>
        <w:t xml:space="preserve"> sont liées par la propriété </w:t>
      </w:r>
      <w:r w:rsidRPr="1B9E7434">
        <w:rPr>
          <w:rStyle w:val="VerbatimChar"/>
          <w:lang w:val="fr-FR"/>
        </w:rPr>
        <w:t>P127_a_pour_terme_général (a_pour_terme_spécifique)</w:t>
      </w:r>
      <w:r w:rsidRPr="1B9E7434">
        <w:rPr>
          <w:lang w:val="fr-FR"/>
        </w:rPr>
        <w:t xml:space="preserve"> : </w:t>
      </w:r>
      <w:r w:rsidRPr="1B9E7434">
        <w:rPr>
          <w:rStyle w:val="VerbatimChar"/>
          <w:lang w:val="fr-FR"/>
        </w:rPr>
        <w:t>E55_Type</w:t>
      </w:r>
      <w:r w:rsidRPr="1B9E7434">
        <w:rPr>
          <w:lang w:val="fr-FR"/>
        </w:rPr>
        <w:t>. De telles hiérarchies peuvent être étendues avec des propriétés supplémentaires.</w:t>
      </w:r>
    </w:p>
    <w:p w14:paraId="226873D0" w14:textId="77777777" w:rsidR="0084489F" w:rsidRDefault="00110FE6">
      <w:pPr>
        <w:pStyle w:val="BodyText"/>
      </w:pPr>
      <w:r>
        <w:rPr>
          <w:b/>
          <w:bCs/>
        </w:rPr>
        <w:t>Exemples</w:t>
      </w:r>
    </w:p>
    <w:p w14:paraId="1C2FAB70" w14:textId="77777777" w:rsidR="0084489F" w:rsidRDefault="00110FE6" w:rsidP="00806324">
      <w:pPr>
        <w:numPr>
          <w:ilvl w:val="0"/>
          <w:numId w:val="96"/>
        </w:numPr>
      </w:pPr>
      <w:r>
        <w:t xml:space="preserve">Poids, longueur, profondeur [types associés à des instances de </w:t>
      </w:r>
      <w:r>
        <w:rPr>
          <w:rStyle w:val="VerbatimChar"/>
        </w:rPr>
        <w:t>E54_Dimension</w:t>
      </w:r>
      <w:r>
        <w:t>]</w:t>
      </w:r>
    </w:p>
    <w:p w14:paraId="6BD095FE" w14:textId="77777777" w:rsidR="0084489F" w:rsidRDefault="00110FE6" w:rsidP="00806324">
      <w:pPr>
        <w:numPr>
          <w:ilvl w:val="0"/>
          <w:numId w:val="96"/>
        </w:numPr>
      </w:pPr>
      <w:r>
        <w:t xml:space="preserve">Portrait, croquis, animation [types associés à des instances de </w:t>
      </w:r>
      <w:r>
        <w:rPr>
          <w:rStyle w:val="VerbatimChar"/>
        </w:rPr>
        <w:t>E36_Entité_visuelle</w:t>
      </w:r>
      <w:r>
        <w:t>]</w:t>
      </w:r>
    </w:p>
    <w:p w14:paraId="3C1714DB" w14:textId="77777777" w:rsidR="0084489F" w:rsidRDefault="00110FE6" w:rsidP="00806324">
      <w:pPr>
        <w:numPr>
          <w:ilvl w:val="0"/>
          <w:numId w:val="96"/>
        </w:numPr>
      </w:pPr>
      <w:r>
        <w:t xml:space="preserve">Français, anglais, allemand [types associés à des instances de </w:t>
      </w:r>
      <w:r>
        <w:rPr>
          <w:rStyle w:val="VerbatimChar"/>
        </w:rPr>
        <w:t>E56_Langue</w:t>
      </w:r>
      <w:r>
        <w:t>]</w:t>
      </w:r>
    </w:p>
    <w:p w14:paraId="5C87D878" w14:textId="77777777" w:rsidR="0084489F" w:rsidRDefault="00110FE6" w:rsidP="00806324">
      <w:pPr>
        <w:numPr>
          <w:ilvl w:val="0"/>
          <w:numId w:val="96"/>
        </w:numPr>
      </w:pPr>
      <w:r>
        <w:t xml:space="preserve">Excellent, bon, mauvais [types associés à des instances de </w:t>
      </w:r>
      <w:r>
        <w:rPr>
          <w:rStyle w:val="VerbatimChar"/>
        </w:rPr>
        <w:t>E3_État_matériel</w:t>
      </w:r>
      <w:r>
        <w:t>]</w:t>
      </w:r>
    </w:p>
    <w:p w14:paraId="6288554C" w14:textId="77777777" w:rsidR="0084489F" w:rsidRDefault="00110FE6" w:rsidP="00806324">
      <w:pPr>
        <w:numPr>
          <w:ilvl w:val="0"/>
          <w:numId w:val="96"/>
        </w:numPr>
      </w:pPr>
      <w:r>
        <w:t xml:space="preserve">Ford Modèle T, baguettes [types associés à des instances de </w:t>
      </w:r>
      <w:r>
        <w:rPr>
          <w:rStyle w:val="VerbatimChar"/>
        </w:rPr>
        <w:t>E22_Objet_élaboré_par_l’humain</w:t>
      </w:r>
      <w:r>
        <w:t>]</w:t>
      </w:r>
    </w:p>
    <w:p w14:paraId="233D3F6B" w14:textId="15690C12" w:rsidR="0084489F" w:rsidRDefault="00110FE6" w:rsidP="00806324">
      <w:pPr>
        <w:numPr>
          <w:ilvl w:val="0"/>
          <w:numId w:val="96"/>
        </w:numPr>
      </w:pPr>
      <w:r w:rsidRPr="1B9E7434">
        <w:rPr>
          <w:lang w:val="fr-FR"/>
        </w:rPr>
        <w:t xml:space="preserve">grotte, doline, égratignure [types associés à des instances de </w:t>
      </w:r>
      <w:r w:rsidRPr="1B9E7434">
        <w:rPr>
          <w:rStyle w:val="VerbatimChar"/>
          <w:lang w:val="fr-FR"/>
        </w:rPr>
        <w:t>E26_Caractéristique_physique</w:t>
      </w:r>
      <w:r w:rsidRPr="1B9E7434">
        <w:rPr>
          <w:lang w:val="fr-FR"/>
        </w:rPr>
        <w:t>]</w:t>
      </w:r>
    </w:p>
    <w:p w14:paraId="7FB6BA8B" w14:textId="6BB83B55" w:rsidR="0084489F" w:rsidRDefault="00110FE6" w:rsidP="00806324">
      <w:pPr>
        <w:numPr>
          <w:ilvl w:val="0"/>
          <w:numId w:val="96"/>
        </w:numPr>
      </w:pPr>
      <w:r w:rsidRPr="1B9E7434">
        <w:rPr>
          <w:lang w:val="fr-FR"/>
        </w:rPr>
        <w:t xml:space="preserve">poème, nouvelle [types associés à des instances de </w:t>
      </w:r>
      <w:r w:rsidRPr="1B9E7434">
        <w:rPr>
          <w:rStyle w:val="VerbatimChar"/>
          <w:lang w:val="fr-FR"/>
        </w:rPr>
        <w:t>E33_Objet_linguistique</w:t>
      </w:r>
      <w:r w:rsidRPr="1B9E7434">
        <w:rPr>
          <w:lang w:val="fr-FR"/>
        </w:rPr>
        <w:t>]</w:t>
      </w:r>
    </w:p>
    <w:p w14:paraId="201F5C10" w14:textId="34B0BC6B" w:rsidR="0084489F" w:rsidRDefault="00110FE6" w:rsidP="00806324">
      <w:pPr>
        <w:numPr>
          <w:ilvl w:val="0"/>
          <w:numId w:val="96"/>
        </w:numPr>
      </w:pPr>
      <w:r w:rsidRPr="1B9E7434">
        <w:rPr>
          <w:lang w:val="fr-FR"/>
        </w:rPr>
        <w:t xml:space="preserve">mariage, tremblement de terre, escarmouche [types associés à des instances de </w:t>
      </w:r>
      <w:r w:rsidRPr="1B9E7434">
        <w:rPr>
          <w:rStyle w:val="VerbatimChar"/>
          <w:lang w:val="fr-FR"/>
        </w:rPr>
        <w:t>E5_Évènement</w:t>
      </w:r>
      <w:r w:rsidRPr="1B9E7434">
        <w:rPr>
          <w:lang w:val="fr-FR"/>
        </w:rPr>
        <w:t>]</w:t>
      </w:r>
    </w:p>
    <w:p w14:paraId="6E1B8523" w14:textId="77777777" w:rsidR="0084489F" w:rsidRDefault="00110FE6">
      <w:pPr>
        <w:pStyle w:val="FirstParagraph"/>
      </w:pPr>
      <w:r>
        <w:rPr>
          <w:b/>
          <w:bCs/>
        </w:rPr>
        <w:lastRenderedPageBreak/>
        <w:t>Logique</w:t>
      </w:r>
    </w:p>
    <w:p w14:paraId="30CF79D1" w14:textId="77777777" w:rsidR="0084489F" w:rsidRDefault="00110FE6">
      <w:pPr>
        <w:pStyle w:val="BodyText"/>
      </w:pPr>
      <w:r>
        <w:t>E55(x) ⇒ E28(x)</w:t>
      </w:r>
    </w:p>
    <w:p w14:paraId="22810232" w14:textId="77777777" w:rsidR="0084489F" w:rsidRDefault="00110FE6" w:rsidP="004454E2">
      <w:pPr>
        <w:pStyle w:val="BodyText"/>
        <w:keepNext/>
      </w:pPr>
      <w:r>
        <w:rPr>
          <w:b/>
          <w:bCs/>
        </w:rPr>
        <w:t>Propriétés</w:t>
      </w:r>
    </w:p>
    <w:p w14:paraId="4A3E05A4" w14:textId="77777777" w:rsidR="0084489F" w:rsidRDefault="00110FE6" w:rsidP="004454E2">
      <w:pPr>
        <w:pStyle w:val="BodyText"/>
        <w:keepNext/>
      </w:pPr>
      <w:r w:rsidRPr="1B9E7434">
        <w:rPr>
          <w:rStyle w:val="VerbatimChar"/>
          <w:lang w:val="fr-FR"/>
        </w:rPr>
        <w:t>P127_a_pour_terme_général (a_pour_terme_spécifique)</w:t>
      </w:r>
      <w:r w:rsidRPr="1B9E7434">
        <w:rPr>
          <w:lang w:val="fr-FR"/>
        </w:rPr>
        <w:t xml:space="preserve"> : </w:t>
      </w:r>
      <w:r w:rsidRPr="1B9E7434">
        <w:rPr>
          <w:rStyle w:val="VerbatimChar"/>
          <w:lang w:val="fr-FR"/>
        </w:rPr>
        <w:t>E55_Type</w:t>
      </w:r>
    </w:p>
    <w:p w14:paraId="486B3760" w14:textId="77777777" w:rsidR="0084489F" w:rsidRDefault="00110FE6">
      <w:pPr>
        <w:pStyle w:val="BodyText"/>
      </w:pPr>
      <w:r w:rsidRPr="1B9E7434">
        <w:rPr>
          <w:rStyle w:val="VerbatimChar"/>
          <w:lang w:val="fr-FR"/>
        </w:rPr>
        <w:t>P150_définit_les_éléments_typiques_de (définit_l’ensemble_typique_pour)</w:t>
      </w:r>
      <w:r w:rsidRPr="1B9E7434">
        <w:rPr>
          <w:lang w:val="fr-FR"/>
        </w:rPr>
        <w:t xml:space="preserve"> : </w:t>
      </w:r>
      <w:r w:rsidRPr="1B9E7434">
        <w:rPr>
          <w:rStyle w:val="VerbatimChar"/>
          <w:lang w:val="fr-FR"/>
        </w:rPr>
        <w:t>E55_Type</w:t>
      </w:r>
    </w:p>
    <w:p w14:paraId="54382CB3" w14:textId="77777777" w:rsidR="0084489F" w:rsidRDefault="00110FE6">
      <w:pPr>
        <w:pStyle w:val="BlockText"/>
      </w:pPr>
      <w:r>
        <w:rPr>
          <w:b/>
          <w:bCs/>
          <w:i/>
          <w:iCs/>
        </w:rPr>
        <w:t>Note de traduction</w:t>
      </w:r>
    </w:p>
    <w:p w14:paraId="0A17AC2B" w14:textId="77777777" w:rsidR="0084489F" w:rsidRDefault="00110FE6">
      <w:pPr>
        <w:pStyle w:val="BlockText"/>
      </w:pPr>
      <w:r>
        <w:rPr>
          <w:b/>
          <w:bCs/>
          <w:i/>
          <w:iCs/>
        </w:rPr>
        <w:t>Références</w:t>
      </w:r>
    </w:p>
    <w:p w14:paraId="493498A1" w14:textId="77777777" w:rsidR="0084489F" w:rsidRDefault="0084489F">
      <w:pPr>
        <w:pStyle w:val="BlockText"/>
      </w:pPr>
    </w:p>
    <w:p w14:paraId="01D03C5F" w14:textId="77777777" w:rsidR="0084489F" w:rsidRDefault="00110FE6">
      <w:pPr>
        <w:pStyle w:val="Heading2"/>
      </w:pPr>
      <w:bookmarkStart w:id="193" w:name="_Toc176864478"/>
      <w:bookmarkStart w:id="194" w:name="e56-langue"/>
      <w:bookmarkEnd w:id="192"/>
      <w:r>
        <w:t>E56 Langue</w:t>
      </w:r>
      <w:bookmarkEnd w:id="193"/>
    </w:p>
    <w:p w14:paraId="2CA8C0DC" w14:textId="77777777" w:rsidR="0084489F" w:rsidRDefault="00110FE6">
      <w:pPr>
        <w:pStyle w:val="FirstParagraph"/>
      </w:pPr>
      <w:r>
        <w:rPr>
          <w:b/>
          <w:bCs/>
        </w:rPr>
        <w:t>Sous-classe de</w:t>
      </w:r>
    </w:p>
    <w:p w14:paraId="60FB822D" w14:textId="77777777" w:rsidR="0084489F" w:rsidRDefault="00110FE6">
      <w:pPr>
        <w:pStyle w:val="BodyText"/>
      </w:pPr>
      <w:r>
        <w:rPr>
          <w:rStyle w:val="VerbatimChar"/>
        </w:rPr>
        <w:t>E55_Type</w:t>
      </w:r>
    </w:p>
    <w:p w14:paraId="2BBDE96A" w14:textId="77777777" w:rsidR="0084489F" w:rsidRDefault="00110FE6">
      <w:pPr>
        <w:pStyle w:val="BodyText"/>
      </w:pPr>
      <w:r>
        <w:rPr>
          <w:b/>
          <w:bCs/>
        </w:rPr>
        <w:t>Super-classe de</w:t>
      </w:r>
    </w:p>
    <w:p w14:paraId="2FB06505" w14:textId="77777777" w:rsidR="0084489F" w:rsidRDefault="00110FE6">
      <w:pPr>
        <w:pStyle w:val="BodyText"/>
      </w:pPr>
      <w:r>
        <w:rPr>
          <w:b/>
          <w:bCs/>
        </w:rPr>
        <w:t>Note d’application</w:t>
      </w:r>
    </w:p>
    <w:p w14:paraId="1D203EAB" w14:textId="77777777" w:rsidR="0084489F" w:rsidRDefault="00110FE6">
      <w:pPr>
        <w:pStyle w:val="BodyText"/>
      </w:pPr>
      <w:r>
        <w:t xml:space="preserve">Cette classe est une sous-classe de </w:t>
      </w:r>
      <w:r>
        <w:rPr>
          <w:rStyle w:val="VerbatimChar"/>
        </w:rPr>
        <w:t>E55_Type</w:t>
      </w:r>
      <w:r>
        <w:t xml:space="preserve"> et comprend les langues naturelles en tant que concepts.</w:t>
      </w:r>
    </w:p>
    <w:p w14:paraId="7910F564" w14:textId="77777777" w:rsidR="0084489F" w:rsidRDefault="00110FE6">
      <w:pPr>
        <w:pStyle w:val="BodyText"/>
      </w:pPr>
      <w:r w:rsidRPr="1B9E7434">
        <w:rPr>
          <w:lang w:val="fr-FR"/>
        </w:rPr>
        <w:t xml:space="preserve">Ce type est utilisé dans le modèle de manière catégorique, sans référence à des instances de celui-ci, c.-à-d. que le modèle ne prévoit pas la description d’instances d’instances de </w:t>
      </w:r>
      <w:r w:rsidRPr="1B9E7434">
        <w:rPr>
          <w:rStyle w:val="VerbatimChar"/>
          <w:lang w:val="fr-FR"/>
        </w:rPr>
        <w:t>E56_Langue</w:t>
      </w:r>
      <w:r w:rsidRPr="1B9E7434">
        <w:rPr>
          <w:lang w:val="fr-FR"/>
        </w:rPr>
        <w:t>, par exemple « instances de mandarin ».</w:t>
      </w:r>
    </w:p>
    <w:p w14:paraId="1AA30447" w14:textId="77777777" w:rsidR="0084489F" w:rsidRDefault="00110FE6">
      <w:pPr>
        <w:pStyle w:val="BodyText"/>
      </w:pPr>
      <w:r w:rsidRPr="1B9E7434">
        <w:rPr>
          <w:lang w:val="fr-FR"/>
        </w:rPr>
        <w:t xml:space="preserve">Il est recommandé d’utiliser des codes et une terminologie convenus au niveau national ou international pour désigner les instances de </w:t>
      </w:r>
      <w:r w:rsidRPr="1B9E7434">
        <w:rPr>
          <w:rStyle w:val="VerbatimChar"/>
          <w:lang w:val="fr-FR"/>
        </w:rPr>
        <w:t>E56_Langue</w:t>
      </w:r>
      <w:r w:rsidRPr="1B9E7434">
        <w:rPr>
          <w:lang w:val="fr-FR"/>
        </w:rPr>
        <w:t>, telles que celles définies dans la norme ISO 639-3:2007 et ses versions ultérieures.</w:t>
      </w:r>
    </w:p>
    <w:p w14:paraId="7AE7D083" w14:textId="77777777" w:rsidR="0084489F" w:rsidRDefault="00110FE6">
      <w:pPr>
        <w:pStyle w:val="BodyText"/>
      </w:pPr>
      <w:r>
        <w:rPr>
          <w:b/>
          <w:bCs/>
        </w:rPr>
        <w:t>Exemples</w:t>
      </w:r>
    </w:p>
    <w:p w14:paraId="2A371EB0" w14:textId="42AF7CA0" w:rsidR="0084489F" w:rsidRDefault="00110FE6" w:rsidP="00806324">
      <w:pPr>
        <w:numPr>
          <w:ilvl w:val="0"/>
          <w:numId w:val="97"/>
        </w:numPr>
      </w:pPr>
      <w:r w:rsidRPr="1B9E7434">
        <w:rPr>
          <w:lang w:val="fr-FR"/>
        </w:rPr>
        <w:t>ell [grec]</w:t>
      </w:r>
    </w:p>
    <w:p w14:paraId="1FA10B66" w14:textId="2A13ECC0" w:rsidR="0084489F" w:rsidRDefault="00110FE6" w:rsidP="00806324">
      <w:pPr>
        <w:numPr>
          <w:ilvl w:val="0"/>
          <w:numId w:val="97"/>
        </w:numPr>
      </w:pPr>
      <w:r w:rsidRPr="1B9E7434">
        <w:rPr>
          <w:lang w:val="fr-FR"/>
        </w:rPr>
        <w:t>eng [anglais]</w:t>
      </w:r>
    </w:p>
    <w:p w14:paraId="003F0A25" w14:textId="0C796F19" w:rsidR="0084489F" w:rsidRDefault="00110FE6" w:rsidP="00806324">
      <w:pPr>
        <w:numPr>
          <w:ilvl w:val="0"/>
          <w:numId w:val="97"/>
        </w:numPr>
      </w:pPr>
      <w:r w:rsidRPr="1B9E7434">
        <w:rPr>
          <w:lang w:val="fr-FR"/>
        </w:rPr>
        <w:t>epo [esperanto]</w:t>
      </w:r>
    </w:p>
    <w:p w14:paraId="0D74E8DD" w14:textId="382985A8" w:rsidR="0084489F" w:rsidRDefault="00110FE6" w:rsidP="00806324">
      <w:pPr>
        <w:numPr>
          <w:ilvl w:val="0"/>
          <w:numId w:val="97"/>
        </w:numPr>
      </w:pPr>
      <w:r w:rsidRPr="1B9E7434">
        <w:rPr>
          <w:lang w:val="fr-FR"/>
        </w:rPr>
        <w:t>spa [espagnol]</w:t>
      </w:r>
    </w:p>
    <w:p w14:paraId="59161B56" w14:textId="011309CF" w:rsidR="0084489F" w:rsidRDefault="00110FE6" w:rsidP="00806324">
      <w:pPr>
        <w:numPr>
          <w:ilvl w:val="0"/>
          <w:numId w:val="97"/>
        </w:numPr>
      </w:pPr>
      <w:r w:rsidRPr="1B9E7434">
        <w:rPr>
          <w:lang w:val="fr-FR"/>
        </w:rPr>
        <w:t>fra [français]</w:t>
      </w:r>
    </w:p>
    <w:p w14:paraId="40238B2A" w14:textId="77777777" w:rsidR="0084489F" w:rsidRDefault="00110FE6">
      <w:pPr>
        <w:pStyle w:val="FirstParagraph"/>
      </w:pPr>
      <w:r>
        <w:rPr>
          <w:b/>
          <w:bCs/>
        </w:rPr>
        <w:t>Logique</w:t>
      </w:r>
    </w:p>
    <w:p w14:paraId="2E9E9CE8" w14:textId="77777777" w:rsidR="0084489F" w:rsidRDefault="00110FE6">
      <w:pPr>
        <w:pStyle w:val="BodyText"/>
      </w:pPr>
      <w:r>
        <w:t>E56(x) ⇒ E55(x)</w:t>
      </w:r>
    </w:p>
    <w:p w14:paraId="15F6312C" w14:textId="77777777" w:rsidR="0084489F" w:rsidRDefault="00110FE6">
      <w:pPr>
        <w:pStyle w:val="BodyText"/>
      </w:pPr>
      <w:r>
        <w:rPr>
          <w:b/>
          <w:bCs/>
        </w:rPr>
        <w:t>Propriétés</w:t>
      </w:r>
    </w:p>
    <w:p w14:paraId="20C92400" w14:textId="77777777" w:rsidR="0084489F" w:rsidRDefault="00110FE6">
      <w:pPr>
        <w:pStyle w:val="BlockText"/>
      </w:pPr>
      <w:r>
        <w:rPr>
          <w:b/>
          <w:bCs/>
          <w:i/>
          <w:iCs/>
        </w:rPr>
        <w:t>Note de traduction</w:t>
      </w:r>
    </w:p>
    <w:p w14:paraId="5F76E49F" w14:textId="77777777" w:rsidR="0084489F" w:rsidRDefault="00110FE6">
      <w:pPr>
        <w:pStyle w:val="BlockText"/>
      </w:pPr>
      <w:r>
        <w:rPr>
          <w:b/>
          <w:bCs/>
          <w:i/>
          <w:iCs/>
        </w:rPr>
        <w:t>Références</w:t>
      </w:r>
    </w:p>
    <w:p w14:paraId="6F2D92AF" w14:textId="77777777" w:rsidR="0084489F" w:rsidRDefault="0084489F">
      <w:pPr>
        <w:pStyle w:val="BlockText"/>
      </w:pPr>
    </w:p>
    <w:p w14:paraId="42612522" w14:textId="77777777" w:rsidR="0084489F" w:rsidRDefault="00110FE6">
      <w:pPr>
        <w:pStyle w:val="Heading2"/>
      </w:pPr>
      <w:bookmarkStart w:id="195" w:name="_Toc176864479"/>
      <w:bookmarkStart w:id="196" w:name="e57-materiau"/>
      <w:bookmarkEnd w:id="194"/>
      <w:r>
        <w:lastRenderedPageBreak/>
        <w:t>E57 Matériau</w:t>
      </w:r>
      <w:bookmarkEnd w:id="195"/>
    </w:p>
    <w:p w14:paraId="23DA5003" w14:textId="77777777" w:rsidR="0084489F" w:rsidRDefault="00110FE6">
      <w:pPr>
        <w:pStyle w:val="FirstParagraph"/>
      </w:pPr>
      <w:r>
        <w:rPr>
          <w:b/>
          <w:bCs/>
        </w:rPr>
        <w:t>Sous-classe de</w:t>
      </w:r>
    </w:p>
    <w:p w14:paraId="093C4195" w14:textId="77777777" w:rsidR="0084489F" w:rsidRDefault="00110FE6">
      <w:pPr>
        <w:pStyle w:val="BodyText"/>
      </w:pPr>
      <w:r>
        <w:rPr>
          <w:rStyle w:val="VerbatimChar"/>
        </w:rPr>
        <w:t>E55_Type</w:t>
      </w:r>
    </w:p>
    <w:p w14:paraId="67ACB756" w14:textId="77777777" w:rsidR="0084489F" w:rsidRDefault="00110FE6">
      <w:pPr>
        <w:pStyle w:val="BodyText"/>
      </w:pPr>
      <w:r>
        <w:rPr>
          <w:b/>
          <w:bCs/>
        </w:rPr>
        <w:t>Super-classe de</w:t>
      </w:r>
    </w:p>
    <w:p w14:paraId="68023FA6" w14:textId="77777777" w:rsidR="0084489F" w:rsidRDefault="00110FE6">
      <w:pPr>
        <w:pStyle w:val="BodyText"/>
      </w:pPr>
      <w:r>
        <w:rPr>
          <w:b/>
          <w:bCs/>
        </w:rPr>
        <w:t>Note d’application</w:t>
      </w:r>
    </w:p>
    <w:p w14:paraId="3950A23D" w14:textId="77777777" w:rsidR="0084489F" w:rsidRDefault="00110FE6">
      <w:pPr>
        <w:pStyle w:val="BodyText"/>
      </w:pPr>
      <w:r>
        <w:t xml:space="preserve">Cette classe est une sous-classe de </w:t>
      </w:r>
      <w:r>
        <w:rPr>
          <w:rStyle w:val="VerbatimChar"/>
        </w:rPr>
        <w:t>E55_Type</w:t>
      </w:r>
      <w:r>
        <w:t xml:space="preserve"> et comprend les matériaux en tant que concepts.</w:t>
      </w:r>
    </w:p>
    <w:p w14:paraId="656CDD51" w14:textId="77777777" w:rsidR="0084489F" w:rsidRDefault="00110FE6">
      <w:pPr>
        <w:pStyle w:val="BodyText"/>
      </w:pPr>
      <w:r>
        <w:t xml:space="preserve">Les instances de </w:t>
      </w:r>
      <w:r>
        <w:rPr>
          <w:rStyle w:val="VerbatimChar"/>
        </w:rPr>
        <w:t>E57_Matériau</w:t>
      </w:r>
      <w:r>
        <w:t xml:space="preserve"> peuvent également désigner les propriétés de la matière avant ou pendant son utilisation ou telle qu’incorporée dans un objet, comme la </w:t>
      </w:r>
      <w:r>
        <w:rPr>
          <w:i/>
          <w:iCs/>
        </w:rPr>
        <w:t>poudre</w:t>
      </w:r>
      <w:r>
        <w:t xml:space="preserve"> de pigment bleu outremer, la tempera [n.d.t. peinture </w:t>
      </w:r>
      <w:r>
        <w:rPr>
          <w:i/>
          <w:iCs/>
        </w:rPr>
        <w:t>à l'œuf</w:t>
      </w:r>
      <w:r>
        <w:t xml:space="preserve">] et le béton </w:t>
      </w:r>
      <w:r>
        <w:rPr>
          <w:i/>
          <w:iCs/>
        </w:rPr>
        <w:t>armé</w:t>
      </w:r>
      <w:r>
        <w:t>.</w:t>
      </w:r>
    </w:p>
    <w:p w14:paraId="1C73607E" w14:textId="77777777" w:rsidR="0084489F" w:rsidRDefault="00110FE6">
      <w:pPr>
        <w:pStyle w:val="BodyText"/>
      </w:pPr>
      <w:r w:rsidRPr="1B9E7434">
        <w:rPr>
          <w:lang w:val="fr-FR"/>
        </w:rPr>
        <w:t xml:space="preserve">Les matières premières conservées telles quelles dans les musées, comme les briques, le tissu ou les pièces de métal, doivent être modélisées individuellement, c.-à-d. de la même manière que les autres objets. Les matières premières qui ont été utilisées ou transformées, comme les pierres du temple de Néfertiti, doivent plutôt être modélisées comme des parties composantes (voir </w:t>
      </w:r>
      <w:r w:rsidRPr="1B9E7434">
        <w:rPr>
          <w:rStyle w:val="VerbatimChar"/>
          <w:lang w:val="fr-FR"/>
        </w:rPr>
        <w:t>P46_est_composé_de (fait_partie_de)</w:t>
      </w:r>
      <w:r w:rsidRPr="1B9E7434">
        <w:rPr>
          <w:lang w:val="fr-FR"/>
        </w:rPr>
        <w:t xml:space="preserve"> : </w:t>
      </w:r>
      <w:r w:rsidRPr="1B9E7434">
        <w:rPr>
          <w:rStyle w:val="VerbatimChar"/>
          <w:lang w:val="fr-FR"/>
        </w:rPr>
        <w:t>E18_Chose_matérielle</w:t>
      </w:r>
      <w:r w:rsidRPr="1B9E7434">
        <w:rPr>
          <w:lang w:val="fr-FR"/>
        </w:rPr>
        <w:t>).</w:t>
      </w:r>
    </w:p>
    <w:p w14:paraId="1149831D" w14:textId="77777777" w:rsidR="0084489F" w:rsidRDefault="00110FE6">
      <w:pPr>
        <w:pStyle w:val="BodyText"/>
      </w:pPr>
      <w:r w:rsidRPr="1B9E7434">
        <w:rPr>
          <w:lang w:val="fr-FR"/>
        </w:rPr>
        <w:t xml:space="preserve">Ce type est utilisé dans le modèle de manière catégorique, sans référence à des instances de celui-ci, c.-à-d. que le modèle ne prévoit pas la description d’instances d’instances de </w:t>
      </w:r>
      <w:r w:rsidRPr="1B9E7434">
        <w:rPr>
          <w:rStyle w:val="VerbatimChar"/>
          <w:lang w:val="fr-FR"/>
        </w:rPr>
        <w:t>E57_Matériau</w:t>
      </w:r>
      <w:r w:rsidRPr="1B9E7434">
        <w:rPr>
          <w:lang w:val="fr-FR"/>
        </w:rPr>
        <w:t>, par exemple « instances d’or ».</w:t>
      </w:r>
    </w:p>
    <w:p w14:paraId="4C37B1FF" w14:textId="77777777" w:rsidR="0084489F" w:rsidRDefault="00110FE6">
      <w:pPr>
        <w:pStyle w:val="BodyText"/>
      </w:pPr>
      <w:r w:rsidRPr="1B9E7434">
        <w:rPr>
          <w:lang w:val="fr-FR"/>
        </w:rPr>
        <w:t>Il est recommandé d’utiliser des codes et une terminologie convenus au niveau national ou international.</w:t>
      </w:r>
    </w:p>
    <w:p w14:paraId="0FB461E6" w14:textId="77777777" w:rsidR="0084489F" w:rsidRDefault="00110FE6">
      <w:pPr>
        <w:pStyle w:val="BodyText"/>
      </w:pPr>
      <w:r>
        <w:rPr>
          <w:b/>
          <w:bCs/>
        </w:rPr>
        <w:t>Exemples</w:t>
      </w:r>
    </w:p>
    <w:p w14:paraId="161C7B5D" w14:textId="07CDF4AE" w:rsidR="0084489F" w:rsidRDefault="00110FE6" w:rsidP="00806324">
      <w:pPr>
        <w:numPr>
          <w:ilvl w:val="0"/>
          <w:numId w:val="98"/>
        </w:numPr>
      </w:pPr>
      <w:r w:rsidRPr="1B9E7434">
        <w:rPr>
          <w:lang w:val="fr-FR"/>
        </w:rPr>
        <w:t>Brique (Gurcke, 1987)</w:t>
      </w:r>
    </w:p>
    <w:p w14:paraId="5DB56B36" w14:textId="77777777" w:rsidR="0084489F" w:rsidRDefault="00110FE6" w:rsidP="00806324">
      <w:pPr>
        <w:numPr>
          <w:ilvl w:val="0"/>
          <w:numId w:val="98"/>
        </w:numPr>
      </w:pPr>
      <w:r>
        <w:t>Or (Watson, 1990)</w:t>
      </w:r>
    </w:p>
    <w:p w14:paraId="13DEDAF3" w14:textId="77777777" w:rsidR="0084489F" w:rsidRDefault="00110FE6" w:rsidP="00806324">
      <w:pPr>
        <w:numPr>
          <w:ilvl w:val="0"/>
          <w:numId w:val="98"/>
        </w:numPr>
      </w:pPr>
      <w:r>
        <w:t>Aluminium (Norman, 1986)</w:t>
      </w:r>
    </w:p>
    <w:p w14:paraId="67825811" w14:textId="3E81D9EB" w:rsidR="0084489F" w:rsidRDefault="00110FE6" w:rsidP="00806324">
      <w:pPr>
        <w:numPr>
          <w:ilvl w:val="0"/>
          <w:numId w:val="98"/>
        </w:numPr>
      </w:pPr>
      <w:r w:rsidRPr="1B9E7434">
        <w:rPr>
          <w:lang w:val="fr-FR"/>
        </w:rPr>
        <w:t>Polycarbonate (Mhaske, 2011)</w:t>
      </w:r>
    </w:p>
    <w:p w14:paraId="0E79826F" w14:textId="77777777" w:rsidR="0084489F" w:rsidRDefault="00110FE6" w:rsidP="00806324">
      <w:pPr>
        <w:numPr>
          <w:ilvl w:val="0"/>
          <w:numId w:val="98"/>
        </w:numPr>
      </w:pPr>
      <w:r>
        <w:t>Résine (Barton, 1992)</w:t>
      </w:r>
    </w:p>
    <w:p w14:paraId="668D9245" w14:textId="77777777" w:rsidR="0084489F" w:rsidRDefault="00110FE6">
      <w:pPr>
        <w:pStyle w:val="FirstParagraph"/>
      </w:pPr>
      <w:r>
        <w:rPr>
          <w:b/>
          <w:bCs/>
        </w:rPr>
        <w:t>Logique</w:t>
      </w:r>
    </w:p>
    <w:p w14:paraId="603158E0" w14:textId="77777777" w:rsidR="0084489F" w:rsidRDefault="00110FE6">
      <w:pPr>
        <w:pStyle w:val="BodyText"/>
      </w:pPr>
      <w:r>
        <w:t>E57(x) ⇒ E55(x)</w:t>
      </w:r>
    </w:p>
    <w:p w14:paraId="602B7439" w14:textId="77777777" w:rsidR="0084489F" w:rsidRDefault="00110FE6">
      <w:pPr>
        <w:pStyle w:val="BodyText"/>
      </w:pPr>
      <w:r>
        <w:rPr>
          <w:b/>
          <w:bCs/>
        </w:rPr>
        <w:t>Propriétés</w:t>
      </w:r>
    </w:p>
    <w:p w14:paraId="7E16894B" w14:textId="77777777" w:rsidR="0084489F" w:rsidRDefault="00110FE6">
      <w:pPr>
        <w:pStyle w:val="BlockText"/>
      </w:pPr>
      <w:r>
        <w:rPr>
          <w:b/>
          <w:bCs/>
          <w:i/>
          <w:iCs/>
        </w:rPr>
        <w:t>Note de traduction</w:t>
      </w:r>
    </w:p>
    <w:p w14:paraId="419DF33D" w14:textId="77777777" w:rsidR="0084489F" w:rsidRDefault="00110FE6">
      <w:pPr>
        <w:pStyle w:val="BlockText"/>
      </w:pPr>
      <w:r w:rsidRPr="1B9E7434">
        <w:rPr>
          <w:lang w:val="fr-FR"/>
        </w:rPr>
        <w:t>Le terme « </w:t>
      </w:r>
      <w:r w:rsidRPr="1B9E7434">
        <w:rPr>
          <w:i/>
          <w:iCs/>
          <w:lang w:val="fr-FR"/>
        </w:rPr>
        <w:t>Peinture à l'œuf</w:t>
      </w:r>
      <w:r w:rsidRPr="1B9E7434">
        <w:rPr>
          <w:lang w:val="fr-FR"/>
        </w:rPr>
        <w:t xml:space="preserve">  »  a été ajouté en note du traducteur afin de démontrer l’aspect « propriété de la matière ».</w:t>
      </w:r>
    </w:p>
    <w:p w14:paraId="638941B3" w14:textId="77777777" w:rsidR="0084489F" w:rsidRDefault="00110FE6">
      <w:pPr>
        <w:pStyle w:val="BlockText"/>
      </w:pPr>
      <w:r>
        <w:t>Dans les exemples en français les références bibliographiques originales (à des thésaurus en anglais) ont été conservées aux fins de fidélité. Les termes et définitions qui s'y trouvent pourraient donc différer des termes et définitions établis en français.</w:t>
      </w:r>
    </w:p>
    <w:p w14:paraId="23AA685D" w14:textId="77777777" w:rsidR="0084489F" w:rsidRDefault="00110FE6">
      <w:pPr>
        <w:pStyle w:val="BlockText"/>
        <w:rPr>
          <w:b/>
          <w:bCs/>
          <w:i/>
          <w:iCs/>
        </w:rPr>
      </w:pPr>
      <w:r>
        <w:rPr>
          <w:b/>
          <w:bCs/>
          <w:i/>
          <w:iCs/>
        </w:rPr>
        <w:t>Références</w:t>
      </w:r>
    </w:p>
    <w:p w14:paraId="693A4439" w14:textId="77777777" w:rsidR="004454E2" w:rsidRPr="004454E2" w:rsidRDefault="004454E2" w:rsidP="004454E2">
      <w:pPr>
        <w:pStyle w:val="BodyText"/>
      </w:pPr>
    </w:p>
    <w:p w14:paraId="5B7286AF" w14:textId="77777777" w:rsidR="0084489F" w:rsidRDefault="00110FE6">
      <w:pPr>
        <w:pStyle w:val="Heading2"/>
      </w:pPr>
      <w:bookmarkStart w:id="197" w:name="_Toc176864480"/>
      <w:bookmarkStart w:id="198" w:name="e58-unite-de-mesure"/>
      <w:bookmarkEnd w:id="196"/>
      <w:r>
        <w:lastRenderedPageBreak/>
        <w:t>E58 Unité de mesure</w:t>
      </w:r>
      <w:bookmarkEnd w:id="197"/>
    </w:p>
    <w:p w14:paraId="53A5CBAD" w14:textId="77777777" w:rsidR="0084489F" w:rsidRDefault="00110FE6">
      <w:pPr>
        <w:pStyle w:val="FirstParagraph"/>
      </w:pPr>
      <w:r>
        <w:rPr>
          <w:b/>
          <w:bCs/>
        </w:rPr>
        <w:t>Sous-classe de</w:t>
      </w:r>
    </w:p>
    <w:p w14:paraId="1A839F77" w14:textId="77777777" w:rsidR="0084489F" w:rsidRDefault="00110FE6">
      <w:pPr>
        <w:pStyle w:val="BodyText"/>
      </w:pPr>
      <w:r>
        <w:rPr>
          <w:rStyle w:val="VerbatimChar"/>
        </w:rPr>
        <w:t>E55_Type</w:t>
      </w:r>
    </w:p>
    <w:p w14:paraId="4689561F" w14:textId="77777777" w:rsidR="0084489F" w:rsidRDefault="00110FE6" w:rsidP="00110FE6">
      <w:pPr>
        <w:pStyle w:val="BodyText"/>
        <w:keepNext/>
      </w:pPr>
      <w:r>
        <w:rPr>
          <w:b/>
          <w:bCs/>
        </w:rPr>
        <w:t>Super-classe de</w:t>
      </w:r>
    </w:p>
    <w:p w14:paraId="1DB9BE74" w14:textId="77777777" w:rsidR="0084489F" w:rsidRDefault="00110FE6" w:rsidP="00110FE6">
      <w:pPr>
        <w:pStyle w:val="BodyText"/>
        <w:keepNext/>
      </w:pPr>
      <w:r>
        <w:rPr>
          <w:rStyle w:val="VerbatimChar"/>
        </w:rPr>
        <w:t>E98_Unité_monétaire</w:t>
      </w:r>
    </w:p>
    <w:p w14:paraId="79CC1DC9" w14:textId="77777777" w:rsidR="0084489F" w:rsidRDefault="00110FE6">
      <w:pPr>
        <w:pStyle w:val="BodyText"/>
      </w:pPr>
      <w:r>
        <w:rPr>
          <w:b/>
          <w:bCs/>
        </w:rPr>
        <w:t>Note d’application</w:t>
      </w:r>
    </w:p>
    <w:p w14:paraId="269FAA52" w14:textId="77777777" w:rsidR="0084489F" w:rsidRDefault="00110FE6">
      <w:pPr>
        <w:pStyle w:val="BodyText"/>
      </w:pPr>
      <w:r>
        <w:t xml:space="preserve">Cette classe est une sous-classe de </w:t>
      </w:r>
      <w:r>
        <w:rPr>
          <w:rStyle w:val="VerbatimChar"/>
        </w:rPr>
        <w:t>E55_Type</w:t>
      </w:r>
      <w:r>
        <w:t xml:space="preserve"> et comprend les types d’unités de mesure : pieds, pouces, centimètres, litres, lumens, etc.</w:t>
      </w:r>
    </w:p>
    <w:p w14:paraId="5655E0D5" w14:textId="77777777" w:rsidR="0084489F" w:rsidRDefault="00110FE6">
      <w:pPr>
        <w:pStyle w:val="BodyText"/>
      </w:pPr>
      <w:r>
        <w:t xml:space="preserve">Ce type est utilisé catégoriquement dans le modèle sans référence à des instances de celui-ci, c.-à-d. que le modèle ne prévoit pas la description d’instances de </w:t>
      </w:r>
      <w:r>
        <w:rPr>
          <w:rStyle w:val="VerbatimChar"/>
        </w:rPr>
        <w:t>E58_Unité_de_mesure</w:t>
      </w:r>
      <w:r>
        <w:t>, par exemple « instances de cm ».</w:t>
      </w:r>
    </w:p>
    <w:p w14:paraId="379F2B70" w14:textId="77777777" w:rsidR="0084489F" w:rsidRDefault="00110FE6">
      <w:pPr>
        <w:pStyle w:val="BodyText"/>
      </w:pPr>
      <w:r w:rsidRPr="1B9E7434">
        <w:rPr>
          <w:lang w:val="fr-FR"/>
        </w:rPr>
        <w:t>Les unités du Système international d’unités (SI) ou des termes reconnus internationalement mais qui ne font pas partie du SI doivent être utilisés lorsque possible, comme les unités de mesures définies par le standard ISO 80000:2009. Les unités de mesure archaïques utilisées dans des documents historiques doivent être préservées.</w:t>
      </w:r>
    </w:p>
    <w:p w14:paraId="70523C47" w14:textId="77777777" w:rsidR="0084489F" w:rsidRDefault="00110FE6">
      <w:pPr>
        <w:pStyle w:val="BodyText"/>
      </w:pPr>
      <w:r>
        <w:rPr>
          <w:b/>
          <w:bCs/>
        </w:rPr>
        <w:t>Exemples</w:t>
      </w:r>
    </w:p>
    <w:p w14:paraId="1DDF72C5" w14:textId="1FA76D98" w:rsidR="0084489F" w:rsidRDefault="00110FE6" w:rsidP="00806324">
      <w:pPr>
        <w:numPr>
          <w:ilvl w:val="0"/>
          <w:numId w:val="99"/>
        </w:numPr>
      </w:pPr>
      <w:r w:rsidRPr="1B9E7434">
        <w:rPr>
          <w:lang w:val="fr-FR"/>
        </w:rPr>
        <w:t>cm [centimètre]</w:t>
      </w:r>
    </w:p>
    <w:p w14:paraId="2042B687" w14:textId="1F54D073" w:rsidR="0084489F" w:rsidRDefault="00110FE6" w:rsidP="00806324">
      <w:pPr>
        <w:numPr>
          <w:ilvl w:val="0"/>
          <w:numId w:val="99"/>
        </w:numPr>
      </w:pPr>
      <w:r w:rsidRPr="1B9E7434">
        <w:rPr>
          <w:lang w:val="fr-FR"/>
        </w:rPr>
        <w:t>km [kilomètre]</w:t>
      </w:r>
    </w:p>
    <w:p w14:paraId="3A610D0B" w14:textId="6A49A476" w:rsidR="0084489F" w:rsidRDefault="00110FE6" w:rsidP="00806324">
      <w:pPr>
        <w:numPr>
          <w:ilvl w:val="0"/>
          <w:numId w:val="99"/>
        </w:numPr>
      </w:pPr>
      <w:r w:rsidRPr="1B9E7434">
        <w:rPr>
          <w:lang w:val="fr-FR"/>
        </w:rPr>
        <w:t>m [mètre]</w:t>
      </w:r>
    </w:p>
    <w:p w14:paraId="383E3B15" w14:textId="30D0A995" w:rsidR="0084489F" w:rsidRDefault="00110FE6" w:rsidP="00806324">
      <w:pPr>
        <w:numPr>
          <w:ilvl w:val="0"/>
          <w:numId w:val="99"/>
        </w:numPr>
      </w:pPr>
      <w:r w:rsidRPr="1B9E7434">
        <w:rPr>
          <w:lang w:val="fr-FR"/>
        </w:rPr>
        <w:t>m/s [mètres par seconde] (Hau &amp; al, 1999)</w:t>
      </w:r>
    </w:p>
    <w:p w14:paraId="466D7789" w14:textId="77777777" w:rsidR="0084489F" w:rsidRDefault="00110FE6" w:rsidP="00806324">
      <w:pPr>
        <w:numPr>
          <w:ilvl w:val="0"/>
          <w:numId w:val="99"/>
        </w:numPr>
      </w:pPr>
      <w:r>
        <w:t>A [Ampère]</w:t>
      </w:r>
    </w:p>
    <w:p w14:paraId="708F939D" w14:textId="77777777" w:rsidR="0084489F" w:rsidRDefault="00110FE6" w:rsidP="00806324">
      <w:pPr>
        <w:numPr>
          <w:ilvl w:val="0"/>
          <w:numId w:val="99"/>
        </w:numPr>
      </w:pPr>
      <w:r>
        <w:t>GRD [Drachme grecque] (</w:t>
      </w:r>
      <w:r>
        <w:rPr>
          <w:rStyle w:val="VerbatimChar"/>
        </w:rPr>
        <w:t>E98_Unité_monétaire</w:t>
      </w:r>
      <w:r>
        <w:t>) (Daniel, 2014)</w:t>
      </w:r>
    </w:p>
    <w:p w14:paraId="4F1EEDDD" w14:textId="4F64AD6B" w:rsidR="0084489F" w:rsidRDefault="00110FE6" w:rsidP="00806324">
      <w:pPr>
        <w:numPr>
          <w:ilvl w:val="0"/>
          <w:numId w:val="99"/>
        </w:numPr>
      </w:pPr>
      <w:r w:rsidRPr="1B9E7434">
        <w:rPr>
          <w:lang w:val="fr-FR"/>
        </w:rPr>
        <w:t>°C [degrés centigrades] (Beckman, 1998)</w:t>
      </w:r>
    </w:p>
    <w:p w14:paraId="70980CA0" w14:textId="77777777" w:rsidR="0084489F" w:rsidRDefault="00110FE6">
      <w:pPr>
        <w:pStyle w:val="FirstParagraph"/>
      </w:pPr>
      <w:r>
        <w:rPr>
          <w:b/>
          <w:bCs/>
        </w:rPr>
        <w:t>Logique</w:t>
      </w:r>
    </w:p>
    <w:p w14:paraId="1429520F" w14:textId="77777777" w:rsidR="0084489F" w:rsidRDefault="00110FE6">
      <w:pPr>
        <w:pStyle w:val="BodyText"/>
      </w:pPr>
      <w:r>
        <w:t>E58(x) ⇒ E55(x)</w:t>
      </w:r>
    </w:p>
    <w:p w14:paraId="103DCDB6" w14:textId="77777777" w:rsidR="0084489F" w:rsidRDefault="00110FE6">
      <w:pPr>
        <w:pStyle w:val="BodyText"/>
      </w:pPr>
      <w:r>
        <w:rPr>
          <w:b/>
          <w:bCs/>
        </w:rPr>
        <w:t>Propriétés</w:t>
      </w:r>
    </w:p>
    <w:p w14:paraId="2E0984CD" w14:textId="77777777" w:rsidR="0084489F" w:rsidRDefault="00110FE6">
      <w:pPr>
        <w:pStyle w:val="BlockText"/>
      </w:pPr>
      <w:r>
        <w:rPr>
          <w:b/>
          <w:bCs/>
          <w:i/>
          <w:iCs/>
        </w:rPr>
        <w:t>Note de traduction</w:t>
      </w:r>
    </w:p>
    <w:p w14:paraId="3E388377" w14:textId="77777777" w:rsidR="0084489F" w:rsidRDefault="00110FE6">
      <w:pPr>
        <w:pStyle w:val="BlockText"/>
      </w:pPr>
      <w:r>
        <w:rPr>
          <w:b/>
          <w:bCs/>
          <w:i/>
          <w:iCs/>
        </w:rPr>
        <w:t>Références</w:t>
      </w:r>
    </w:p>
    <w:p w14:paraId="191841A7" w14:textId="77777777" w:rsidR="0084489F" w:rsidRDefault="0084489F">
      <w:pPr>
        <w:pStyle w:val="BlockText"/>
      </w:pPr>
    </w:p>
    <w:p w14:paraId="529B59D7" w14:textId="77777777" w:rsidR="0084489F" w:rsidRDefault="00110FE6">
      <w:pPr>
        <w:pStyle w:val="Heading2"/>
      </w:pPr>
      <w:bookmarkStart w:id="199" w:name="_Toc176864481"/>
      <w:bookmarkStart w:id="200" w:name="e59-valeur-primitive"/>
      <w:bookmarkEnd w:id="198"/>
      <w:r>
        <w:t>E59 Valeur primitive</w:t>
      </w:r>
      <w:bookmarkEnd w:id="199"/>
    </w:p>
    <w:p w14:paraId="2CD27376" w14:textId="77777777" w:rsidR="0084489F" w:rsidRDefault="00110FE6">
      <w:pPr>
        <w:pStyle w:val="FirstParagraph"/>
      </w:pPr>
      <w:r>
        <w:rPr>
          <w:b/>
          <w:bCs/>
        </w:rPr>
        <w:t>Sous-classe de</w:t>
      </w:r>
    </w:p>
    <w:p w14:paraId="20A42DFE" w14:textId="77777777" w:rsidR="0084489F" w:rsidRDefault="00110FE6">
      <w:pPr>
        <w:pStyle w:val="BodyText"/>
      </w:pPr>
      <w:r>
        <w:rPr>
          <w:rStyle w:val="VerbatimChar"/>
        </w:rPr>
        <w:t>E1_Entité_CRM</w:t>
      </w:r>
    </w:p>
    <w:p w14:paraId="55851E9F" w14:textId="77777777" w:rsidR="0084489F" w:rsidRDefault="00110FE6" w:rsidP="00F361B3">
      <w:pPr>
        <w:pStyle w:val="BodyText"/>
        <w:keepNext/>
      </w:pPr>
      <w:r>
        <w:rPr>
          <w:b/>
          <w:bCs/>
        </w:rPr>
        <w:lastRenderedPageBreak/>
        <w:t>Super-classe de</w:t>
      </w:r>
    </w:p>
    <w:p w14:paraId="6EF4A030" w14:textId="77777777" w:rsidR="0084489F" w:rsidRDefault="00110FE6" w:rsidP="00F361B3">
      <w:pPr>
        <w:pStyle w:val="BodyText"/>
        <w:keepNext/>
      </w:pPr>
      <w:r>
        <w:rPr>
          <w:rStyle w:val="VerbatimChar"/>
        </w:rPr>
        <w:t>E60_Nombre</w:t>
      </w:r>
    </w:p>
    <w:p w14:paraId="39B236E4" w14:textId="77777777" w:rsidR="0084489F" w:rsidRDefault="00110FE6">
      <w:pPr>
        <w:pStyle w:val="BodyText"/>
      </w:pPr>
      <w:r>
        <w:rPr>
          <w:rStyle w:val="VerbatimChar"/>
        </w:rPr>
        <w:t>E61_Primitive_temporelle</w:t>
      </w:r>
    </w:p>
    <w:p w14:paraId="04F0A093" w14:textId="77777777" w:rsidR="0084489F" w:rsidRDefault="00110FE6">
      <w:pPr>
        <w:pStyle w:val="BodyText"/>
      </w:pPr>
      <w:r>
        <w:rPr>
          <w:rStyle w:val="VerbatimChar"/>
        </w:rPr>
        <w:t>E62_Chaîne_de_caractères</w:t>
      </w:r>
    </w:p>
    <w:p w14:paraId="1E4CCF6B" w14:textId="77777777" w:rsidR="0084489F" w:rsidRDefault="00110FE6">
      <w:pPr>
        <w:pStyle w:val="BodyText"/>
      </w:pPr>
      <w:r>
        <w:rPr>
          <w:rStyle w:val="VerbatimChar"/>
        </w:rPr>
        <w:t>E94_Primitive_spatiale</w:t>
      </w:r>
    </w:p>
    <w:p w14:paraId="03BDEF33" w14:textId="77777777" w:rsidR="0084489F" w:rsidRDefault="00110FE6">
      <w:pPr>
        <w:pStyle w:val="BodyText"/>
      </w:pPr>
      <w:r>
        <w:rPr>
          <w:rStyle w:val="VerbatimChar"/>
        </w:rPr>
        <w:t>E95_Primitive_spatio-temporelle</w:t>
      </w:r>
    </w:p>
    <w:p w14:paraId="288E3B44" w14:textId="77777777" w:rsidR="0084489F" w:rsidRDefault="00110FE6">
      <w:pPr>
        <w:pStyle w:val="BodyText"/>
      </w:pPr>
      <w:r>
        <w:rPr>
          <w:b/>
          <w:bCs/>
        </w:rPr>
        <w:t>Note d’application</w:t>
      </w:r>
    </w:p>
    <w:p w14:paraId="73845AF8" w14:textId="77777777" w:rsidR="0084489F" w:rsidRDefault="00110FE6">
      <w:pPr>
        <w:pStyle w:val="BodyText"/>
      </w:pPr>
      <w:r>
        <w:t>Cette classe comprend les valeurs des types de données primitives :</w:t>
      </w:r>
    </w:p>
    <w:p w14:paraId="37A2CFEF" w14:textId="03D5D6FF" w:rsidR="0084489F" w:rsidRDefault="00110FE6" w:rsidP="00806324">
      <w:pPr>
        <w:numPr>
          <w:ilvl w:val="0"/>
          <w:numId w:val="100"/>
        </w:numPr>
      </w:pPr>
      <w:r w:rsidRPr="1B9E7434">
        <w:rPr>
          <w:lang w:val="fr-FR"/>
        </w:rPr>
        <w:t>de langages de programmation ou de systèmes de gestion de bases de données;</w:t>
      </w:r>
    </w:p>
    <w:p w14:paraId="7C0FD6C4" w14:textId="63E30C03" w:rsidR="0084489F" w:rsidRDefault="00110FE6" w:rsidP="00806324">
      <w:pPr>
        <w:numPr>
          <w:ilvl w:val="0"/>
          <w:numId w:val="100"/>
        </w:numPr>
      </w:pPr>
      <w:r w:rsidRPr="1B9E7434">
        <w:rPr>
          <w:lang w:val="fr-FR"/>
        </w:rPr>
        <w:t>composées de telles valeurs mobilisées comme éléments de documentation ainsi que leurs abstractions mathématiques.</w:t>
      </w:r>
    </w:p>
    <w:p w14:paraId="06AF2055" w14:textId="77777777" w:rsidR="0084489F" w:rsidRDefault="00110FE6">
      <w:pPr>
        <w:pStyle w:val="FirstParagraph"/>
      </w:pPr>
      <w:r>
        <w:t xml:space="preserve">Les instances de </w:t>
      </w:r>
      <w:r>
        <w:rPr>
          <w:rStyle w:val="VerbatimChar"/>
        </w:rPr>
        <w:t>E59_Valeur_primitive</w:t>
      </w:r>
      <w:r>
        <w:t xml:space="preserve"> et de ses sous-classes ne sont pas considérées comme des éléments relevant de l'univers du discours que le CIDOC CRM cherche à définir ou à analyser. Celles-ci agissent plutôt comme interface entre le CIDOC CRM, le monde des manipulations mathématiques et informatiques, et les objets symboliques que définissent et traitent ces manipulations.</w:t>
      </w:r>
    </w:p>
    <w:p w14:paraId="07780B90" w14:textId="77777777" w:rsidR="0084489F" w:rsidRDefault="00110FE6">
      <w:pPr>
        <w:pStyle w:val="BodyText"/>
      </w:pPr>
      <w:r>
        <w:t xml:space="preserve">Plus particulièrement, les instances de </w:t>
      </w:r>
      <w:r>
        <w:rPr>
          <w:rStyle w:val="VerbatimChar"/>
        </w:rPr>
        <w:t>E59_Valeur_primitive</w:t>
      </w:r>
      <w:r>
        <w:t xml:space="preserve"> comprennent :</w:t>
      </w:r>
    </w:p>
    <w:p w14:paraId="23604D02" w14:textId="675B02AC" w:rsidR="0084489F" w:rsidRDefault="00110FE6" w:rsidP="00806324">
      <w:pPr>
        <w:numPr>
          <w:ilvl w:val="0"/>
          <w:numId w:val="101"/>
        </w:numPr>
      </w:pPr>
      <w:r w:rsidRPr="1B9E7434">
        <w:rPr>
          <w:lang w:val="fr-FR"/>
        </w:rPr>
        <w:t>des éléments lexicaux encodés comme des chaînes de caractères ou des séries de caractères et de symboles dérivés de schémas d'encodages, comme UNICODE. Ces éléments lexicaux encodés sont caractérisés par le fait qu'ils sont un sous-ensemble limité des abstractions mathématiques concernées;</w:t>
      </w:r>
    </w:p>
    <w:p w14:paraId="40771A52" w14:textId="2B238285" w:rsidR="0084489F" w:rsidRDefault="00110FE6" w:rsidP="00806324">
      <w:pPr>
        <w:numPr>
          <w:ilvl w:val="0"/>
          <w:numId w:val="101"/>
        </w:numPr>
      </w:pPr>
      <w:r w:rsidRPr="1B9E7434">
        <w:rPr>
          <w:lang w:val="fr-FR"/>
        </w:rPr>
        <w:t>des valeurs de types de données qui peuvent être encodées sous forme lexicale, notamment les spécifications quantitatives géographiques ou d'intervalles temporels.</w:t>
      </w:r>
    </w:p>
    <w:p w14:paraId="34399867" w14:textId="77777777" w:rsidR="0084489F" w:rsidRDefault="00110FE6">
      <w:pPr>
        <w:pStyle w:val="FirstParagraph"/>
      </w:pPr>
      <w:r>
        <w:t xml:space="preserve">Les instances de </w:t>
      </w:r>
      <w:r>
        <w:rPr>
          <w:rStyle w:val="VerbatimChar"/>
        </w:rPr>
        <w:t>E59_Valeur_primitive</w:t>
      </w:r>
      <w:r>
        <w:t xml:space="preserve"> s'auto-définissent par leur valeur encodée indépendamment de la nature de leurs abstractions mathématiques.</w:t>
      </w:r>
    </w:p>
    <w:p w14:paraId="20986E61" w14:textId="77777777" w:rsidR="0084489F" w:rsidRDefault="00110FE6">
      <w:pPr>
        <w:pStyle w:val="BodyText"/>
      </w:pPr>
      <w:r>
        <w:t xml:space="preserve">Lorsqu'elles sont implémentées, les instances de </w:t>
      </w:r>
      <w:r>
        <w:rPr>
          <w:rStyle w:val="VerbatimChar"/>
        </w:rPr>
        <w:t>E59_Valeur_primitive</w:t>
      </w:r>
      <w:r>
        <w:t xml:space="preserve"> devraient être représentées directement dans la forme symbolique encodée supportée par leur plateforme, comme une chaîne de caractères ou une date formatée. Elles ne doivent pas, dans ce cadre, être représentées indirectement par l'usage d'un autre URI qui serait alors relié à la forme symbolique encodée. Il est donc recommandé, lors d'une application concrète, de substituer le système de valeurs primitives de la plateforme ou du langage d'implémentation à </w:t>
      </w:r>
      <w:r>
        <w:rPr>
          <w:rStyle w:val="VerbatimChar"/>
        </w:rPr>
        <w:t>E59_Valeur_primitive</w:t>
      </w:r>
      <w:r>
        <w:t xml:space="preserve"> et à ses sous-classes.</w:t>
      </w:r>
    </w:p>
    <w:p w14:paraId="12CF333E" w14:textId="77777777" w:rsidR="0084489F" w:rsidRDefault="00110FE6">
      <w:pPr>
        <w:pStyle w:val="BodyText"/>
      </w:pPr>
      <w:r>
        <w:rPr>
          <w:b/>
          <w:bCs/>
        </w:rPr>
        <w:t>Exemples</w:t>
      </w:r>
    </w:p>
    <w:p w14:paraId="31ED8740" w14:textId="77777777" w:rsidR="0084489F" w:rsidRDefault="00110FE6" w:rsidP="00806324">
      <w:pPr>
        <w:numPr>
          <w:ilvl w:val="0"/>
          <w:numId w:val="102"/>
        </w:numPr>
      </w:pPr>
      <w:r>
        <w:t>« ABCDEFG » (</w:t>
      </w:r>
      <w:r>
        <w:rPr>
          <w:rStyle w:val="VerbatimChar"/>
        </w:rPr>
        <w:t>E62_Chaîne_de_caractères</w:t>
      </w:r>
      <w:r>
        <w:t>)</w:t>
      </w:r>
    </w:p>
    <w:p w14:paraId="006A5ECC" w14:textId="77777777" w:rsidR="0084489F" w:rsidRDefault="00110FE6" w:rsidP="00806324">
      <w:pPr>
        <w:numPr>
          <w:ilvl w:val="0"/>
          <w:numId w:val="102"/>
        </w:numPr>
      </w:pPr>
      <w:r>
        <w:t>3.14 (</w:t>
      </w:r>
      <w:r>
        <w:rPr>
          <w:rStyle w:val="VerbatimChar"/>
        </w:rPr>
        <w:t>E60_Nombre</w:t>
      </w:r>
      <w:r>
        <w:t>)</w:t>
      </w:r>
    </w:p>
    <w:p w14:paraId="0BC36299" w14:textId="77777777" w:rsidR="0084489F" w:rsidRDefault="00110FE6" w:rsidP="00806324">
      <w:pPr>
        <w:numPr>
          <w:ilvl w:val="0"/>
          <w:numId w:val="102"/>
        </w:numPr>
      </w:pPr>
      <w:r>
        <w:t>0 (</w:t>
      </w:r>
      <w:r>
        <w:rPr>
          <w:rStyle w:val="VerbatimChar"/>
        </w:rPr>
        <w:t>E60_Nombre</w:t>
      </w:r>
      <w:r>
        <w:t>)</w:t>
      </w:r>
    </w:p>
    <w:p w14:paraId="61AA3AAF" w14:textId="77777777" w:rsidR="0084489F" w:rsidRDefault="00110FE6" w:rsidP="00806324">
      <w:pPr>
        <w:numPr>
          <w:ilvl w:val="0"/>
          <w:numId w:val="102"/>
        </w:numPr>
      </w:pPr>
      <w:r>
        <w:t>1921-01-01 (</w:t>
      </w:r>
      <w:r>
        <w:rPr>
          <w:rStyle w:val="VerbatimChar"/>
        </w:rPr>
        <w:t>E61_Primitive_temporelle</w:t>
      </w:r>
      <w:r>
        <w:t>)</w:t>
      </w:r>
    </w:p>
    <w:p w14:paraId="5A9A2C45" w14:textId="77777777" w:rsidR="0084489F" w:rsidRDefault="00110FE6" w:rsidP="00F361B3">
      <w:pPr>
        <w:pStyle w:val="FirstParagraph"/>
        <w:keepNext/>
      </w:pPr>
      <w:r>
        <w:rPr>
          <w:b/>
          <w:bCs/>
        </w:rPr>
        <w:lastRenderedPageBreak/>
        <w:t>Logique</w:t>
      </w:r>
    </w:p>
    <w:p w14:paraId="67A12962" w14:textId="77777777" w:rsidR="0084489F" w:rsidRDefault="00110FE6" w:rsidP="00F361B3">
      <w:pPr>
        <w:pStyle w:val="BodyText"/>
        <w:keepNext/>
      </w:pPr>
      <w:r>
        <w:t>E59(x) ⇒ E1(x)</w:t>
      </w:r>
    </w:p>
    <w:p w14:paraId="2CBD7808" w14:textId="77777777" w:rsidR="0084489F" w:rsidRDefault="00110FE6">
      <w:pPr>
        <w:pStyle w:val="BodyText"/>
      </w:pPr>
      <w:r>
        <w:rPr>
          <w:b/>
          <w:bCs/>
        </w:rPr>
        <w:t>Propriétés</w:t>
      </w:r>
    </w:p>
    <w:p w14:paraId="7BB2A62A" w14:textId="77777777" w:rsidR="0084489F" w:rsidRDefault="00110FE6">
      <w:pPr>
        <w:pStyle w:val="BlockText"/>
      </w:pPr>
      <w:r>
        <w:rPr>
          <w:b/>
          <w:bCs/>
          <w:i/>
          <w:iCs/>
        </w:rPr>
        <w:t>Note de traduction</w:t>
      </w:r>
    </w:p>
    <w:p w14:paraId="0F9DA29B" w14:textId="77777777" w:rsidR="0084489F" w:rsidRDefault="00110FE6">
      <w:pPr>
        <w:pStyle w:val="BlockText"/>
      </w:pPr>
      <w:r>
        <w:rPr>
          <w:b/>
          <w:bCs/>
          <w:i/>
          <w:iCs/>
        </w:rPr>
        <w:t>Références</w:t>
      </w:r>
    </w:p>
    <w:p w14:paraId="2D73C5D6" w14:textId="77777777" w:rsidR="0084489F" w:rsidRDefault="0084489F">
      <w:pPr>
        <w:pStyle w:val="BlockText"/>
      </w:pPr>
    </w:p>
    <w:p w14:paraId="4D797F0E" w14:textId="77777777" w:rsidR="0084489F" w:rsidRDefault="00110FE6">
      <w:pPr>
        <w:pStyle w:val="Heading2"/>
      </w:pPr>
      <w:bookmarkStart w:id="201" w:name="_Toc176864482"/>
      <w:bookmarkStart w:id="202" w:name="e60-nombre"/>
      <w:bookmarkEnd w:id="200"/>
      <w:r>
        <w:t>E60 Nombre</w:t>
      </w:r>
      <w:bookmarkEnd w:id="201"/>
    </w:p>
    <w:p w14:paraId="490C0D88" w14:textId="77777777" w:rsidR="0084489F" w:rsidRDefault="00110FE6">
      <w:pPr>
        <w:pStyle w:val="FirstParagraph"/>
      </w:pPr>
      <w:r>
        <w:rPr>
          <w:b/>
          <w:bCs/>
        </w:rPr>
        <w:t>Sous-classe de</w:t>
      </w:r>
    </w:p>
    <w:p w14:paraId="6E700540" w14:textId="77777777" w:rsidR="0084489F" w:rsidRDefault="00110FE6">
      <w:pPr>
        <w:pStyle w:val="BodyText"/>
      </w:pPr>
      <w:r>
        <w:rPr>
          <w:rStyle w:val="VerbatimChar"/>
        </w:rPr>
        <w:t>E59_Valeur_primitive</w:t>
      </w:r>
    </w:p>
    <w:p w14:paraId="5A866933" w14:textId="77777777" w:rsidR="0084489F" w:rsidRDefault="00110FE6">
      <w:pPr>
        <w:pStyle w:val="BodyText"/>
      </w:pPr>
      <w:r>
        <w:rPr>
          <w:b/>
          <w:bCs/>
        </w:rPr>
        <w:t>Super-classe de</w:t>
      </w:r>
    </w:p>
    <w:p w14:paraId="717EBA97" w14:textId="77777777" w:rsidR="0084489F" w:rsidRDefault="00110FE6">
      <w:pPr>
        <w:pStyle w:val="BodyText"/>
      </w:pPr>
      <w:r>
        <w:rPr>
          <w:b/>
          <w:bCs/>
        </w:rPr>
        <w:t>Note d’application</w:t>
      </w:r>
    </w:p>
    <w:p w14:paraId="25C936BB" w14:textId="77777777" w:rsidR="0084489F" w:rsidRDefault="00110FE6">
      <w:pPr>
        <w:pStyle w:val="BodyText"/>
      </w:pPr>
      <w:r>
        <w:t>Cette classe comprend tous les encodages de valeurs calculables (algébriques) tels que les nombres entiers, les nombres réels, les nombres complexes, les vecteurs, les tenseurs, etc. Les intervalles de ces valeurs exprimant une précision limitée sont aussi compris.</w:t>
      </w:r>
    </w:p>
    <w:p w14:paraId="334571C9" w14:textId="77777777" w:rsidR="0084489F" w:rsidRDefault="00110FE6">
      <w:pPr>
        <w:pStyle w:val="BodyText"/>
      </w:pPr>
      <w:r>
        <w:t xml:space="preserve">Les nombres sont fondamentalement distincts des identifiants exprimés dans des continuums tels que les dates issues du calendrier grégorien ou les coordonnées spatiales, même si leur encodage peut être similaire. Celles-ci sont plutôt des instances de </w:t>
      </w:r>
      <w:r>
        <w:rPr>
          <w:rStyle w:val="VerbatimChar"/>
        </w:rPr>
        <w:t>E41_Appellation</w:t>
      </w:r>
      <w:r>
        <w:t xml:space="preserve">. Les instances de </w:t>
      </w:r>
      <w:r>
        <w:rPr>
          <w:rStyle w:val="VerbatimChar"/>
        </w:rPr>
        <w:t>E60_Nombre</w:t>
      </w:r>
      <w:r>
        <w:t xml:space="preserve"> peuvent être combinées les unes aux autres dans des opérations algébriques pour mener à d’autres instances de </w:t>
      </w:r>
      <w:r>
        <w:rPr>
          <w:rStyle w:val="VerbatimChar"/>
        </w:rPr>
        <w:t>E60_Nombre</w:t>
      </w:r>
      <w:r>
        <w:t xml:space="preserve"> comme 1 + 1 = 2. Les identifiants numériques exprimés dans des continuums peuvent être combinés à des nombres exprimant des distances pour produire de nouveaux identifiants, par exemple 1924-01-31 (</w:t>
      </w:r>
      <w:r>
        <w:rPr>
          <w:rStyle w:val="VerbatimChar"/>
        </w:rPr>
        <w:t>E41_Appellation</w:t>
      </w:r>
      <w:r>
        <w:t>) + 2 jours (</w:t>
      </w:r>
      <w:r>
        <w:rPr>
          <w:rStyle w:val="VerbatimChar"/>
        </w:rPr>
        <w:t>E60_Nombre</w:t>
      </w:r>
      <w:r>
        <w:t xml:space="preserve">) = 1924-02-02. Voir aussi </w:t>
      </w:r>
      <w:r>
        <w:rPr>
          <w:rStyle w:val="VerbatimChar"/>
        </w:rPr>
        <w:t>E54_Dimension</w:t>
      </w:r>
      <w:r>
        <w:t>.</w:t>
      </w:r>
    </w:p>
    <w:p w14:paraId="0A2AFB4C" w14:textId="77777777" w:rsidR="0084489F" w:rsidRDefault="00110FE6">
      <w:pPr>
        <w:pStyle w:val="BodyText"/>
      </w:pPr>
      <w:r>
        <w:rPr>
          <w:b/>
          <w:bCs/>
        </w:rPr>
        <w:t>Exemples</w:t>
      </w:r>
    </w:p>
    <w:p w14:paraId="2DF74CD5" w14:textId="77777777" w:rsidR="0084489F" w:rsidRDefault="00110FE6" w:rsidP="00806324">
      <w:pPr>
        <w:numPr>
          <w:ilvl w:val="0"/>
          <w:numId w:val="103"/>
        </w:numPr>
      </w:pPr>
      <w:r>
        <w:t>5</w:t>
      </w:r>
    </w:p>
    <w:p w14:paraId="034B4007" w14:textId="77777777" w:rsidR="0084489F" w:rsidRDefault="00110FE6" w:rsidP="00806324">
      <w:pPr>
        <w:numPr>
          <w:ilvl w:val="0"/>
          <w:numId w:val="103"/>
        </w:numPr>
      </w:pPr>
      <w:r>
        <w:t>3+2i</w:t>
      </w:r>
    </w:p>
    <w:p w14:paraId="78E40C4E" w14:textId="77777777" w:rsidR="0084489F" w:rsidRDefault="00110FE6" w:rsidP="00806324">
      <w:pPr>
        <w:numPr>
          <w:ilvl w:val="0"/>
          <w:numId w:val="103"/>
        </w:numPr>
      </w:pPr>
      <w:r>
        <w:t>1.5e-04</w:t>
      </w:r>
    </w:p>
    <w:p w14:paraId="5FB8FC48" w14:textId="77777777" w:rsidR="0084489F" w:rsidRDefault="00110FE6" w:rsidP="00806324">
      <w:pPr>
        <w:numPr>
          <w:ilvl w:val="0"/>
          <w:numId w:val="103"/>
        </w:numPr>
      </w:pPr>
      <w:r>
        <w:t>(0.5, - 0.7,88)</w:t>
      </w:r>
    </w:p>
    <w:p w14:paraId="56B32EF2" w14:textId="77777777" w:rsidR="0084489F" w:rsidRDefault="00110FE6">
      <w:pPr>
        <w:pStyle w:val="FirstParagraph"/>
      </w:pPr>
      <w:r>
        <w:rPr>
          <w:b/>
          <w:bCs/>
        </w:rPr>
        <w:t>Logique</w:t>
      </w:r>
    </w:p>
    <w:p w14:paraId="331CDD1F" w14:textId="77777777" w:rsidR="0084489F" w:rsidRDefault="00110FE6">
      <w:pPr>
        <w:pStyle w:val="BodyText"/>
      </w:pPr>
      <w:r>
        <w:t>E60(x) ⇒ E59(x)</w:t>
      </w:r>
    </w:p>
    <w:p w14:paraId="755BB49E" w14:textId="77777777" w:rsidR="0084489F" w:rsidRDefault="00110FE6">
      <w:pPr>
        <w:pStyle w:val="BodyText"/>
      </w:pPr>
      <w:r>
        <w:rPr>
          <w:b/>
          <w:bCs/>
        </w:rPr>
        <w:t>Propriétés</w:t>
      </w:r>
    </w:p>
    <w:p w14:paraId="5A2D00BE" w14:textId="77777777" w:rsidR="0084489F" w:rsidRDefault="00110FE6">
      <w:pPr>
        <w:pStyle w:val="BlockText"/>
      </w:pPr>
      <w:r>
        <w:rPr>
          <w:b/>
          <w:bCs/>
          <w:i/>
          <w:iCs/>
        </w:rPr>
        <w:t>Note de traduction</w:t>
      </w:r>
    </w:p>
    <w:p w14:paraId="0B824FDE" w14:textId="77777777" w:rsidR="0084489F" w:rsidRDefault="00110FE6">
      <w:pPr>
        <w:pStyle w:val="BlockText"/>
      </w:pPr>
      <w:r>
        <w:rPr>
          <w:b/>
          <w:bCs/>
          <w:i/>
          <w:iCs/>
        </w:rPr>
        <w:t>Références</w:t>
      </w:r>
    </w:p>
    <w:p w14:paraId="213EBF22" w14:textId="77777777" w:rsidR="0084489F" w:rsidRDefault="0084489F">
      <w:pPr>
        <w:pStyle w:val="BlockText"/>
      </w:pPr>
    </w:p>
    <w:p w14:paraId="7F3739C3" w14:textId="77777777" w:rsidR="0084489F" w:rsidRDefault="00110FE6">
      <w:pPr>
        <w:pStyle w:val="Heading2"/>
      </w:pPr>
      <w:bookmarkStart w:id="203" w:name="_Toc176864483"/>
      <w:bookmarkStart w:id="204" w:name="e61-primitive-temporelle"/>
      <w:bookmarkEnd w:id="202"/>
      <w:r>
        <w:t>E61 Primitive temporelle</w:t>
      </w:r>
      <w:bookmarkEnd w:id="203"/>
    </w:p>
    <w:p w14:paraId="04AFF9CF" w14:textId="77777777" w:rsidR="0084489F" w:rsidRDefault="00110FE6">
      <w:pPr>
        <w:pStyle w:val="FirstParagraph"/>
      </w:pPr>
      <w:r>
        <w:rPr>
          <w:b/>
          <w:bCs/>
        </w:rPr>
        <w:t>Sous-classe de</w:t>
      </w:r>
    </w:p>
    <w:p w14:paraId="6E0F395C" w14:textId="77777777" w:rsidR="0084489F" w:rsidRDefault="00110FE6">
      <w:pPr>
        <w:pStyle w:val="BodyText"/>
      </w:pPr>
      <w:r>
        <w:rPr>
          <w:rStyle w:val="VerbatimChar"/>
        </w:rPr>
        <w:t>E41_Appellation</w:t>
      </w:r>
    </w:p>
    <w:p w14:paraId="59188358" w14:textId="77777777" w:rsidR="0084489F" w:rsidRDefault="00110FE6">
      <w:pPr>
        <w:pStyle w:val="BodyText"/>
      </w:pPr>
      <w:r>
        <w:rPr>
          <w:rStyle w:val="VerbatimChar"/>
        </w:rPr>
        <w:lastRenderedPageBreak/>
        <w:t>E59_Valeur_primitive</w:t>
      </w:r>
    </w:p>
    <w:p w14:paraId="1C73A9CD" w14:textId="77777777" w:rsidR="0084489F" w:rsidRDefault="00110FE6">
      <w:pPr>
        <w:pStyle w:val="BodyText"/>
      </w:pPr>
      <w:r>
        <w:rPr>
          <w:b/>
          <w:bCs/>
        </w:rPr>
        <w:t>Super-classe de</w:t>
      </w:r>
    </w:p>
    <w:p w14:paraId="1C45E75B" w14:textId="77777777" w:rsidR="0084489F" w:rsidRDefault="00110FE6">
      <w:pPr>
        <w:pStyle w:val="BodyText"/>
      </w:pPr>
      <w:r>
        <w:rPr>
          <w:b/>
          <w:bCs/>
        </w:rPr>
        <w:t>Note d’application</w:t>
      </w:r>
    </w:p>
    <w:p w14:paraId="40C94548" w14:textId="77777777" w:rsidR="0084489F" w:rsidRDefault="00110FE6">
      <w:pPr>
        <w:pStyle w:val="BodyText"/>
      </w:pPr>
      <w:r>
        <w:t xml:space="preserve">Cette classe comprend les instances temporelles de </w:t>
      </w:r>
      <w:r>
        <w:rPr>
          <w:rStyle w:val="VerbatimChar"/>
        </w:rPr>
        <w:t>E59_Valeur_primitive</w:t>
      </w:r>
      <w:r>
        <w:t xml:space="preserve"> qui doivent être implémentées avec les validation, précision et références appropriées aux systèmes de coordonnées temporelles, et ce pour exprimer un temps dans un contexte pertinent à la documentation culturelle et scientifique.</w:t>
      </w:r>
    </w:p>
    <w:p w14:paraId="0473AFFB" w14:textId="77777777" w:rsidR="0084489F" w:rsidRDefault="00110FE6">
      <w:pPr>
        <w:pStyle w:val="BodyText"/>
      </w:pPr>
      <w:r>
        <w:t xml:space="preserve">L’instanciation de différentes instances de </w:t>
      </w:r>
      <w:r>
        <w:rPr>
          <w:rStyle w:val="VerbatimChar"/>
        </w:rPr>
        <w:t>E61_Primitive_temporelle</w:t>
      </w:r>
      <w:r>
        <w:t xml:space="preserve"> reliées à une unique instance de </w:t>
      </w:r>
      <w:r>
        <w:rPr>
          <w:rStyle w:val="VerbatimChar"/>
        </w:rPr>
        <w:t>E52_Intervalle_temporel</w:t>
      </w:r>
      <w:r>
        <w:t xml:space="preserve"> permet l’expression de multiples opinions ou approximations du même phénomène. Pour représenter différentes opinions ou approximations d’une instance de </w:t>
      </w:r>
      <w:r>
        <w:rPr>
          <w:rStyle w:val="VerbatimChar"/>
        </w:rPr>
        <w:t>E52_Intervalle_temporel</w:t>
      </w:r>
      <w:r>
        <w:t xml:space="preserve"> reliée à une instance de </w:t>
      </w:r>
      <w:r>
        <w:rPr>
          <w:rStyle w:val="VerbatimChar"/>
        </w:rPr>
        <w:t>E2_Entité_temporelle</w:t>
      </w:r>
      <w:r>
        <w:t xml:space="preserve">, plusieurs instances de </w:t>
      </w:r>
      <w:r>
        <w:rPr>
          <w:rStyle w:val="VerbatimChar"/>
        </w:rPr>
        <w:t>E61_Primitive_temporelle</w:t>
      </w:r>
      <w:r>
        <w:t xml:space="preserve"> devraient être instanciées et reliées à cette unique instance de </w:t>
      </w:r>
      <w:r>
        <w:rPr>
          <w:rStyle w:val="VerbatimChar"/>
        </w:rPr>
        <w:t>E52_Intervalle_temporel</w:t>
      </w:r>
      <w:r>
        <w:t xml:space="preserve">. Une unique instance de </w:t>
      </w:r>
      <w:r>
        <w:rPr>
          <w:rStyle w:val="VerbatimChar"/>
        </w:rPr>
        <w:t>E52_Intervalle_temporel</w:t>
      </w:r>
      <w:r>
        <w:t xml:space="preserve"> devrait être instanciée du fait que, pour n’importe quelle entité temporelle, il n’existe qu’une seule étendue temporelle phénoménale réelle.</w:t>
      </w:r>
    </w:p>
    <w:p w14:paraId="6532D4F9" w14:textId="77777777" w:rsidR="0084489F" w:rsidRDefault="00110FE6">
      <w:pPr>
        <w:pStyle w:val="BodyText"/>
      </w:pPr>
      <w:r>
        <w:t xml:space="preserve">Les instances de </w:t>
      </w:r>
      <w:r>
        <w:rPr>
          <w:rStyle w:val="VerbatimChar"/>
        </w:rPr>
        <w:t>E61_Primitive_temporelle</w:t>
      </w:r>
      <w:r>
        <w:t xml:space="preserve"> ne sont pas considérées comme des éléments de l’univers du discours que le CIDOC CRM tente de définir et d'analyser. Plutôt, ces instances jouent le rôle d’une interface symbolique entre l’application de ce modèle, le monde des manipulations mathématiques et computationnelles, ainsi que les objets symboliques que ces instances définissent et manipulent.</w:t>
      </w:r>
    </w:p>
    <w:p w14:paraId="6A213569" w14:textId="77777777" w:rsidR="0084489F" w:rsidRDefault="00110FE6">
      <w:pPr>
        <w:pStyle w:val="BodyText"/>
      </w:pPr>
      <w:r>
        <w:t xml:space="preserve">Dès lors, ces instances de </w:t>
      </w:r>
      <w:r>
        <w:rPr>
          <w:rStyle w:val="VerbatimChar"/>
        </w:rPr>
        <w:t>E61_Primitive_temporelle</w:t>
      </w:r>
      <w:r>
        <w:t xml:space="preserve"> ne doivent pas être représentées dans une implémentation par un identifiant universel associé avec un modèle de contenu d’une identité différente. Dans une application concrète, il est recommandé que le système de valeurs primitives d’une plateforme d’implémentation spécifique et/ou d’un langage de définition de données soit utilisé en lieu et place de cette classe.</w:t>
      </w:r>
    </w:p>
    <w:p w14:paraId="170AFF00" w14:textId="77777777" w:rsidR="0084489F" w:rsidRDefault="00110FE6">
      <w:pPr>
        <w:pStyle w:val="BodyText"/>
      </w:pPr>
      <w:r>
        <w:rPr>
          <w:b/>
          <w:bCs/>
        </w:rPr>
        <w:t>Exemples</w:t>
      </w:r>
    </w:p>
    <w:p w14:paraId="1BE54E29" w14:textId="77777777" w:rsidR="0084489F" w:rsidRDefault="00110FE6" w:rsidP="00806324">
      <w:pPr>
        <w:numPr>
          <w:ilvl w:val="0"/>
          <w:numId w:val="104"/>
        </w:numPr>
      </w:pPr>
      <w:r>
        <w:t>« 1994 à 1997 »</w:t>
      </w:r>
    </w:p>
    <w:p w14:paraId="46F44659" w14:textId="77777777" w:rsidR="0084489F" w:rsidRDefault="00110FE6" w:rsidP="00806324">
      <w:pPr>
        <w:numPr>
          <w:ilvl w:val="0"/>
          <w:numId w:val="104"/>
        </w:numPr>
      </w:pPr>
      <w:r>
        <w:t>« 13 mai 1768 »</w:t>
      </w:r>
    </w:p>
    <w:p w14:paraId="243B9ACD" w14:textId="35597BEB" w:rsidR="0084489F" w:rsidRDefault="00110FE6" w:rsidP="00806324">
      <w:pPr>
        <w:numPr>
          <w:ilvl w:val="0"/>
          <w:numId w:val="104"/>
        </w:numPr>
      </w:pPr>
      <w:r w:rsidRPr="1B9E7434">
        <w:rPr>
          <w:lang w:val="fr-FR"/>
        </w:rPr>
        <w:t>« 2000/01/01 00:00:59.7 »</w:t>
      </w:r>
    </w:p>
    <w:p w14:paraId="1DAE757A" w14:textId="73C64791" w:rsidR="0084489F" w:rsidRDefault="00110FE6" w:rsidP="00806324">
      <w:pPr>
        <w:numPr>
          <w:ilvl w:val="0"/>
          <w:numId w:val="104"/>
        </w:numPr>
      </w:pPr>
      <w:r w:rsidRPr="1B9E7434">
        <w:rPr>
          <w:lang w:val="fr-FR"/>
        </w:rPr>
        <w:t>« LXXXV</w:t>
      </w:r>
      <w:r w:rsidRPr="1B9E7434">
        <w:rPr>
          <w:vertAlign w:val="superscript"/>
          <w:lang w:val="fr-FR"/>
        </w:rPr>
        <w:t>e</w:t>
      </w:r>
      <w:r w:rsidRPr="1B9E7434">
        <w:rPr>
          <w:lang w:val="fr-FR"/>
        </w:rPr>
        <w:t> siècle AEC »</w:t>
      </w:r>
    </w:p>
    <w:p w14:paraId="48DD9C57" w14:textId="77777777" w:rsidR="0084489F" w:rsidRDefault="00110FE6">
      <w:pPr>
        <w:pStyle w:val="FirstParagraph"/>
      </w:pPr>
      <w:r>
        <w:rPr>
          <w:b/>
          <w:bCs/>
        </w:rPr>
        <w:t>Logique</w:t>
      </w:r>
    </w:p>
    <w:p w14:paraId="78C39955" w14:textId="77777777" w:rsidR="0084489F" w:rsidRDefault="00110FE6">
      <w:pPr>
        <w:pStyle w:val="BodyText"/>
      </w:pPr>
      <w:r>
        <w:t>E61(x) ⇒ E41(x)</w:t>
      </w:r>
    </w:p>
    <w:p w14:paraId="02DE4905" w14:textId="77777777" w:rsidR="0084489F" w:rsidRDefault="00110FE6">
      <w:pPr>
        <w:pStyle w:val="BodyText"/>
      </w:pPr>
      <w:r>
        <w:t>E61(x) ⇒ E59(x)</w:t>
      </w:r>
    </w:p>
    <w:p w14:paraId="24A3F11A" w14:textId="77777777" w:rsidR="0084489F" w:rsidRDefault="00110FE6">
      <w:pPr>
        <w:pStyle w:val="BodyText"/>
      </w:pPr>
      <w:r>
        <w:rPr>
          <w:b/>
          <w:bCs/>
        </w:rPr>
        <w:t>Propriétés</w:t>
      </w:r>
    </w:p>
    <w:p w14:paraId="40653356" w14:textId="77777777" w:rsidR="0084489F" w:rsidRDefault="00110FE6">
      <w:pPr>
        <w:pStyle w:val="BodyText"/>
      </w:pPr>
      <w:r w:rsidRPr="1B9E7434">
        <w:rPr>
          <w:rStyle w:val="VerbatimChar"/>
          <w:lang w:val="fr-FR"/>
        </w:rPr>
        <w:t>P170_temps_défini_par (définit_le_temps)</w:t>
      </w:r>
      <w:r w:rsidRPr="1B9E7434">
        <w:rPr>
          <w:lang w:val="fr-FR"/>
        </w:rPr>
        <w:t xml:space="preserve"> : </w:t>
      </w:r>
      <w:r w:rsidRPr="1B9E7434">
        <w:rPr>
          <w:rStyle w:val="VerbatimChar"/>
          <w:lang w:val="fr-FR"/>
        </w:rPr>
        <w:t>E52_Intervalle_temporel</w:t>
      </w:r>
    </w:p>
    <w:p w14:paraId="056F4044" w14:textId="77777777" w:rsidR="0084489F" w:rsidRDefault="00110FE6">
      <w:pPr>
        <w:pStyle w:val="BlockText"/>
      </w:pPr>
      <w:r>
        <w:rPr>
          <w:b/>
          <w:bCs/>
          <w:i/>
          <w:iCs/>
        </w:rPr>
        <w:t>Note de traduction</w:t>
      </w:r>
    </w:p>
    <w:p w14:paraId="180111E6" w14:textId="77777777" w:rsidR="0084489F" w:rsidRDefault="00110FE6">
      <w:pPr>
        <w:pStyle w:val="BlockText"/>
      </w:pPr>
      <w:r>
        <w:rPr>
          <w:b/>
          <w:bCs/>
          <w:i/>
          <w:iCs/>
        </w:rPr>
        <w:t>Références</w:t>
      </w:r>
    </w:p>
    <w:p w14:paraId="7C1869EF" w14:textId="77777777" w:rsidR="0084489F" w:rsidRDefault="0084489F">
      <w:pPr>
        <w:pStyle w:val="BlockText"/>
      </w:pPr>
    </w:p>
    <w:p w14:paraId="4FA4FDAB" w14:textId="77777777" w:rsidR="0084489F" w:rsidRDefault="00110FE6">
      <w:pPr>
        <w:pStyle w:val="Heading2"/>
      </w:pPr>
      <w:bookmarkStart w:id="205" w:name="_Toc176864484"/>
      <w:bookmarkStart w:id="206" w:name="e62-chaine-de-caracteres"/>
      <w:bookmarkEnd w:id="204"/>
      <w:r>
        <w:lastRenderedPageBreak/>
        <w:t>E62 Chaîne de caractères</w:t>
      </w:r>
      <w:bookmarkEnd w:id="205"/>
    </w:p>
    <w:p w14:paraId="07A46F1A" w14:textId="77777777" w:rsidR="0084489F" w:rsidRDefault="00110FE6">
      <w:pPr>
        <w:pStyle w:val="FirstParagraph"/>
      </w:pPr>
      <w:r>
        <w:rPr>
          <w:b/>
          <w:bCs/>
        </w:rPr>
        <w:t>Sous-classe de</w:t>
      </w:r>
    </w:p>
    <w:p w14:paraId="4A46F417" w14:textId="77777777" w:rsidR="0084489F" w:rsidRDefault="00110FE6">
      <w:pPr>
        <w:pStyle w:val="BodyText"/>
      </w:pPr>
      <w:r>
        <w:rPr>
          <w:rStyle w:val="VerbatimChar"/>
        </w:rPr>
        <w:t>E59_Valeur_primitive</w:t>
      </w:r>
    </w:p>
    <w:p w14:paraId="1F0EE050" w14:textId="77777777" w:rsidR="0084489F" w:rsidRDefault="00110FE6">
      <w:pPr>
        <w:pStyle w:val="BodyText"/>
      </w:pPr>
      <w:r>
        <w:rPr>
          <w:b/>
          <w:bCs/>
        </w:rPr>
        <w:t>Super-classe de</w:t>
      </w:r>
    </w:p>
    <w:p w14:paraId="18C01B41" w14:textId="77777777" w:rsidR="0084489F" w:rsidRDefault="00110FE6">
      <w:pPr>
        <w:pStyle w:val="BodyText"/>
      </w:pPr>
      <w:r>
        <w:rPr>
          <w:b/>
          <w:bCs/>
        </w:rPr>
        <w:t>Note d’application</w:t>
      </w:r>
    </w:p>
    <w:p w14:paraId="1CE25D50" w14:textId="77777777" w:rsidR="0084489F" w:rsidRDefault="00110FE6">
      <w:pPr>
        <w:pStyle w:val="BodyText"/>
      </w:pPr>
      <w:r>
        <w:t xml:space="preserve">Cette classe comprend les séquences cohérentes de symboles en code binaire. Elles correspondent au contenu d’une instance de </w:t>
      </w:r>
      <w:r>
        <w:rPr>
          <w:rStyle w:val="VerbatimChar"/>
        </w:rPr>
        <w:t>E90_Objet_symbolique</w:t>
      </w:r>
      <w:r>
        <w:t xml:space="preserve">. Les instances de </w:t>
      </w:r>
      <w:r>
        <w:rPr>
          <w:rStyle w:val="VerbatimChar"/>
        </w:rPr>
        <w:t>E62_Chaîne_de_caractères</w:t>
      </w:r>
      <w:r>
        <w:t xml:space="preserve"> représentent seulement la séquence de symboles en soi. Celles-ci peuvent contenir ou non un code de langue.</w:t>
      </w:r>
    </w:p>
    <w:p w14:paraId="33229197" w14:textId="77777777" w:rsidR="0084489F" w:rsidRDefault="00110FE6">
      <w:pPr>
        <w:pStyle w:val="BodyText"/>
      </w:pPr>
      <w:r>
        <w:t xml:space="preserve">En revanche, les instances des autres sous-classes de </w:t>
      </w:r>
      <w:r>
        <w:rPr>
          <w:rStyle w:val="VerbatimChar"/>
        </w:rPr>
        <w:t>E59_Valeur_primitive</w:t>
      </w:r>
      <w:r>
        <w:t xml:space="preserve"> représentent les entités dans des espaces mathématiques autres que celui des séquences de symboles en code binaire, tels que des expressions de dates ou des nombres en codage décimal. Par exemple, différentes syntaxes exprimant une date peuvent représenter la même date, mais être constituées de différentes chaînes de caractères.</w:t>
      </w:r>
    </w:p>
    <w:p w14:paraId="50382B4A" w14:textId="77777777" w:rsidR="0084489F" w:rsidRDefault="00110FE6">
      <w:pPr>
        <w:pStyle w:val="BodyText"/>
      </w:pPr>
      <w:r>
        <w:rPr>
          <w:b/>
          <w:bCs/>
        </w:rPr>
        <w:t>Exemples</w:t>
      </w:r>
    </w:p>
    <w:p w14:paraId="15E1A322" w14:textId="77777777" w:rsidR="0084489F" w:rsidRPr="008C0D99" w:rsidRDefault="00110FE6" w:rsidP="00806324">
      <w:pPr>
        <w:numPr>
          <w:ilvl w:val="0"/>
          <w:numId w:val="105"/>
        </w:numPr>
        <w:rPr>
          <w:lang w:val="en-CA"/>
        </w:rPr>
      </w:pPr>
      <w:r w:rsidRPr="008C0D99">
        <w:rPr>
          <w:lang w:val="en-CA"/>
        </w:rPr>
        <w:t>« The quick brown fox jumps over the lazy dog »</w:t>
      </w:r>
    </w:p>
    <w:p w14:paraId="0C3BFC63" w14:textId="77777777" w:rsidR="0084489F" w:rsidRDefault="00110FE6" w:rsidP="00806324">
      <w:pPr>
        <w:numPr>
          <w:ilvl w:val="0"/>
          <w:numId w:val="105"/>
        </w:numPr>
      </w:pPr>
      <w:r>
        <w:t>« 6F 6E 54 79 70 31 0D 9E »</w:t>
      </w:r>
    </w:p>
    <w:p w14:paraId="744E1BCE" w14:textId="77777777" w:rsidR="0084489F" w:rsidRDefault="00110FE6">
      <w:pPr>
        <w:pStyle w:val="FirstParagraph"/>
      </w:pPr>
      <w:r>
        <w:rPr>
          <w:b/>
          <w:bCs/>
        </w:rPr>
        <w:t>Logique</w:t>
      </w:r>
    </w:p>
    <w:p w14:paraId="738DB6BA" w14:textId="77777777" w:rsidR="0084489F" w:rsidRDefault="00110FE6">
      <w:pPr>
        <w:pStyle w:val="BodyText"/>
      </w:pPr>
      <w:r>
        <w:t>E62(x) ⇒ E59(x)</w:t>
      </w:r>
    </w:p>
    <w:p w14:paraId="1EA7F861" w14:textId="77777777" w:rsidR="0084489F" w:rsidRDefault="00110FE6">
      <w:pPr>
        <w:pStyle w:val="BodyText"/>
      </w:pPr>
      <w:r>
        <w:rPr>
          <w:b/>
          <w:bCs/>
        </w:rPr>
        <w:t>Propriétés</w:t>
      </w:r>
    </w:p>
    <w:p w14:paraId="2CF06FFD" w14:textId="77777777" w:rsidR="0084489F" w:rsidRDefault="00110FE6">
      <w:pPr>
        <w:pStyle w:val="BlockText"/>
      </w:pPr>
      <w:r>
        <w:rPr>
          <w:b/>
          <w:bCs/>
          <w:i/>
          <w:iCs/>
        </w:rPr>
        <w:t>Note de traduction</w:t>
      </w:r>
    </w:p>
    <w:p w14:paraId="1F051314" w14:textId="77777777" w:rsidR="0084489F" w:rsidRDefault="00110FE6">
      <w:pPr>
        <w:pStyle w:val="BlockText"/>
      </w:pPr>
      <w:r>
        <w:rPr>
          <w:b/>
          <w:bCs/>
          <w:i/>
          <w:iCs/>
        </w:rPr>
        <w:t>Références</w:t>
      </w:r>
    </w:p>
    <w:p w14:paraId="20B9BBC3" w14:textId="77777777" w:rsidR="0084489F" w:rsidRDefault="0084489F">
      <w:pPr>
        <w:pStyle w:val="BlockText"/>
      </w:pPr>
    </w:p>
    <w:p w14:paraId="1064E4FC" w14:textId="6539782F" w:rsidR="0084489F" w:rsidRDefault="00110FE6">
      <w:pPr>
        <w:pStyle w:val="Heading2"/>
      </w:pPr>
      <w:bookmarkStart w:id="207" w:name="_Toc176864485"/>
      <w:bookmarkStart w:id="208" w:name="e63-debut-d"/>
      <w:bookmarkEnd w:id="206"/>
      <w:r>
        <w:t>E63 Début d’</w:t>
      </w:r>
      <w:bookmarkEnd w:id="207"/>
      <w:r w:rsidR="008D4435">
        <w:t>existence</w:t>
      </w:r>
    </w:p>
    <w:p w14:paraId="09B1536B" w14:textId="77777777" w:rsidR="0084489F" w:rsidRDefault="00110FE6">
      <w:pPr>
        <w:pStyle w:val="FirstParagraph"/>
      </w:pPr>
      <w:r>
        <w:rPr>
          <w:b/>
          <w:bCs/>
        </w:rPr>
        <w:t>Sous-classe de</w:t>
      </w:r>
    </w:p>
    <w:p w14:paraId="72D9E85D" w14:textId="77777777" w:rsidR="0084489F" w:rsidRDefault="00110FE6">
      <w:pPr>
        <w:pStyle w:val="BodyText"/>
      </w:pPr>
      <w:r>
        <w:rPr>
          <w:rStyle w:val="VerbatimChar"/>
        </w:rPr>
        <w:t>E5_Évènement</w:t>
      </w:r>
    </w:p>
    <w:p w14:paraId="2CB43657" w14:textId="77777777" w:rsidR="0084489F" w:rsidRDefault="00110FE6">
      <w:pPr>
        <w:pStyle w:val="BodyText"/>
      </w:pPr>
      <w:r>
        <w:rPr>
          <w:b/>
          <w:bCs/>
        </w:rPr>
        <w:t>Super-classe de</w:t>
      </w:r>
    </w:p>
    <w:p w14:paraId="18957981" w14:textId="77777777" w:rsidR="0084489F" w:rsidRDefault="00110FE6">
      <w:pPr>
        <w:pStyle w:val="BodyText"/>
      </w:pPr>
      <w:r>
        <w:rPr>
          <w:rStyle w:val="VerbatimChar"/>
        </w:rPr>
        <w:t>E12_Production</w:t>
      </w:r>
    </w:p>
    <w:p w14:paraId="396311CC" w14:textId="77777777" w:rsidR="0084489F" w:rsidRDefault="00110FE6">
      <w:pPr>
        <w:pStyle w:val="BodyText"/>
      </w:pPr>
      <w:r>
        <w:rPr>
          <w:rStyle w:val="VerbatimChar"/>
        </w:rPr>
        <w:t>E65_Création</w:t>
      </w:r>
    </w:p>
    <w:p w14:paraId="28AE80F9" w14:textId="77777777" w:rsidR="0084489F" w:rsidRDefault="00110FE6">
      <w:pPr>
        <w:pStyle w:val="BodyText"/>
      </w:pPr>
      <w:r>
        <w:rPr>
          <w:rStyle w:val="VerbatimChar"/>
        </w:rPr>
        <w:t>E66_Formation</w:t>
      </w:r>
    </w:p>
    <w:p w14:paraId="49969D55" w14:textId="77777777" w:rsidR="0084489F" w:rsidRDefault="00110FE6">
      <w:pPr>
        <w:pStyle w:val="BodyText"/>
      </w:pPr>
      <w:r>
        <w:rPr>
          <w:rStyle w:val="VerbatimChar"/>
        </w:rPr>
        <w:t>E67_Naissance</w:t>
      </w:r>
    </w:p>
    <w:p w14:paraId="321EADA8" w14:textId="77777777" w:rsidR="0084489F" w:rsidRDefault="00110FE6">
      <w:pPr>
        <w:pStyle w:val="BodyText"/>
      </w:pPr>
      <w:r>
        <w:rPr>
          <w:rStyle w:val="VerbatimChar"/>
        </w:rPr>
        <w:t>E81_Transformation</w:t>
      </w:r>
    </w:p>
    <w:p w14:paraId="5DF8CF76" w14:textId="77777777" w:rsidR="0084489F" w:rsidRDefault="00110FE6">
      <w:pPr>
        <w:pStyle w:val="BodyText"/>
      </w:pPr>
      <w:r>
        <w:rPr>
          <w:b/>
          <w:bCs/>
        </w:rPr>
        <w:t>Note d’application</w:t>
      </w:r>
    </w:p>
    <w:p w14:paraId="2D3BBC02" w14:textId="77777777" w:rsidR="0084489F" w:rsidRDefault="00110FE6">
      <w:pPr>
        <w:pStyle w:val="BodyText"/>
      </w:pPr>
      <w:r>
        <w:t xml:space="preserve">Cette classe comprend les évènements qui permettent l’avènement de n’importe quelle instance de </w:t>
      </w:r>
      <w:r>
        <w:rPr>
          <w:rStyle w:val="VerbatimChar"/>
        </w:rPr>
        <w:t>E77_Entité_persistante</w:t>
      </w:r>
      <w:r>
        <w:t>.</w:t>
      </w:r>
    </w:p>
    <w:p w14:paraId="67A85FE8" w14:textId="77777777" w:rsidR="0084489F" w:rsidRDefault="00110FE6">
      <w:pPr>
        <w:pStyle w:val="BodyText"/>
      </w:pPr>
      <w:r w:rsidRPr="1B9E7434">
        <w:rPr>
          <w:rStyle w:val="VerbatimChar"/>
          <w:lang w:val="fr-FR"/>
        </w:rPr>
        <w:lastRenderedPageBreak/>
        <w:t>E63_Début_d’existence</w:t>
      </w:r>
      <w:r w:rsidRPr="1B9E7434">
        <w:rPr>
          <w:lang w:val="fr-FR"/>
        </w:rPr>
        <w:t xml:space="preserve"> peut être utilisée aux fins du raisonnement temporel sur des entités (produits intellectuels, entités matérielles, groupes de personnes, êtres vivants) qui commencent à exister; elle permet de déterminer le « terminus post quem » ou le « terminus ante quem ».</w:t>
      </w:r>
    </w:p>
    <w:p w14:paraId="4174368D" w14:textId="77777777" w:rsidR="0084489F" w:rsidRDefault="00110FE6">
      <w:pPr>
        <w:pStyle w:val="BodyText"/>
      </w:pPr>
      <w:r>
        <w:rPr>
          <w:b/>
          <w:bCs/>
        </w:rPr>
        <w:t>Exemples</w:t>
      </w:r>
    </w:p>
    <w:p w14:paraId="225D8EF3" w14:textId="77777777" w:rsidR="0084489F" w:rsidRDefault="00110FE6" w:rsidP="00806324">
      <w:pPr>
        <w:numPr>
          <w:ilvl w:val="0"/>
          <w:numId w:val="106"/>
        </w:numPr>
      </w:pPr>
      <w:r>
        <w:t>La naissance de mon enfant (</w:t>
      </w:r>
      <w:r>
        <w:rPr>
          <w:rStyle w:val="VerbatimChar"/>
        </w:rPr>
        <w:t>E67_Naissance</w:t>
      </w:r>
      <w:r>
        <w:t>) (fictif)</w:t>
      </w:r>
    </w:p>
    <w:p w14:paraId="7A41BDF1" w14:textId="77777777" w:rsidR="0084489F" w:rsidRDefault="00110FE6" w:rsidP="00806324">
      <w:pPr>
        <w:numPr>
          <w:ilvl w:val="0"/>
          <w:numId w:val="106"/>
        </w:numPr>
      </w:pPr>
      <w:r>
        <w:t>La naissance de Snoopy, mon chien (fictif)</w:t>
      </w:r>
    </w:p>
    <w:p w14:paraId="4720B332" w14:textId="77777777" w:rsidR="0084489F" w:rsidRDefault="00110FE6" w:rsidP="00806324">
      <w:pPr>
        <w:numPr>
          <w:ilvl w:val="0"/>
          <w:numId w:val="106"/>
        </w:numPr>
      </w:pPr>
      <w:r>
        <w:t>Le vêlage de l’iceberg qui a causé le naufrage du Titanic</w:t>
      </w:r>
    </w:p>
    <w:p w14:paraId="4C876DB0" w14:textId="77777777" w:rsidR="0084489F" w:rsidRDefault="00110FE6" w:rsidP="00806324">
      <w:pPr>
        <w:numPr>
          <w:ilvl w:val="0"/>
          <w:numId w:val="106"/>
        </w:numPr>
      </w:pPr>
      <w:r>
        <w:t>La construction de la tour Eiffel (</w:t>
      </w:r>
      <w:r>
        <w:rPr>
          <w:rStyle w:val="VerbatimChar"/>
        </w:rPr>
        <w:t>E12_Production</w:t>
      </w:r>
      <w:r>
        <w:t>) (Tissandier, 1889)</w:t>
      </w:r>
    </w:p>
    <w:p w14:paraId="0287E1B1" w14:textId="77777777" w:rsidR="0084489F" w:rsidRDefault="00110FE6">
      <w:pPr>
        <w:pStyle w:val="FirstParagraph"/>
      </w:pPr>
      <w:r>
        <w:rPr>
          <w:b/>
          <w:bCs/>
        </w:rPr>
        <w:t>Logique</w:t>
      </w:r>
    </w:p>
    <w:p w14:paraId="31E9F43B" w14:textId="77777777" w:rsidR="0084489F" w:rsidRDefault="00110FE6">
      <w:pPr>
        <w:pStyle w:val="BodyText"/>
      </w:pPr>
      <w:r>
        <w:t>E63(x) ⇒ E5(x)</w:t>
      </w:r>
    </w:p>
    <w:p w14:paraId="774B465C" w14:textId="77777777" w:rsidR="0084489F" w:rsidRDefault="00110FE6">
      <w:pPr>
        <w:pStyle w:val="BodyText"/>
      </w:pPr>
      <w:r>
        <w:rPr>
          <w:b/>
          <w:bCs/>
        </w:rPr>
        <w:t>Propriétés</w:t>
      </w:r>
    </w:p>
    <w:p w14:paraId="1DD740D8" w14:textId="77777777" w:rsidR="0084489F" w:rsidRDefault="00110FE6">
      <w:pPr>
        <w:pStyle w:val="BodyText"/>
      </w:pPr>
      <w:r w:rsidRPr="1B9E7434">
        <w:rPr>
          <w:rStyle w:val="VerbatimChar"/>
          <w:lang w:val="fr-FR"/>
        </w:rPr>
        <w:t>P92_a_fait_exister (a_commencé_à_exister_par)</w:t>
      </w:r>
      <w:r w:rsidRPr="1B9E7434">
        <w:rPr>
          <w:lang w:val="fr-FR"/>
        </w:rPr>
        <w:t xml:space="preserve"> : </w:t>
      </w:r>
      <w:r w:rsidRPr="1B9E7434">
        <w:rPr>
          <w:rStyle w:val="VerbatimChar"/>
          <w:lang w:val="fr-FR"/>
        </w:rPr>
        <w:t>E77_Entité_persistante</w:t>
      </w:r>
    </w:p>
    <w:p w14:paraId="65DF570A" w14:textId="77777777" w:rsidR="0084489F" w:rsidRDefault="00110FE6">
      <w:pPr>
        <w:pStyle w:val="BlockText"/>
      </w:pPr>
      <w:r>
        <w:rPr>
          <w:b/>
          <w:bCs/>
          <w:i/>
          <w:iCs/>
        </w:rPr>
        <w:t>Note de traduction</w:t>
      </w:r>
    </w:p>
    <w:p w14:paraId="441AF9CB" w14:textId="77777777" w:rsidR="0084489F" w:rsidRDefault="00110FE6">
      <w:pPr>
        <w:pStyle w:val="BlockText"/>
      </w:pPr>
      <w:r>
        <w:t>Entité persistante est plus près de la définition anglaise qui porte sur le fait de persister plutôt que de perdurer ou d’être de longue durée.</w:t>
      </w:r>
    </w:p>
    <w:p w14:paraId="59EDAE72" w14:textId="77777777" w:rsidR="0084489F" w:rsidRDefault="00110FE6">
      <w:pPr>
        <w:pStyle w:val="BlockText"/>
      </w:pPr>
      <w:r>
        <w:t>« Entité » est utilisé à la place de « chose », car « chose » n’inclut pas (à l’exception de désignations méprisantes ou hautaines) des personnes/groupes/humains.</w:t>
      </w:r>
    </w:p>
    <w:p w14:paraId="0E4A331E" w14:textId="77777777" w:rsidR="0084489F" w:rsidRDefault="00110FE6">
      <w:pPr>
        <w:pStyle w:val="BlockText"/>
      </w:pPr>
      <w:r>
        <w:rPr>
          <w:b/>
          <w:bCs/>
          <w:i/>
          <w:iCs/>
        </w:rPr>
        <w:t>Références</w:t>
      </w:r>
    </w:p>
    <w:p w14:paraId="4F97C85C" w14:textId="77777777" w:rsidR="0084489F" w:rsidRDefault="00110FE6">
      <w:pPr>
        <w:pStyle w:val="BlockText"/>
      </w:pPr>
      <w:r w:rsidRPr="1B9E7434">
        <w:rPr>
          <w:lang w:val="fr-FR"/>
        </w:rPr>
        <w:t xml:space="preserve">Termium. « temporal reasoning ». Dans </w:t>
      </w:r>
      <w:r w:rsidRPr="1B9E7434">
        <w:rPr>
          <w:i/>
          <w:iCs/>
          <w:lang w:val="fr-FR"/>
        </w:rPr>
        <w:t>Termium Plus</w:t>
      </w:r>
      <w:r w:rsidRPr="1B9E7434">
        <w:rPr>
          <w:lang w:val="fr-FR"/>
        </w:rPr>
        <w:t>. Ottawa, CA-ON: Gouvernment du Canada, 19 septembre 2003.</w:t>
      </w:r>
      <w:hyperlink r:id="rId215" w:anchor="fichesauve-saverecord1">
        <w:r w:rsidRPr="1B9E7434">
          <w:rPr>
            <w:rStyle w:val="Hyperlink"/>
            <w:lang w:val="fr-FR"/>
          </w:rPr>
          <w:t xml:space="preserve"> </w:t>
        </w:r>
      </w:hyperlink>
      <w:hyperlink r:id="rId216" w:anchor="fichesauve-saverecord1">
        <w:r w:rsidRPr="1B9E7434">
          <w:rPr>
            <w:rStyle w:val="Hyperlink"/>
            <w:lang w:val="fr-FR"/>
          </w:rPr>
          <w:t>https://www.btb.termiumplus.gc.ca/tpv2alpha/alpha-fra.html?lang=fra&amp;srchtxt=temporal%20reasoning&amp;i=&amp;index=alt&amp;sg_kp_wet=921138&amp;fchrcrdnm=1#fichesauve-saverecord1</w:t>
        </w:r>
      </w:hyperlink>
      <w:r w:rsidRPr="1B9E7434">
        <w:rPr>
          <w:lang w:val="fr-FR"/>
        </w:rPr>
        <w:t>.</w:t>
      </w:r>
    </w:p>
    <w:p w14:paraId="1EF4A90F" w14:textId="77777777" w:rsidR="005E3B93" w:rsidRPr="005E3B93" w:rsidRDefault="005E3B93" w:rsidP="005E3B93">
      <w:pPr>
        <w:pStyle w:val="BodyText"/>
      </w:pPr>
    </w:p>
    <w:p w14:paraId="0CEE4FAF" w14:textId="77777777" w:rsidR="0084489F" w:rsidRDefault="00110FE6">
      <w:pPr>
        <w:pStyle w:val="Heading2"/>
      </w:pPr>
      <w:bookmarkStart w:id="209" w:name="_Toc176864486"/>
      <w:bookmarkStart w:id="210" w:name="e64-fin-dexistence"/>
      <w:bookmarkEnd w:id="208"/>
      <w:r>
        <w:t>E64 Fin d’existence</w:t>
      </w:r>
      <w:bookmarkEnd w:id="209"/>
    </w:p>
    <w:p w14:paraId="2D73B362" w14:textId="77777777" w:rsidR="0084489F" w:rsidRDefault="00110FE6">
      <w:pPr>
        <w:pStyle w:val="FirstParagraph"/>
      </w:pPr>
      <w:r>
        <w:rPr>
          <w:b/>
          <w:bCs/>
        </w:rPr>
        <w:t>Sous-classe de</w:t>
      </w:r>
    </w:p>
    <w:p w14:paraId="4AB58307" w14:textId="77777777" w:rsidR="0084489F" w:rsidRDefault="00110FE6">
      <w:pPr>
        <w:pStyle w:val="BodyText"/>
      </w:pPr>
      <w:r>
        <w:rPr>
          <w:rStyle w:val="VerbatimChar"/>
        </w:rPr>
        <w:t>E5_Évènement</w:t>
      </w:r>
    </w:p>
    <w:p w14:paraId="307087E0" w14:textId="77777777" w:rsidR="0084489F" w:rsidRDefault="00110FE6">
      <w:pPr>
        <w:pStyle w:val="BodyText"/>
      </w:pPr>
      <w:r>
        <w:rPr>
          <w:b/>
          <w:bCs/>
        </w:rPr>
        <w:t>Super-classe de</w:t>
      </w:r>
    </w:p>
    <w:p w14:paraId="6819582A" w14:textId="77777777" w:rsidR="0084489F" w:rsidRDefault="00110FE6">
      <w:pPr>
        <w:pStyle w:val="BodyText"/>
      </w:pPr>
      <w:r>
        <w:rPr>
          <w:rStyle w:val="VerbatimChar"/>
        </w:rPr>
        <w:t>E6_Destruction</w:t>
      </w:r>
    </w:p>
    <w:p w14:paraId="2F584183" w14:textId="77777777" w:rsidR="0084489F" w:rsidRDefault="00110FE6">
      <w:pPr>
        <w:pStyle w:val="BodyText"/>
      </w:pPr>
      <w:r>
        <w:rPr>
          <w:rStyle w:val="VerbatimChar"/>
        </w:rPr>
        <w:t>E68_Dissolution</w:t>
      </w:r>
    </w:p>
    <w:p w14:paraId="67D61AE6" w14:textId="77777777" w:rsidR="0084489F" w:rsidRDefault="00110FE6">
      <w:pPr>
        <w:pStyle w:val="BodyText"/>
      </w:pPr>
      <w:r>
        <w:rPr>
          <w:rStyle w:val="VerbatimChar"/>
        </w:rPr>
        <w:t>E69_Mort</w:t>
      </w:r>
      <w:r>
        <w:t xml:space="preserve"> </w:t>
      </w:r>
      <w:r>
        <w:rPr>
          <w:rStyle w:val="VerbatimChar"/>
        </w:rPr>
        <w:t>E81_Transformation</w:t>
      </w:r>
    </w:p>
    <w:p w14:paraId="1BD2E15E" w14:textId="77777777" w:rsidR="0084489F" w:rsidRDefault="00110FE6">
      <w:pPr>
        <w:pStyle w:val="BodyText"/>
      </w:pPr>
      <w:r>
        <w:rPr>
          <w:b/>
          <w:bCs/>
        </w:rPr>
        <w:t>Note d’application</w:t>
      </w:r>
    </w:p>
    <w:p w14:paraId="041C97A3" w14:textId="77777777" w:rsidR="0084489F" w:rsidRDefault="00110FE6">
      <w:pPr>
        <w:pStyle w:val="BodyText"/>
      </w:pPr>
      <w:r>
        <w:t xml:space="preserve">Cette classe comprend les évènements qui mettent fin à l’existence de n’importe quelle instance de </w:t>
      </w:r>
      <w:r>
        <w:rPr>
          <w:rStyle w:val="VerbatimChar"/>
        </w:rPr>
        <w:t>E77_Entité_persistante</w:t>
      </w:r>
      <w:r>
        <w:t>.</w:t>
      </w:r>
    </w:p>
    <w:p w14:paraId="57F1FC70" w14:textId="77777777" w:rsidR="0084489F" w:rsidRDefault="00110FE6">
      <w:pPr>
        <w:pStyle w:val="BodyText"/>
      </w:pPr>
      <w:r w:rsidRPr="1B9E7434">
        <w:rPr>
          <w:rStyle w:val="VerbatimChar"/>
          <w:lang w:val="fr-FR"/>
        </w:rPr>
        <w:t>E64_Fin_d’existence</w:t>
      </w:r>
      <w:r w:rsidRPr="1B9E7434">
        <w:rPr>
          <w:lang w:val="fr-FR"/>
        </w:rPr>
        <w:t xml:space="preserve"> peut être utilisée aux fins du raisonnement temporel sur des entités (entités matérielles, groupes de personnes, êtres vivants) qui cessent d’exister; cette classe permet de déterminer le « terminus post quem » et le « terminus ante quem ». Dans les cas où la substance d’une instance de </w:t>
      </w:r>
      <w:r w:rsidRPr="1B9E7434">
        <w:rPr>
          <w:rStyle w:val="VerbatimChar"/>
          <w:lang w:val="fr-FR"/>
        </w:rPr>
        <w:lastRenderedPageBreak/>
        <w:t>E77_Entité_persistante</w:t>
      </w:r>
      <w:r w:rsidRPr="1B9E7434">
        <w:rPr>
          <w:lang w:val="fr-FR"/>
        </w:rPr>
        <w:t xml:space="preserve"> continue d’exister dans une nouvelle forme, le processus serait documenté grâce à des instances de </w:t>
      </w:r>
      <w:r w:rsidRPr="1B9E7434">
        <w:rPr>
          <w:rStyle w:val="VerbatimChar"/>
          <w:lang w:val="fr-FR"/>
        </w:rPr>
        <w:t>E81_Transformation</w:t>
      </w:r>
      <w:r w:rsidRPr="1B9E7434">
        <w:rPr>
          <w:lang w:val="fr-FR"/>
        </w:rPr>
        <w:t>.</w:t>
      </w:r>
    </w:p>
    <w:p w14:paraId="796E45AD" w14:textId="77777777" w:rsidR="0084489F" w:rsidRDefault="00110FE6">
      <w:pPr>
        <w:pStyle w:val="BodyText"/>
      </w:pPr>
      <w:r>
        <w:rPr>
          <w:b/>
          <w:bCs/>
        </w:rPr>
        <w:t>Exemples</w:t>
      </w:r>
    </w:p>
    <w:p w14:paraId="1673FAC2" w14:textId="77777777" w:rsidR="0084489F" w:rsidRDefault="00110FE6" w:rsidP="00806324">
      <w:pPr>
        <w:numPr>
          <w:ilvl w:val="0"/>
          <w:numId w:val="107"/>
        </w:numPr>
      </w:pPr>
      <w:r>
        <w:t>La mort de Snoopy, mon chien (fictif)</w:t>
      </w:r>
    </w:p>
    <w:p w14:paraId="7A679028" w14:textId="77777777" w:rsidR="0084489F" w:rsidRDefault="00110FE6" w:rsidP="00806324">
      <w:pPr>
        <w:numPr>
          <w:ilvl w:val="0"/>
          <w:numId w:val="107"/>
        </w:numPr>
      </w:pPr>
      <w:r>
        <w:t>La fonte du bonhomme de neige (</w:t>
      </w:r>
      <w:r>
        <w:rPr>
          <w:rStyle w:val="VerbatimChar"/>
        </w:rPr>
        <w:t>E6_Destruction</w:t>
      </w:r>
      <w:r>
        <w:t>)</w:t>
      </w:r>
    </w:p>
    <w:p w14:paraId="72124AC2" w14:textId="69F222C7" w:rsidR="0084489F" w:rsidRDefault="00110FE6" w:rsidP="00806324">
      <w:pPr>
        <w:numPr>
          <w:ilvl w:val="0"/>
          <w:numId w:val="107"/>
        </w:numPr>
      </w:pPr>
      <w:r w:rsidRPr="1B9E7434">
        <w:rPr>
          <w:lang w:val="fr-FR"/>
        </w:rPr>
        <w:t>L’incendie du Temple d’Artémis à Éphèse par Érostrate en 356 AEC (</w:t>
      </w:r>
      <w:r w:rsidRPr="1B9E7434">
        <w:rPr>
          <w:rStyle w:val="VerbatimChar"/>
          <w:lang w:val="fr-FR"/>
        </w:rPr>
        <w:t>E7_Activité</w:t>
      </w:r>
      <w:r w:rsidRPr="1B9E7434">
        <w:rPr>
          <w:lang w:val="fr-FR"/>
        </w:rPr>
        <w:t xml:space="preserve">, </w:t>
      </w:r>
      <w:r w:rsidRPr="1B9E7434">
        <w:rPr>
          <w:rStyle w:val="VerbatimChar"/>
          <w:lang w:val="fr-FR"/>
        </w:rPr>
        <w:t>E6_Destruction</w:t>
      </w:r>
      <w:r w:rsidRPr="1B9E7434">
        <w:rPr>
          <w:lang w:val="fr-FR"/>
        </w:rPr>
        <w:t>) (Trell, 1945)</w:t>
      </w:r>
    </w:p>
    <w:p w14:paraId="42CAFAF9" w14:textId="77777777" w:rsidR="0084489F" w:rsidRDefault="00110FE6">
      <w:pPr>
        <w:pStyle w:val="FirstParagraph"/>
      </w:pPr>
      <w:r>
        <w:rPr>
          <w:b/>
          <w:bCs/>
        </w:rPr>
        <w:t>Logique</w:t>
      </w:r>
    </w:p>
    <w:p w14:paraId="000AFE19" w14:textId="77777777" w:rsidR="0084489F" w:rsidRDefault="00110FE6">
      <w:pPr>
        <w:pStyle w:val="BodyText"/>
      </w:pPr>
      <w:r>
        <w:t>E64(x) ⇒ E5(x)</w:t>
      </w:r>
    </w:p>
    <w:p w14:paraId="40C2BE2D" w14:textId="77777777" w:rsidR="0084489F" w:rsidRDefault="00110FE6">
      <w:pPr>
        <w:pStyle w:val="BodyText"/>
      </w:pPr>
      <w:r>
        <w:rPr>
          <w:b/>
          <w:bCs/>
        </w:rPr>
        <w:t>Propriétés</w:t>
      </w:r>
    </w:p>
    <w:p w14:paraId="0A06ADED" w14:textId="77777777" w:rsidR="0084489F" w:rsidRDefault="00110FE6">
      <w:pPr>
        <w:pStyle w:val="BodyText"/>
      </w:pPr>
      <w:r w:rsidRPr="1B9E7434">
        <w:rPr>
          <w:rStyle w:val="VerbatimChar"/>
          <w:lang w:val="fr-FR"/>
        </w:rPr>
        <w:t>P93_a_mis_fin_à_l’existence_de (a_cessé_d’exister_du_fait_de)</w:t>
      </w:r>
      <w:r w:rsidRPr="1B9E7434">
        <w:rPr>
          <w:lang w:val="fr-FR"/>
        </w:rPr>
        <w:t xml:space="preserve"> : </w:t>
      </w:r>
      <w:r w:rsidRPr="1B9E7434">
        <w:rPr>
          <w:rStyle w:val="VerbatimChar"/>
          <w:lang w:val="fr-FR"/>
        </w:rPr>
        <w:t>E77_Entité_persistante</w:t>
      </w:r>
    </w:p>
    <w:p w14:paraId="3D4B1B97" w14:textId="77777777" w:rsidR="0084489F" w:rsidRDefault="00110FE6">
      <w:pPr>
        <w:pStyle w:val="BlockText"/>
      </w:pPr>
      <w:r>
        <w:rPr>
          <w:b/>
          <w:bCs/>
          <w:i/>
          <w:iCs/>
        </w:rPr>
        <w:t>Note de traduction</w:t>
      </w:r>
    </w:p>
    <w:p w14:paraId="056E3611" w14:textId="77777777" w:rsidR="0084489F" w:rsidRDefault="00110FE6">
      <w:pPr>
        <w:pStyle w:val="BlockText"/>
      </w:pPr>
      <w:r>
        <w:t>« Entité persistante » est plus près de la définition anglaise qui porte sur le fait de persister plutôt que de perdurer ou d’être de longue durée.</w:t>
      </w:r>
    </w:p>
    <w:p w14:paraId="701CE537" w14:textId="77777777" w:rsidR="0084489F" w:rsidRDefault="00110FE6">
      <w:pPr>
        <w:pStyle w:val="BlockText"/>
      </w:pPr>
      <w:r>
        <w:t>« Entité » est utilisé à la place de « chose », car « chose » n’inclut pas (à l’exception de désignations méprisantes ou hautaines) des personnes/groupes/humains.</w:t>
      </w:r>
    </w:p>
    <w:p w14:paraId="1F927448" w14:textId="77777777" w:rsidR="0084489F" w:rsidRDefault="00110FE6">
      <w:pPr>
        <w:pStyle w:val="BlockText"/>
      </w:pPr>
      <w:r w:rsidRPr="1B9E7434">
        <w:rPr>
          <w:lang w:val="fr-FR"/>
        </w:rPr>
        <w:t>« Physical Thing » est traduit par « chose matérielle » qui comprend « Physical Object » / « Objet matériel »; aux fins de cohérences il convient d’utiliser « Physical Item » / « entité matérielle ».</w:t>
      </w:r>
    </w:p>
    <w:p w14:paraId="5083A707" w14:textId="77777777" w:rsidR="0084489F" w:rsidRDefault="00110FE6">
      <w:pPr>
        <w:pStyle w:val="BlockText"/>
      </w:pPr>
      <w:r w:rsidRPr="1B9E7434">
        <w:rPr>
          <w:lang w:val="fr-FR"/>
        </w:rPr>
        <w:t>Avant J.-C. ou Avant notre ère : Il est préférable d’utiliser avant notre ère; puisqu’il ne s’agit pas d’une citation, mais d’une paraphrase, « BC » a ici été remplacé par « AEC » (avant l’ère commune).</w:t>
      </w:r>
    </w:p>
    <w:p w14:paraId="65AB8C36" w14:textId="77777777" w:rsidR="0084489F" w:rsidRDefault="00110FE6">
      <w:pPr>
        <w:pStyle w:val="BlockText"/>
      </w:pPr>
      <w:r>
        <w:rPr>
          <w:b/>
          <w:bCs/>
          <w:i/>
          <w:iCs/>
        </w:rPr>
        <w:t>Références</w:t>
      </w:r>
    </w:p>
    <w:p w14:paraId="012ED733" w14:textId="77777777" w:rsidR="0084489F" w:rsidRDefault="00110FE6">
      <w:pPr>
        <w:pStyle w:val="BlockText"/>
      </w:pPr>
      <w:r w:rsidRPr="1B9E7434">
        <w:rPr>
          <w:lang w:val="fr-FR"/>
        </w:rPr>
        <w:t xml:space="preserve">Termium. « avant Jésus-Christ ». Dans </w:t>
      </w:r>
      <w:r w:rsidRPr="1B9E7434">
        <w:rPr>
          <w:i/>
          <w:iCs/>
          <w:lang w:val="fr-FR"/>
        </w:rPr>
        <w:t>Termium Plus</w:t>
      </w:r>
      <w:r w:rsidRPr="1B9E7434">
        <w:rPr>
          <w:lang w:val="fr-FR"/>
        </w:rPr>
        <w:t>. Ottawa, CA-ON: Gouvernement du Canada, 29 janvier 1997.</w:t>
      </w:r>
      <w:hyperlink r:id="rId217" w:anchor="resultrecs">
        <w:r w:rsidRPr="1B9E7434">
          <w:rPr>
            <w:rStyle w:val="Hyperlink"/>
            <w:lang w:val="fr-FR"/>
          </w:rPr>
          <w:t xml:space="preserve"> </w:t>
        </w:r>
      </w:hyperlink>
      <w:hyperlink r:id="rId218" w:anchor="resultrecs">
        <w:r w:rsidRPr="1B9E7434">
          <w:rPr>
            <w:rStyle w:val="Hyperlink"/>
            <w:lang w:val="fr-FR"/>
          </w:rPr>
          <w:t>https://www.btb.termiumplus.gc.ca/tpv2alpha/alpha-fra.html?lang=fra&amp;i=1&amp;srchtxt=avant+J%C3%A9sus-christ&amp;codom2nd_wet=1#resultrecs</w:t>
        </w:r>
      </w:hyperlink>
      <w:r w:rsidRPr="1B9E7434">
        <w:rPr>
          <w:lang w:val="fr-FR"/>
        </w:rPr>
        <w:t>.</w:t>
      </w:r>
    </w:p>
    <w:p w14:paraId="7D02825C" w14:textId="77777777" w:rsidR="0084489F" w:rsidRDefault="00110FE6">
      <w:pPr>
        <w:pStyle w:val="BlockText"/>
      </w:pPr>
      <w:r w:rsidRPr="008C0D99">
        <w:rPr>
          <w:lang w:val="en-CA"/>
        </w:rPr>
        <w:t xml:space="preserve">———. « temporal reasoning ». Dans </w:t>
      </w:r>
      <w:r w:rsidRPr="008C0D99">
        <w:rPr>
          <w:i/>
          <w:iCs/>
          <w:lang w:val="en-CA"/>
        </w:rPr>
        <w:t>Termium Plus.</w:t>
      </w:r>
      <w:r w:rsidRPr="008C0D99">
        <w:rPr>
          <w:lang w:val="en-CA"/>
        </w:rPr>
        <w:t xml:space="preserve"> </w:t>
      </w:r>
      <w:r>
        <w:t>Ottawa, CA-ON: Gouvernment du Canada, 19 septembre 2003.</w:t>
      </w:r>
      <w:hyperlink r:id="rId219" w:anchor="fichesauve-saverecord1">
        <w:r>
          <w:rPr>
            <w:rStyle w:val="Hyperlink"/>
          </w:rPr>
          <w:t xml:space="preserve"> </w:t>
        </w:r>
      </w:hyperlink>
      <w:hyperlink r:id="rId220" w:anchor="fichesauve-saverecord1">
        <w:r>
          <w:rPr>
            <w:rStyle w:val="Hyperlink"/>
          </w:rPr>
          <w:t>https://www.btb.termiumplus.gc.ca/tpv2alpha/alpha-fra.html?lang=fra&amp;srchtxt=temporal%20reasoning&amp;i=&amp;index=alt&amp;sg_kp_wet=921138&amp;fchrcrdnm=1#fichesauve-saverecord1</w:t>
        </w:r>
      </w:hyperlink>
      <w:r>
        <w:t>.</w:t>
      </w:r>
    </w:p>
    <w:p w14:paraId="64500486" w14:textId="77777777" w:rsidR="0084489F" w:rsidRDefault="00110FE6">
      <w:pPr>
        <w:pStyle w:val="BlockText"/>
      </w:pPr>
      <w:r w:rsidRPr="008C0D99">
        <w:rPr>
          <w:lang w:val="en-CA"/>
        </w:rPr>
        <w:t xml:space="preserve">Wikipédia. « Érostrate ». Dans </w:t>
      </w:r>
      <w:r w:rsidRPr="008C0D99">
        <w:rPr>
          <w:i/>
          <w:iCs/>
          <w:lang w:val="en-CA"/>
        </w:rPr>
        <w:t>Wikipédia.</w:t>
      </w:r>
      <w:r w:rsidRPr="008C0D99">
        <w:rPr>
          <w:lang w:val="en-CA"/>
        </w:rPr>
        <w:t xml:space="preserve"> San Francisco, US-CA: Wikipédia, 4 août 2020.</w:t>
      </w:r>
      <w:hyperlink r:id="rId221">
        <w:r w:rsidRPr="008C0D99">
          <w:rPr>
            <w:rStyle w:val="Hyperlink"/>
            <w:lang w:val="en-CA"/>
          </w:rPr>
          <w:t xml:space="preserve"> </w:t>
        </w:r>
      </w:hyperlink>
      <w:hyperlink r:id="rId222">
        <w:r>
          <w:rPr>
            <w:rStyle w:val="Hyperlink"/>
          </w:rPr>
          <w:t>https://fr.wikipedia.org/w/index.php?title=%C3%89rostrate&amp;oldid=173548642</w:t>
        </w:r>
      </w:hyperlink>
      <w:r>
        <w:t>.</w:t>
      </w:r>
    </w:p>
    <w:p w14:paraId="4E2A96D2" w14:textId="77777777" w:rsidR="00110FE6" w:rsidRPr="00110FE6" w:rsidRDefault="00110FE6" w:rsidP="00110FE6">
      <w:pPr>
        <w:pStyle w:val="BodyText"/>
      </w:pPr>
    </w:p>
    <w:p w14:paraId="6CCA6CDB" w14:textId="77777777" w:rsidR="0084489F" w:rsidRDefault="00110FE6">
      <w:pPr>
        <w:pStyle w:val="Heading2"/>
      </w:pPr>
      <w:bookmarkStart w:id="211" w:name="_Toc176864487"/>
      <w:bookmarkStart w:id="212" w:name="e65-creation"/>
      <w:bookmarkEnd w:id="210"/>
      <w:r>
        <w:t>E65 Création</w:t>
      </w:r>
      <w:bookmarkEnd w:id="211"/>
    </w:p>
    <w:p w14:paraId="2CBF0825" w14:textId="77777777" w:rsidR="0084489F" w:rsidRDefault="00110FE6">
      <w:pPr>
        <w:pStyle w:val="FirstParagraph"/>
      </w:pPr>
      <w:r>
        <w:rPr>
          <w:b/>
          <w:bCs/>
        </w:rPr>
        <w:t>Sous-classe de</w:t>
      </w:r>
    </w:p>
    <w:p w14:paraId="37A82D36" w14:textId="77777777" w:rsidR="0084489F" w:rsidRDefault="00110FE6">
      <w:pPr>
        <w:pStyle w:val="BodyText"/>
      </w:pPr>
      <w:r>
        <w:rPr>
          <w:rStyle w:val="VerbatimChar"/>
        </w:rPr>
        <w:t>E7_ActivitéE63_Début_d’existence</w:t>
      </w:r>
    </w:p>
    <w:p w14:paraId="49DB4C2E" w14:textId="77777777" w:rsidR="0084489F" w:rsidRDefault="00110FE6">
      <w:pPr>
        <w:pStyle w:val="BodyText"/>
      </w:pPr>
      <w:r>
        <w:rPr>
          <w:b/>
          <w:bCs/>
        </w:rPr>
        <w:t>Super-classe de</w:t>
      </w:r>
    </w:p>
    <w:p w14:paraId="7D065933" w14:textId="77777777" w:rsidR="0084489F" w:rsidRDefault="00110FE6">
      <w:pPr>
        <w:pStyle w:val="BodyText"/>
      </w:pPr>
      <w:r>
        <w:rPr>
          <w:rStyle w:val="VerbatimChar"/>
        </w:rPr>
        <w:t>E83_Création_de_type</w:t>
      </w:r>
    </w:p>
    <w:p w14:paraId="7798E738" w14:textId="77777777" w:rsidR="0084489F" w:rsidRDefault="00110FE6" w:rsidP="00F361B3">
      <w:pPr>
        <w:pStyle w:val="BodyText"/>
        <w:keepNext/>
      </w:pPr>
      <w:r>
        <w:rPr>
          <w:b/>
          <w:bCs/>
        </w:rPr>
        <w:lastRenderedPageBreak/>
        <w:t>Note d’application</w:t>
      </w:r>
    </w:p>
    <w:p w14:paraId="3FEB4C8D" w14:textId="77777777" w:rsidR="0084489F" w:rsidRDefault="00110FE6" w:rsidP="00F361B3">
      <w:pPr>
        <w:pStyle w:val="BodyText"/>
        <w:keepNext/>
      </w:pPr>
      <w:r>
        <w:t>Cette classe comprend les évènements qui mènent à la création d’objets conceptuels ou de produits immatériels, tels que les légendes, les poèmes, les textes, la musique, les images, les films, les lois, les types, etc.</w:t>
      </w:r>
    </w:p>
    <w:p w14:paraId="40E484C8" w14:textId="77777777" w:rsidR="0084489F" w:rsidRDefault="00110FE6">
      <w:pPr>
        <w:pStyle w:val="BodyText"/>
      </w:pPr>
      <w:r>
        <w:rPr>
          <w:b/>
          <w:bCs/>
        </w:rPr>
        <w:t>Exemples</w:t>
      </w:r>
    </w:p>
    <w:p w14:paraId="19C6B20B" w14:textId="63BC9E04" w:rsidR="0084489F" w:rsidRDefault="00110FE6" w:rsidP="00806324">
      <w:pPr>
        <w:numPr>
          <w:ilvl w:val="0"/>
          <w:numId w:val="108"/>
        </w:numPr>
      </w:pPr>
      <w:r w:rsidRPr="1B9E7434">
        <w:rPr>
          <w:lang w:val="fr-FR"/>
        </w:rPr>
        <w:t>La formulation de la Constitution des États-Unis (Farrand, 1913)</w:t>
      </w:r>
    </w:p>
    <w:p w14:paraId="76A90B1D" w14:textId="77777777" w:rsidR="0084489F" w:rsidRDefault="00110FE6" w:rsidP="00806324">
      <w:pPr>
        <w:numPr>
          <w:ilvl w:val="0"/>
          <w:numId w:val="108"/>
        </w:numPr>
      </w:pPr>
      <w:r>
        <w:t>La préparation de la Résolution 1441 des Nations Unies (Conseil de sécurité des Nations Unies, 2002)</w:t>
      </w:r>
    </w:p>
    <w:p w14:paraId="4E1C3D70" w14:textId="77777777" w:rsidR="0084489F" w:rsidRDefault="00110FE6">
      <w:pPr>
        <w:pStyle w:val="FirstParagraph"/>
      </w:pPr>
      <w:r>
        <w:rPr>
          <w:b/>
          <w:bCs/>
        </w:rPr>
        <w:t>Logique</w:t>
      </w:r>
    </w:p>
    <w:p w14:paraId="2C6DCCBA" w14:textId="77777777" w:rsidR="0084489F" w:rsidRDefault="00110FE6">
      <w:pPr>
        <w:pStyle w:val="BodyText"/>
      </w:pPr>
      <w:r>
        <w:t>E65(x) ⇒ E7(x)</w:t>
      </w:r>
    </w:p>
    <w:p w14:paraId="0B53C9A6" w14:textId="77777777" w:rsidR="0084489F" w:rsidRDefault="00110FE6">
      <w:pPr>
        <w:pStyle w:val="BodyText"/>
      </w:pPr>
      <w:r>
        <w:t>E65(x) ⇒ E63(x)</w:t>
      </w:r>
    </w:p>
    <w:p w14:paraId="286BA31F" w14:textId="77777777" w:rsidR="0084489F" w:rsidRDefault="00110FE6">
      <w:pPr>
        <w:pStyle w:val="BodyText"/>
      </w:pPr>
      <w:r>
        <w:rPr>
          <w:b/>
          <w:bCs/>
        </w:rPr>
        <w:t>Propriétés</w:t>
      </w:r>
    </w:p>
    <w:p w14:paraId="445DB07B" w14:textId="77777777" w:rsidR="0084489F" w:rsidRDefault="00110FE6">
      <w:pPr>
        <w:pStyle w:val="BodyText"/>
      </w:pPr>
      <w:r w:rsidRPr="1B9E7434">
        <w:rPr>
          <w:rStyle w:val="VerbatimChar"/>
          <w:lang w:val="fr-FR"/>
        </w:rPr>
        <w:t>P94_a_créé (a_été_créé_par)</w:t>
      </w:r>
      <w:r w:rsidRPr="1B9E7434">
        <w:rPr>
          <w:lang w:val="fr-FR"/>
        </w:rPr>
        <w:t xml:space="preserve"> : </w:t>
      </w:r>
      <w:r w:rsidRPr="1B9E7434">
        <w:rPr>
          <w:rStyle w:val="VerbatimChar"/>
          <w:lang w:val="fr-FR"/>
        </w:rPr>
        <w:t>E28_Objet_conceptuel</w:t>
      </w:r>
    </w:p>
    <w:p w14:paraId="59483ED1" w14:textId="77777777" w:rsidR="0084489F" w:rsidRDefault="00110FE6">
      <w:pPr>
        <w:pStyle w:val="BlockText"/>
      </w:pPr>
      <w:r>
        <w:rPr>
          <w:b/>
          <w:bCs/>
          <w:i/>
          <w:iCs/>
        </w:rPr>
        <w:t>Note de traduction</w:t>
      </w:r>
    </w:p>
    <w:p w14:paraId="439EB37D" w14:textId="77777777" w:rsidR="0084489F" w:rsidRDefault="00110FE6">
      <w:pPr>
        <w:pStyle w:val="BlockText"/>
      </w:pPr>
      <w:r>
        <w:rPr>
          <w:b/>
          <w:bCs/>
          <w:i/>
          <w:iCs/>
        </w:rPr>
        <w:t>Références</w:t>
      </w:r>
    </w:p>
    <w:p w14:paraId="3A589AE7" w14:textId="77777777" w:rsidR="0084489F" w:rsidRDefault="0084489F">
      <w:pPr>
        <w:pStyle w:val="BlockText"/>
      </w:pPr>
    </w:p>
    <w:p w14:paraId="743B573F" w14:textId="77777777" w:rsidR="0084489F" w:rsidRDefault="00110FE6">
      <w:pPr>
        <w:pStyle w:val="Heading2"/>
      </w:pPr>
      <w:bookmarkStart w:id="213" w:name="_Toc176864488"/>
      <w:bookmarkStart w:id="214" w:name="e66-formation"/>
      <w:bookmarkEnd w:id="212"/>
      <w:r>
        <w:t>E66 Formation</w:t>
      </w:r>
      <w:bookmarkEnd w:id="213"/>
    </w:p>
    <w:p w14:paraId="238F0918" w14:textId="77777777" w:rsidR="0084489F" w:rsidRDefault="00110FE6">
      <w:pPr>
        <w:pStyle w:val="FirstParagraph"/>
      </w:pPr>
      <w:r>
        <w:rPr>
          <w:b/>
          <w:bCs/>
        </w:rPr>
        <w:t>Sous-classe de</w:t>
      </w:r>
    </w:p>
    <w:p w14:paraId="415CA547" w14:textId="77777777" w:rsidR="0084489F" w:rsidRDefault="00110FE6">
      <w:pPr>
        <w:pStyle w:val="BodyText"/>
      </w:pPr>
      <w:r>
        <w:rPr>
          <w:rStyle w:val="VerbatimChar"/>
        </w:rPr>
        <w:t>E7_ActivitéE63_Début_d’existence</w:t>
      </w:r>
    </w:p>
    <w:p w14:paraId="1A3D5A2E" w14:textId="77777777" w:rsidR="0084489F" w:rsidRDefault="00110FE6">
      <w:pPr>
        <w:pStyle w:val="BodyText"/>
      </w:pPr>
      <w:r>
        <w:rPr>
          <w:b/>
          <w:bCs/>
        </w:rPr>
        <w:t>Super-classe de</w:t>
      </w:r>
    </w:p>
    <w:p w14:paraId="3EB951D4" w14:textId="77777777" w:rsidR="0084489F" w:rsidRDefault="00110FE6">
      <w:pPr>
        <w:pStyle w:val="BodyText"/>
      </w:pPr>
      <w:r>
        <w:rPr>
          <w:b/>
          <w:bCs/>
        </w:rPr>
        <w:t>Note d’application</w:t>
      </w:r>
    </w:p>
    <w:p w14:paraId="668517EB" w14:textId="77777777" w:rsidR="0084489F" w:rsidRDefault="00110FE6">
      <w:pPr>
        <w:pStyle w:val="BodyText"/>
      </w:pPr>
      <w:r>
        <w:t xml:space="preserve">Cette classe comprend les évènements qui entraînent la formation d’un </w:t>
      </w:r>
      <w:r>
        <w:rPr>
          <w:rStyle w:val="VerbatimChar"/>
        </w:rPr>
        <w:t>E74_Groupe</w:t>
      </w:r>
      <w:r>
        <w:t xml:space="preserve"> de personnes, formel ou informel, tel qu’un club, une société, une association, une corporation ou une nation.</w:t>
      </w:r>
    </w:p>
    <w:p w14:paraId="1AF36D69" w14:textId="77777777" w:rsidR="0084489F" w:rsidRDefault="00110FE6">
      <w:pPr>
        <w:pStyle w:val="BodyText"/>
      </w:pPr>
      <w:r>
        <w:t xml:space="preserve">La classe </w:t>
      </w:r>
      <w:r>
        <w:rPr>
          <w:rStyle w:val="VerbatimChar"/>
        </w:rPr>
        <w:t>E66_Formation</w:t>
      </w:r>
      <w:r>
        <w:t xml:space="preserve"> n’inclut pas le regroupement arbitraire de personnes qui n’agissent pas en tant que collectif.</w:t>
      </w:r>
    </w:p>
    <w:p w14:paraId="07B92339" w14:textId="77777777" w:rsidR="0084489F" w:rsidRDefault="00110FE6">
      <w:pPr>
        <w:pStyle w:val="BodyText"/>
      </w:pPr>
      <w:r>
        <w:t xml:space="preserve">La formation d’une instance de </w:t>
      </w:r>
      <w:r>
        <w:rPr>
          <w:rStyle w:val="VerbatimChar"/>
        </w:rPr>
        <w:t>E74_Groupe</w:t>
      </w:r>
      <w:r>
        <w:t xml:space="preserve"> ne nécessite pas que le groupe soit composé de membres dès le moment de sa formation. Pour exprimer l’adhésion de membres au moment de la formation, il convient de décrire l’activité correspondante comme une instance simultanée de </w:t>
      </w:r>
      <w:r>
        <w:rPr>
          <w:rStyle w:val="VerbatimChar"/>
        </w:rPr>
        <w:t>E66_Formation</w:t>
      </w:r>
      <w:r>
        <w:t xml:space="preserve"> et de </w:t>
      </w:r>
      <w:r>
        <w:rPr>
          <w:rStyle w:val="VerbatimChar"/>
        </w:rPr>
        <w:t>E85_Adhésion</w:t>
      </w:r>
      <w:r>
        <w:t>.</w:t>
      </w:r>
    </w:p>
    <w:p w14:paraId="6488FF85" w14:textId="77777777" w:rsidR="0084489F" w:rsidRDefault="00110FE6">
      <w:pPr>
        <w:pStyle w:val="BodyText"/>
      </w:pPr>
      <w:r>
        <w:rPr>
          <w:b/>
          <w:bCs/>
        </w:rPr>
        <w:t>Exemples</w:t>
      </w:r>
    </w:p>
    <w:p w14:paraId="76BF8BE5" w14:textId="77777777" w:rsidR="0084489F" w:rsidRDefault="00110FE6" w:rsidP="00806324">
      <w:pPr>
        <w:numPr>
          <w:ilvl w:val="0"/>
          <w:numId w:val="109"/>
        </w:numPr>
      </w:pPr>
      <w:r>
        <w:t>La formation du Groupe d’intérêt spécial du CIDOC CRM en 2000</w:t>
      </w:r>
    </w:p>
    <w:p w14:paraId="2D66D6B0" w14:textId="77777777" w:rsidR="0084489F" w:rsidRDefault="00110FE6" w:rsidP="00806324">
      <w:pPr>
        <w:numPr>
          <w:ilvl w:val="0"/>
          <w:numId w:val="109"/>
        </w:numPr>
      </w:pPr>
      <w:r>
        <w:t>La formation de l’Union Soviétique (Pipes, 1964)</w:t>
      </w:r>
    </w:p>
    <w:p w14:paraId="5D46F993" w14:textId="77777777" w:rsidR="0084489F" w:rsidRDefault="00110FE6" w:rsidP="00806324">
      <w:pPr>
        <w:numPr>
          <w:ilvl w:val="0"/>
          <w:numId w:val="109"/>
        </w:numPr>
      </w:pPr>
      <w:r>
        <w:t>La conspiration des assassins de Jules César (Irwin, 1935)</w:t>
      </w:r>
    </w:p>
    <w:p w14:paraId="06E15BDD" w14:textId="77777777" w:rsidR="0084489F" w:rsidRDefault="00110FE6" w:rsidP="00F361B3">
      <w:pPr>
        <w:pStyle w:val="FirstParagraph"/>
        <w:keepNext/>
      </w:pPr>
      <w:r>
        <w:rPr>
          <w:b/>
          <w:bCs/>
        </w:rPr>
        <w:lastRenderedPageBreak/>
        <w:t>Logique</w:t>
      </w:r>
    </w:p>
    <w:p w14:paraId="0E8DF080" w14:textId="77777777" w:rsidR="0084489F" w:rsidRDefault="00110FE6" w:rsidP="00F361B3">
      <w:pPr>
        <w:pStyle w:val="BodyText"/>
        <w:keepNext/>
      </w:pPr>
      <w:r>
        <w:t>E66(x) ⇒ E7(x)</w:t>
      </w:r>
    </w:p>
    <w:p w14:paraId="76500F5A" w14:textId="77777777" w:rsidR="0084489F" w:rsidRDefault="00110FE6">
      <w:pPr>
        <w:pStyle w:val="BodyText"/>
      </w:pPr>
      <w:r>
        <w:t>E66(x) ⇒ E63(x)</w:t>
      </w:r>
    </w:p>
    <w:p w14:paraId="7869DA04" w14:textId="77777777" w:rsidR="0084489F" w:rsidRDefault="00110FE6">
      <w:pPr>
        <w:pStyle w:val="BodyText"/>
      </w:pPr>
      <w:r>
        <w:rPr>
          <w:b/>
          <w:bCs/>
        </w:rPr>
        <w:t>Propriétés</w:t>
      </w:r>
    </w:p>
    <w:p w14:paraId="0FDDC211" w14:textId="77777777" w:rsidR="0084489F" w:rsidRDefault="00110FE6">
      <w:pPr>
        <w:pStyle w:val="BodyText"/>
      </w:pPr>
      <w:r w:rsidRPr="1B9E7434">
        <w:rPr>
          <w:rStyle w:val="VerbatimChar"/>
          <w:lang w:val="fr-FR"/>
        </w:rPr>
        <w:t>P95_a_fondé (a_été_fondé_par)</w:t>
      </w:r>
      <w:r w:rsidRPr="1B9E7434">
        <w:rPr>
          <w:lang w:val="fr-FR"/>
        </w:rPr>
        <w:t xml:space="preserve"> : </w:t>
      </w:r>
      <w:r w:rsidRPr="1B9E7434">
        <w:rPr>
          <w:rStyle w:val="VerbatimChar"/>
          <w:lang w:val="fr-FR"/>
        </w:rPr>
        <w:t>E74_Groupe</w:t>
      </w:r>
    </w:p>
    <w:p w14:paraId="496ACE55" w14:textId="77777777" w:rsidR="0084489F" w:rsidRDefault="00110FE6">
      <w:pPr>
        <w:pStyle w:val="BodyText"/>
      </w:pPr>
      <w:r w:rsidRPr="1B9E7434">
        <w:rPr>
          <w:rStyle w:val="VerbatimChar"/>
          <w:lang w:val="fr-FR"/>
        </w:rPr>
        <w:t>P151_a_été_formé_à_partir_de (a_participé_à)</w:t>
      </w:r>
      <w:r w:rsidRPr="1B9E7434">
        <w:rPr>
          <w:lang w:val="fr-FR"/>
        </w:rPr>
        <w:t xml:space="preserve"> : </w:t>
      </w:r>
      <w:r w:rsidRPr="1B9E7434">
        <w:rPr>
          <w:rStyle w:val="VerbatimChar"/>
          <w:lang w:val="fr-FR"/>
        </w:rPr>
        <w:t>E74_Groupe</w:t>
      </w:r>
    </w:p>
    <w:p w14:paraId="217A69A6" w14:textId="77777777" w:rsidR="0084489F" w:rsidRDefault="00110FE6">
      <w:pPr>
        <w:pStyle w:val="BlockText"/>
      </w:pPr>
      <w:r>
        <w:rPr>
          <w:b/>
          <w:bCs/>
          <w:i/>
          <w:iCs/>
        </w:rPr>
        <w:t>Note de traduction</w:t>
      </w:r>
    </w:p>
    <w:p w14:paraId="7033C5D1" w14:textId="77777777" w:rsidR="0084489F" w:rsidRDefault="00110FE6">
      <w:pPr>
        <w:pStyle w:val="BlockText"/>
      </w:pPr>
      <w:r>
        <w:rPr>
          <w:b/>
          <w:bCs/>
          <w:i/>
          <w:iCs/>
        </w:rPr>
        <w:t>Références</w:t>
      </w:r>
    </w:p>
    <w:p w14:paraId="0D38CBD4" w14:textId="77777777" w:rsidR="0084489F" w:rsidRDefault="0084489F">
      <w:pPr>
        <w:pStyle w:val="BlockText"/>
      </w:pPr>
    </w:p>
    <w:p w14:paraId="56F042E1" w14:textId="77777777" w:rsidR="0084489F" w:rsidRDefault="00110FE6">
      <w:pPr>
        <w:pStyle w:val="Heading2"/>
      </w:pPr>
      <w:bookmarkStart w:id="215" w:name="_Toc176864489"/>
      <w:bookmarkStart w:id="216" w:name="e67-naissance"/>
      <w:bookmarkEnd w:id="214"/>
      <w:r>
        <w:t>E67 Naissance</w:t>
      </w:r>
      <w:bookmarkEnd w:id="215"/>
    </w:p>
    <w:p w14:paraId="5A429AC9" w14:textId="77777777" w:rsidR="0084489F" w:rsidRDefault="00110FE6">
      <w:pPr>
        <w:pStyle w:val="FirstParagraph"/>
      </w:pPr>
      <w:r>
        <w:rPr>
          <w:b/>
          <w:bCs/>
        </w:rPr>
        <w:t>Sous-classe de</w:t>
      </w:r>
    </w:p>
    <w:p w14:paraId="4839042F" w14:textId="77777777" w:rsidR="0084489F" w:rsidRDefault="00110FE6">
      <w:pPr>
        <w:pStyle w:val="BodyText"/>
      </w:pPr>
      <w:r>
        <w:rPr>
          <w:rStyle w:val="VerbatimChar"/>
        </w:rPr>
        <w:t>E63_Début_d’existence</w:t>
      </w:r>
    </w:p>
    <w:p w14:paraId="4E625FE2" w14:textId="77777777" w:rsidR="0084489F" w:rsidRDefault="00110FE6">
      <w:pPr>
        <w:pStyle w:val="BodyText"/>
      </w:pPr>
      <w:r>
        <w:rPr>
          <w:b/>
          <w:bCs/>
        </w:rPr>
        <w:t>Super-classe de</w:t>
      </w:r>
    </w:p>
    <w:p w14:paraId="2F052EA7" w14:textId="77777777" w:rsidR="0084489F" w:rsidRDefault="00110FE6">
      <w:pPr>
        <w:pStyle w:val="BodyText"/>
      </w:pPr>
      <w:r>
        <w:rPr>
          <w:b/>
          <w:bCs/>
        </w:rPr>
        <w:t>Note d’application</w:t>
      </w:r>
    </w:p>
    <w:p w14:paraId="74DB966E" w14:textId="77777777" w:rsidR="0084489F" w:rsidRDefault="00110FE6">
      <w:pPr>
        <w:pStyle w:val="BodyText"/>
      </w:pPr>
      <w:r>
        <w:t xml:space="preserve">Cette classe comprend les naissances des êtres humains. </w:t>
      </w:r>
      <w:r>
        <w:rPr>
          <w:rStyle w:val="VerbatimChar"/>
        </w:rPr>
        <w:t>E67_Naissance</w:t>
      </w:r>
      <w:r>
        <w:t xml:space="preserve"> est un évènement biologique axé sur le contexte de la venue au monde. (La classe </w:t>
      </w:r>
      <w:r>
        <w:rPr>
          <w:rStyle w:val="VerbatimChar"/>
        </w:rPr>
        <w:t>E63_Début_d’existence</w:t>
      </w:r>
      <w:r>
        <w:t xml:space="preserve"> comprend la venue au monde des personnes, mais aussi de tout être vivant.)</w:t>
      </w:r>
    </w:p>
    <w:p w14:paraId="2726EB08" w14:textId="77777777" w:rsidR="0084489F" w:rsidRDefault="00110FE6">
      <w:pPr>
        <w:pStyle w:val="BodyText"/>
      </w:pPr>
      <w:r>
        <w:t xml:space="preserve">Les naissances de jumeaux, triplés, etc., font l’objet d’une seule et même instance de </w:t>
      </w:r>
      <w:r>
        <w:rPr>
          <w:rStyle w:val="VerbatimChar"/>
        </w:rPr>
        <w:t>E67_Naissance</w:t>
      </w:r>
      <w:r>
        <w:t>. En outre, dans ce modèle, le père biologique n’est pas considéré comme un participant indispensable à la naissance de l’enfant (</w:t>
      </w:r>
      <w:r>
        <w:rPr>
          <w:rStyle w:val="VerbatimChar"/>
        </w:rPr>
        <w:t>E67_Naissance</w:t>
      </w:r>
      <w:r>
        <w:t>).</w:t>
      </w:r>
    </w:p>
    <w:p w14:paraId="1B134922" w14:textId="77777777" w:rsidR="0084489F" w:rsidRDefault="00110FE6">
      <w:pPr>
        <w:pStyle w:val="BodyText"/>
      </w:pPr>
      <w:r>
        <w:t xml:space="preserve">L’introduction d'un évènement de </w:t>
      </w:r>
      <w:r>
        <w:rPr>
          <w:rStyle w:val="VerbatimChar"/>
        </w:rPr>
        <w:t>E67_Naissance</w:t>
      </w:r>
      <w:r>
        <w:t xml:space="preserve"> comme élément de documentation permet la description de toute une variété de relations familiales au sein d’un même modèle. Des extensions appropriées peuvent donner plus de détails et décrire la complexité de la maternité depuis l’arrivée de la médecine moderne.</w:t>
      </w:r>
    </w:p>
    <w:p w14:paraId="4DE94BCE" w14:textId="77777777" w:rsidR="0084489F" w:rsidRDefault="00110FE6">
      <w:pPr>
        <w:pStyle w:val="BodyText"/>
      </w:pPr>
      <w:r>
        <w:rPr>
          <w:b/>
          <w:bCs/>
        </w:rPr>
        <w:t>Exemples</w:t>
      </w:r>
    </w:p>
    <w:p w14:paraId="0A0E0F5B" w14:textId="0BE7FCDB" w:rsidR="0084489F" w:rsidRDefault="00110FE6" w:rsidP="00806324">
      <w:pPr>
        <w:numPr>
          <w:ilvl w:val="0"/>
          <w:numId w:val="110"/>
        </w:numPr>
      </w:pPr>
      <w:r w:rsidRPr="1B9E7434">
        <w:rPr>
          <w:lang w:val="fr-FR"/>
        </w:rPr>
        <w:t>La naissance d’Alexandre le Grand (Stoneman, 2004)</w:t>
      </w:r>
    </w:p>
    <w:p w14:paraId="586FD0A7" w14:textId="77777777" w:rsidR="0084489F" w:rsidRDefault="00110FE6">
      <w:pPr>
        <w:pStyle w:val="FirstParagraph"/>
      </w:pPr>
      <w:r>
        <w:rPr>
          <w:b/>
          <w:bCs/>
        </w:rPr>
        <w:t>Logique</w:t>
      </w:r>
    </w:p>
    <w:p w14:paraId="54A47228" w14:textId="77777777" w:rsidR="0084489F" w:rsidRDefault="00110FE6">
      <w:pPr>
        <w:pStyle w:val="BodyText"/>
      </w:pPr>
      <w:r>
        <w:t>E67(x) ⇒ E63(x)</w:t>
      </w:r>
    </w:p>
    <w:p w14:paraId="43BC3A0E" w14:textId="77777777" w:rsidR="0084489F" w:rsidRDefault="00110FE6">
      <w:pPr>
        <w:pStyle w:val="BodyText"/>
      </w:pPr>
      <w:r>
        <w:rPr>
          <w:b/>
          <w:bCs/>
        </w:rPr>
        <w:t>Propriétés</w:t>
      </w:r>
    </w:p>
    <w:p w14:paraId="270BF68A" w14:textId="77777777" w:rsidR="0084489F" w:rsidRDefault="00110FE6">
      <w:pPr>
        <w:pStyle w:val="BodyText"/>
      </w:pPr>
      <w:r w:rsidRPr="1B9E7434">
        <w:rPr>
          <w:rStyle w:val="VerbatimChar"/>
          <w:lang w:val="fr-FR"/>
        </w:rPr>
        <w:t>P96_de_mère (a_donné_naissance_à)</w:t>
      </w:r>
      <w:r w:rsidRPr="1B9E7434">
        <w:rPr>
          <w:lang w:val="fr-FR"/>
        </w:rPr>
        <w:t xml:space="preserve"> : </w:t>
      </w:r>
      <w:r w:rsidRPr="1B9E7434">
        <w:rPr>
          <w:rStyle w:val="VerbatimChar"/>
          <w:lang w:val="fr-FR"/>
        </w:rPr>
        <w:t>E21_PersonneP97_de_père (a_été_le_père_pour)</w:t>
      </w:r>
      <w:r w:rsidRPr="1B9E7434">
        <w:rPr>
          <w:lang w:val="fr-FR"/>
        </w:rPr>
        <w:t xml:space="preserve"> : </w:t>
      </w:r>
      <w:r w:rsidRPr="1B9E7434">
        <w:rPr>
          <w:rStyle w:val="VerbatimChar"/>
          <w:lang w:val="fr-FR"/>
        </w:rPr>
        <w:t>E21_PersonneP98_a_donné_vie_à (est_né)</w:t>
      </w:r>
      <w:r w:rsidRPr="1B9E7434">
        <w:rPr>
          <w:lang w:val="fr-FR"/>
        </w:rPr>
        <w:t xml:space="preserve"> : </w:t>
      </w:r>
      <w:r w:rsidRPr="1B9E7434">
        <w:rPr>
          <w:rStyle w:val="VerbatimChar"/>
          <w:lang w:val="fr-FR"/>
        </w:rPr>
        <w:t>E21_Personne</w:t>
      </w:r>
    </w:p>
    <w:p w14:paraId="10FDE29A" w14:textId="77777777" w:rsidR="0084489F" w:rsidRDefault="00110FE6">
      <w:pPr>
        <w:pStyle w:val="BlockText"/>
      </w:pPr>
      <w:r>
        <w:rPr>
          <w:b/>
          <w:bCs/>
          <w:i/>
          <w:iCs/>
        </w:rPr>
        <w:t>Note de traduction</w:t>
      </w:r>
    </w:p>
    <w:p w14:paraId="76EAF8F2" w14:textId="77777777" w:rsidR="0084489F" w:rsidRDefault="00110FE6">
      <w:pPr>
        <w:pStyle w:val="BlockText"/>
        <w:rPr>
          <w:b/>
          <w:bCs/>
          <w:i/>
          <w:iCs/>
        </w:rPr>
      </w:pPr>
      <w:r>
        <w:rPr>
          <w:b/>
          <w:bCs/>
          <w:i/>
          <w:iCs/>
        </w:rPr>
        <w:t>Références</w:t>
      </w:r>
    </w:p>
    <w:p w14:paraId="46746B75" w14:textId="77777777" w:rsidR="00110FE6" w:rsidRPr="00110FE6" w:rsidRDefault="00110FE6" w:rsidP="00110FE6">
      <w:pPr>
        <w:pStyle w:val="BodyText"/>
      </w:pPr>
    </w:p>
    <w:p w14:paraId="2F5D554D" w14:textId="77777777" w:rsidR="0084489F" w:rsidRDefault="00110FE6">
      <w:pPr>
        <w:pStyle w:val="Heading2"/>
      </w:pPr>
      <w:bookmarkStart w:id="217" w:name="_Toc176864490"/>
      <w:bookmarkStart w:id="218" w:name="e68-dissolution"/>
      <w:bookmarkEnd w:id="216"/>
      <w:r>
        <w:lastRenderedPageBreak/>
        <w:t>E68 Dissolution</w:t>
      </w:r>
      <w:bookmarkEnd w:id="217"/>
    </w:p>
    <w:p w14:paraId="2A9E2857" w14:textId="77777777" w:rsidR="0084489F" w:rsidRDefault="00110FE6">
      <w:pPr>
        <w:pStyle w:val="FirstParagraph"/>
      </w:pPr>
      <w:r>
        <w:rPr>
          <w:b/>
          <w:bCs/>
        </w:rPr>
        <w:t>Sous-classe de</w:t>
      </w:r>
    </w:p>
    <w:p w14:paraId="107E6262" w14:textId="77777777" w:rsidR="0084489F" w:rsidRDefault="00110FE6">
      <w:pPr>
        <w:pStyle w:val="BodyText"/>
      </w:pPr>
      <w:r>
        <w:rPr>
          <w:rStyle w:val="VerbatimChar"/>
        </w:rPr>
        <w:t>E64_Fin_d’existence</w:t>
      </w:r>
    </w:p>
    <w:p w14:paraId="5B90F5BC" w14:textId="77777777" w:rsidR="0084489F" w:rsidRDefault="00110FE6">
      <w:pPr>
        <w:pStyle w:val="BodyText"/>
      </w:pPr>
      <w:r>
        <w:rPr>
          <w:b/>
          <w:bCs/>
        </w:rPr>
        <w:t>Super-classe de</w:t>
      </w:r>
    </w:p>
    <w:p w14:paraId="6330069C" w14:textId="77777777" w:rsidR="0084489F" w:rsidRDefault="00110FE6">
      <w:pPr>
        <w:pStyle w:val="BodyText"/>
      </w:pPr>
      <w:r>
        <w:rPr>
          <w:b/>
          <w:bCs/>
        </w:rPr>
        <w:t>Note d’application</w:t>
      </w:r>
    </w:p>
    <w:p w14:paraId="447A7C4B" w14:textId="77777777" w:rsidR="0084489F" w:rsidRDefault="00110FE6">
      <w:pPr>
        <w:pStyle w:val="BodyText"/>
      </w:pPr>
      <w:r>
        <w:t xml:space="preserve">Cette classe comprend les évènements qui entraînent la fin formelle ou informelle d’une instance de </w:t>
      </w:r>
      <w:r>
        <w:rPr>
          <w:rStyle w:val="VerbatimChar"/>
        </w:rPr>
        <w:t>E74_Groupe</w:t>
      </w:r>
      <w:r>
        <w:t>.</w:t>
      </w:r>
    </w:p>
    <w:p w14:paraId="29FF191F" w14:textId="77777777" w:rsidR="0084489F" w:rsidRDefault="00110FE6">
      <w:pPr>
        <w:pStyle w:val="BodyText"/>
      </w:pPr>
      <w:r>
        <w:t xml:space="preserve">Si la dissolution était intentionnelle, l’évènement doit aussi être documenté comme une instance de </w:t>
      </w:r>
      <w:r>
        <w:rPr>
          <w:rStyle w:val="VerbatimChar"/>
        </w:rPr>
        <w:t>E7_Activité</w:t>
      </w:r>
      <w:r>
        <w:t>.</w:t>
      </w:r>
    </w:p>
    <w:p w14:paraId="3A7385DD" w14:textId="77777777" w:rsidR="0084489F" w:rsidRDefault="00110FE6" w:rsidP="00110FE6">
      <w:pPr>
        <w:pStyle w:val="BodyText"/>
        <w:keepNext/>
      </w:pPr>
      <w:r>
        <w:rPr>
          <w:b/>
          <w:bCs/>
        </w:rPr>
        <w:t>Exemples</w:t>
      </w:r>
    </w:p>
    <w:p w14:paraId="7CE353B0" w14:textId="50494F83" w:rsidR="0084489F" w:rsidRDefault="00110FE6" w:rsidP="00806324">
      <w:pPr>
        <w:keepNext/>
        <w:numPr>
          <w:ilvl w:val="0"/>
          <w:numId w:val="111"/>
        </w:numPr>
      </w:pPr>
      <w:r w:rsidRPr="1B9E7434">
        <w:rPr>
          <w:lang w:val="fr-FR"/>
        </w:rPr>
        <w:t>La chute de l’Empire romain (Whittington, 1964)</w:t>
      </w:r>
    </w:p>
    <w:p w14:paraId="380E7010" w14:textId="77777777" w:rsidR="0084489F" w:rsidRDefault="00110FE6" w:rsidP="00806324">
      <w:pPr>
        <w:numPr>
          <w:ilvl w:val="0"/>
          <w:numId w:val="111"/>
        </w:numPr>
      </w:pPr>
      <w:r>
        <w:t>La liquidation de Enron Corporation (Atlas, 2001)</w:t>
      </w:r>
    </w:p>
    <w:p w14:paraId="1CEDE9A9" w14:textId="77777777" w:rsidR="0084489F" w:rsidRDefault="00110FE6">
      <w:pPr>
        <w:pStyle w:val="FirstParagraph"/>
      </w:pPr>
      <w:r>
        <w:rPr>
          <w:b/>
          <w:bCs/>
        </w:rPr>
        <w:t>Logique</w:t>
      </w:r>
    </w:p>
    <w:p w14:paraId="6E29B5AF" w14:textId="77777777" w:rsidR="0084489F" w:rsidRDefault="00110FE6">
      <w:pPr>
        <w:pStyle w:val="BodyText"/>
      </w:pPr>
      <w:r>
        <w:t>E68(x) ⇒ E64(x)</w:t>
      </w:r>
    </w:p>
    <w:p w14:paraId="512BEABE" w14:textId="77777777" w:rsidR="0084489F" w:rsidRDefault="00110FE6">
      <w:pPr>
        <w:pStyle w:val="BodyText"/>
      </w:pPr>
      <w:r>
        <w:rPr>
          <w:b/>
          <w:bCs/>
        </w:rPr>
        <w:t>Propriétés</w:t>
      </w:r>
    </w:p>
    <w:p w14:paraId="1CD951B8" w14:textId="77777777" w:rsidR="0084489F" w:rsidRDefault="00110FE6">
      <w:pPr>
        <w:pStyle w:val="BodyText"/>
      </w:pPr>
      <w:r w:rsidRPr="1B9E7434">
        <w:rPr>
          <w:rStyle w:val="VerbatimChar"/>
          <w:lang w:val="fr-FR"/>
        </w:rPr>
        <w:t>P99_a_dissous (a_été_dissous_par)</w:t>
      </w:r>
      <w:r w:rsidRPr="1B9E7434">
        <w:rPr>
          <w:lang w:val="fr-FR"/>
        </w:rPr>
        <w:t xml:space="preserve"> : </w:t>
      </w:r>
      <w:r w:rsidRPr="1B9E7434">
        <w:rPr>
          <w:rStyle w:val="VerbatimChar"/>
          <w:lang w:val="fr-FR"/>
        </w:rPr>
        <w:t>E74_Groupe</w:t>
      </w:r>
    </w:p>
    <w:p w14:paraId="5820B963" w14:textId="77777777" w:rsidR="0084489F" w:rsidRDefault="00110FE6">
      <w:pPr>
        <w:pStyle w:val="BlockText"/>
      </w:pPr>
      <w:r>
        <w:rPr>
          <w:b/>
          <w:bCs/>
          <w:i/>
          <w:iCs/>
        </w:rPr>
        <w:t>Note de traduction</w:t>
      </w:r>
    </w:p>
    <w:p w14:paraId="7A74F7FB" w14:textId="77777777" w:rsidR="0084489F" w:rsidRDefault="00110FE6">
      <w:pPr>
        <w:pStyle w:val="BlockText"/>
      </w:pPr>
      <w:r>
        <w:rPr>
          <w:b/>
          <w:bCs/>
          <w:i/>
          <w:iCs/>
        </w:rPr>
        <w:t>Références</w:t>
      </w:r>
    </w:p>
    <w:p w14:paraId="745A6366" w14:textId="77777777" w:rsidR="0084489F" w:rsidRDefault="0084489F">
      <w:pPr>
        <w:pStyle w:val="BlockText"/>
      </w:pPr>
    </w:p>
    <w:p w14:paraId="4AA42CC6" w14:textId="77777777" w:rsidR="0084489F" w:rsidRDefault="00110FE6">
      <w:pPr>
        <w:pStyle w:val="Heading2"/>
      </w:pPr>
      <w:bookmarkStart w:id="219" w:name="_Toc176864491"/>
      <w:bookmarkStart w:id="220" w:name="e69-mort"/>
      <w:bookmarkEnd w:id="218"/>
      <w:r>
        <w:t>E69 Mort</w:t>
      </w:r>
      <w:bookmarkEnd w:id="219"/>
    </w:p>
    <w:p w14:paraId="1756975A" w14:textId="77777777" w:rsidR="0084489F" w:rsidRDefault="00110FE6">
      <w:pPr>
        <w:pStyle w:val="FirstParagraph"/>
      </w:pPr>
      <w:r>
        <w:rPr>
          <w:b/>
          <w:bCs/>
        </w:rPr>
        <w:t>Sous-classe de</w:t>
      </w:r>
    </w:p>
    <w:p w14:paraId="6FF90EFD" w14:textId="77777777" w:rsidR="0084489F" w:rsidRDefault="00110FE6">
      <w:pPr>
        <w:pStyle w:val="BodyText"/>
      </w:pPr>
      <w:r>
        <w:rPr>
          <w:rStyle w:val="VerbatimChar"/>
        </w:rPr>
        <w:t>E64_Fin_d’existence</w:t>
      </w:r>
    </w:p>
    <w:p w14:paraId="40C10210" w14:textId="77777777" w:rsidR="0084489F" w:rsidRDefault="00110FE6">
      <w:pPr>
        <w:pStyle w:val="BodyText"/>
      </w:pPr>
      <w:r>
        <w:rPr>
          <w:b/>
          <w:bCs/>
        </w:rPr>
        <w:t>Super-classe de</w:t>
      </w:r>
    </w:p>
    <w:p w14:paraId="4778E6EB" w14:textId="77777777" w:rsidR="0084489F" w:rsidRDefault="00110FE6">
      <w:pPr>
        <w:pStyle w:val="BodyText"/>
      </w:pPr>
      <w:r>
        <w:rPr>
          <w:b/>
          <w:bCs/>
        </w:rPr>
        <w:t>Note d’application</w:t>
      </w:r>
    </w:p>
    <w:p w14:paraId="043FADAD" w14:textId="77777777" w:rsidR="0084489F" w:rsidRDefault="00110FE6">
      <w:pPr>
        <w:pStyle w:val="BodyText"/>
      </w:pPr>
      <w:r>
        <w:t>Cette classe comprend les morts d’êtres humains.</w:t>
      </w:r>
    </w:p>
    <w:p w14:paraId="19F67355" w14:textId="77777777" w:rsidR="0084489F" w:rsidRDefault="00110FE6">
      <w:pPr>
        <w:pStyle w:val="BodyText"/>
      </w:pPr>
      <w:r>
        <w:t xml:space="preserve">Si une personne est </w:t>
      </w:r>
      <w:r>
        <w:rPr>
          <w:i/>
          <w:iCs/>
        </w:rPr>
        <w:t>tuée</w:t>
      </w:r>
      <w:r>
        <w:t xml:space="preserve">, la mort devrait être instanciée à la fois comme </w:t>
      </w:r>
      <w:r>
        <w:rPr>
          <w:rStyle w:val="VerbatimChar"/>
        </w:rPr>
        <w:t>E69_Mort</w:t>
      </w:r>
      <w:r>
        <w:t xml:space="preserve"> et </w:t>
      </w:r>
      <w:r>
        <w:rPr>
          <w:rStyle w:val="VerbatimChar"/>
        </w:rPr>
        <w:t>E7_Activité</w:t>
      </w:r>
      <w:r>
        <w:t xml:space="preserve">. La mort ou le périssement d’autres êtres vivants devraient être documentés comme une instance de </w:t>
      </w:r>
      <w:r>
        <w:rPr>
          <w:rStyle w:val="VerbatimChar"/>
        </w:rPr>
        <w:t>E64_Fin_d’existence</w:t>
      </w:r>
      <w:r>
        <w:t>.</w:t>
      </w:r>
    </w:p>
    <w:p w14:paraId="1EB3412C" w14:textId="77777777" w:rsidR="0084489F" w:rsidRDefault="00110FE6">
      <w:pPr>
        <w:pStyle w:val="BodyText"/>
      </w:pPr>
      <w:r>
        <w:rPr>
          <w:b/>
          <w:bCs/>
        </w:rPr>
        <w:t>Exemples</w:t>
      </w:r>
    </w:p>
    <w:p w14:paraId="5DD7FECA" w14:textId="77777777" w:rsidR="0084489F" w:rsidRDefault="00110FE6" w:rsidP="00806324">
      <w:pPr>
        <w:numPr>
          <w:ilvl w:val="0"/>
          <w:numId w:val="112"/>
        </w:numPr>
      </w:pPr>
      <w:r>
        <w:t>L’assassinat de Jules César (</w:t>
      </w:r>
      <w:r>
        <w:rPr>
          <w:rStyle w:val="VerbatimChar"/>
        </w:rPr>
        <w:t>E69_Mort</w:t>
      </w:r>
      <w:r>
        <w:t xml:space="preserve">, </w:t>
      </w:r>
      <w:r>
        <w:rPr>
          <w:rStyle w:val="VerbatimChar"/>
        </w:rPr>
        <w:t>E7_Activité</w:t>
      </w:r>
      <w:r>
        <w:t>) (Irwin, 1935)</w:t>
      </w:r>
    </w:p>
    <w:p w14:paraId="42566200" w14:textId="7C5A26AA" w:rsidR="0084489F" w:rsidRDefault="00110FE6" w:rsidP="00806324">
      <w:pPr>
        <w:numPr>
          <w:ilvl w:val="0"/>
          <w:numId w:val="112"/>
        </w:numPr>
      </w:pPr>
      <w:r w:rsidRPr="1B9E7434">
        <w:rPr>
          <w:lang w:val="fr-FR"/>
        </w:rPr>
        <w:t>La mort du sénateur Paul Wellstone (Monast &amp; Tao, 2002)</w:t>
      </w:r>
    </w:p>
    <w:p w14:paraId="06FA72F2" w14:textId="77777777" w:rsidR="0084489F" w:rsidRDefault="00110FE6">
      <w:pPr>
        <w:pStyle w:val="FirstParagraph"/>
      </w:pPr>
      <w:r>
        <w:rPr>
          <w:b/>
          <w:bCs/>
        </w:rPr>
        <w:t>Logique</w:t>
      </w:r>
    </w:p>
    <w:p w14:paraId="51185254" w14:textId="77777777" w:rsidR="0084489F" w:rsidRDefault="00110FE6">
      <w:pPr>
        <w:pStyle w:val="BodyText"/>
      </w:pPr>
      <w:r>
        <w:t>E69(x) ⇒ E64(x)</w:t>
      </w:r>
    </w:p>
    <w:p w14:paraId="2D1B44FF" w14:textId="77777777" w:rsidR="0084489F" w:rsidRDefault="00110FE6">
      <w:pPr>
        <w:pStyle w:val="BodyText"/>
      </w:pPr>
      <w:r>
        <w:rPr>
          <w:b/>
          <w:bCs/>
        </w:rPr>
        <w:lastRenderedPageBreak/>
        <w:t>Propriétés</w:t>
      </w:r>
    </w:p>
    <w:p w14:paraId="0A32B45F" w14:textId="77777777" w:rsidR="0084489F" w:rsidRDefault="00110FE6">
      <w:pPr>
        <w:pStyle w:val="BodyText"/>
      </w:pPr>
      <w:r w:rsidRPr="1B9E7434">
        <w:rPr>
          <w:rStyle w:val="VerbatimChar"/>
          <w:lang w:val="fr-FR"/>
        </w:rPr>
        <w:t>P100_a_été_la_mort_de (est_mort_par)</w:t>
      </w:r>
      <w:r w:rsidRPr="1B9E7434">
        <w:rPr>
          <w:lang w:val="fr-FR"/>
        </w:rPr>
        <w:t xml:space="preserve"> : </w:t>
      </w:r>
      <w:r w:rsidRPr="1B9E7434">
        <w:rPr>
          <w:rStyle w:val="VerbatimChar"/>
          <w:lang w:val="fr-FR"/>
        </w:rPr>
        <w:t>E21_Personne</w:t>
      </w:r>
    </w:p>
    <w:p w14:paraId="563E49CC" w14:textId="77777777" w:rsidR="0084489F" w:rsidRDefault="00110FE6">
      <w:pPr>
        <w:pStyle w:val="BlockText"/>
      </w:pPr>
      <w:r>
        <w:rPr>
          <w:b/>
          <w:bCs/>
          <w:i/>
          <w:iCs/>
        </w:rPr>
        <w:t>Note de traduction</w:t>
      </w:r>
    </w:p>
    <w:p w14:paraId="2EA1F42C" w14:textId="77777777" w:rsidR="0084489F" w:rsidRDefault="00110FE6">
      <w:pPr>
        <w:pStyle w:val="BlockText"/>
      </w:pPr>
      <w:r>
        <w:t xml:space="preserve">Puisque la classe </w:t>
      </w:r>
      <w:r>
        <w:rPr>
          <w:rStyle w:val="VerbatimChar"/>
        </w:rPr>
        <w:t>E69_Mort</w:t>
      </w:r>
      <w:r>
        <w:t xml:space="preserve"> comprend des morts naturelles et non naturelles d’humains, ce terme a été choisi plutôt que « décès ».</w:t>
      </w:r>
    </w:p>
    <w:p w14:paraId="16210664" w14:textId="77777777" w:rsidR="0084489F" w:rsidRDefault="00110FE6">
      <w:pPr>
        <w:pStyle w:val="BlockText"/>
      </w:pPr>
      <w:r w:rsidRPr="1B9E7434">
        <w:rPr>
          <w:lang w:val="fr-FR"/>
        </w:rPr>
        <w:t>Le terme « périssement » est peu commun, mais existe et a un sens équivalent à « </w:t>
      </w:r>
      <w:r w:rsidRPr="1B9E7434">
        <w:rPr>
          <w:i/>
          <w:iCs/>
          <w:lang w:val="fr-FR"/>
        </w:rPr>
        <w:t>perishing </w:t>
      </w:r>
      <w:r w:rsidRPr="1B9E7434">
        <w:rPr>
          <w:lang w:val="fr-FR"/>
        </w:rPr>
        <w:t>», de sorte qu’il a été privilégié ici.</w:t>
      </w:r>
    </w:p>
    <w:p w14:paraId="0BFEEBF8" w14:textId="77777777" w:rsidR="0084489F" w:rsidRDefault="00110FE6">
      <w:pPr>
        <w:pStyle w:val="BlockText"/>
      </w:pPr>
      <w:r>
        <w:rPr>
          <w:b/>
          <w:bCs/>
          <w:i/>
          <w:iCs/>
        </w:rPr>
        <w:t>Références</w:t>
      </w:r>
    </w:p>
    <w:p w14:paraId="4DAF4111" w14:textId="77777777" w:rsidR="0084489F" w:rsidRDefault="00110FE6">
      <w:pPr>
        <w:pStyle w:val="BlockText"/>
      </w:pPr>
      <w:r w:rsidRPr="1B9E7434">
        <w:rPr>
          <w:lang w:val="fr-FR"/>
        </w:rPr>
        <w:t xml:space="preserve">Centre National de Ressources Textuelles et Lexicales (CNRTL). « Périssement ». Dans </w:t>
      </w:r>
      <w:r w:rsidRPr="1B9E7434">
        <w:rPr>
          <w:i/>
          <w:iCs/>
          <w:lang w:val="fr-FR"/>
        </w:rPr>
        <w:t>Portail lexical du CNRTL</w:t>
      </w:r>
      <w:r w:rsidRPr="1B9E7434">
        <w:rPr>
          <w:lang w:val="fr-FR"/>
        </w:rPr>
        <w:t>. Nancy, FR-GES: Centre National de Ressources Textuelles et Lexicales (CNRTL), 2012.</w:t>
      </w:r>
      <w:hyperlink r:id="rId223">
        <w:r w:rsidRPr="1B9E7434">
          <w:rPr>
            <w:rStyle w:val="Hyperlink"/>
            <w:lang w:val="fr-FR"/>
          </w:rPr>
          <w:t xml:space="preserve"> </w:t>
        </w:r>
      </w:hyperlink>
      <w:hyperlink r:id="rId224">
        <w:r w:rsidRPr="1B9E7434">
          <w:rPr>
            <w:rStyle w:val="Hyperlink"/>
            <w:lang w:val="fr-FR"/>
          </w:rPr>
          <w:t>https://www.cnrtl.fr/definition/p%C3%A9rissement</w:t>
        </w:r>
      </w:hyperlink>
      <w:r w:rsidRPr="1B9E7434">
        <w:rPr>
          <w:lang w:val="fr-FR"/>
        </w:rPr>
        <w:t>.</w:t>
      </w:r>
    </w:p>
    <w:p w14:paraId="575FF6F3" w14:textId="77777777" w:rsidR="0084489F" w:rsidRDefault="00110FE6">
      <w:pPr>
        <w:pStyle w:val="Heading2"/>
      </w:pPr>
      <w:bookmarkStart w:id="221" w:name="_Toc176864492"/>
      <w:bookmarkStart w:id="222" w:name="e70-chose"/>
      <w:bookmarkEnd w:id="220"/>
      <w:r>
        <w:t>E70 Chose</w:t>
      </w:r>
      <w:bookmarkEnd w:id="221"/>
    </w:p>
    <w:p w14:paraId="1791B6F3" w14:textId="77777777" w:rsidR="0084489F" w:rsidRDefault="00110FE6">
      <w:pPr>
        <w:pStyle w:val="FirstParagraph"/>
      </w:pPr>
      <w:r>
        <w:rPr>
          <w:b/>
          <w:bCs/>
        </w:rPr>
        <w:t>Sous-classe de</w:t>
      </w:r>
    </w:p>
    <w:p w14:paraId="4C24469E" w14:textId="77777777" w:rsidR="0084489F" w:rsidRDefault="00110FE6">
      <w:pPr>
        <w:pStyle w:val="BodyText"/>
      </w:pPr>
      <w:r>
        <w:rPr>
          <w:rStyle w:val="VerbatimChar"/>
        </w:rPr>
        <w:t>E77_Entité_persistante</w:t>
      </w:r>
    </w:p>
    <w:p w14:paraId="26B5FA09" w14:textId="77777777" w:rsidR="0084489F" w:rsidRDefault="00110FE6">
      <w:pPr>
        <w:pStyle w:val="BodyText"/>
      </w:pPr>
      <w:r>
        <w:rPr>
          <w:b/>
          <w:bCs/>
        </w:rPr>
        <w:t>Super-classe de</w:t>
      </w:r>
    </w:p>
    <w:p w14:paraId="2E45EE8E" w14:textId="77777777" w:rsidR="0084489F" w:rsidRDefault="00110FE6">
      <w:pPr>
        <w:pStyle w:val="BodyText"/>
      </w:pPr>
      <w:r>
        <w:rPr>
          <w:rStyle w:val="VerbatimChar"/>
        </w:rPr>
        <w:t>E71_Chose_élaborée_par_l’humain</w:t>
      </w:r>
    </w:p>
    <w:p w14:paraId="4BDD9BC5" w14:textId="77777777" w:rsidR="0084489F" w:rsidRDefault="00110FE6">
      <w:pPr>
        <w:pStyle w:val="BodyText"/>
      </w:pPr>
      <w:r>
        <w:rPr>
          <w:rStyle w:val="VerbatimChar"/>
        </w:rPr>
        <w:t>E72_Objet_juridique</w:t>
      </w:r>
    </w:p>
    <w:p w14:paraId="0FADBAC6" w14:textId="77777777" w:rsidR="0084489F" w:rsidRDefault="00110FE6">
      <w:pPr>
        <w:pStyle w:val="BodyText"/>
      </w:pPr>
      <w:r>
        <w:rPr>
          <w:b/>
          <w:bCs/>
        </w:rPr>
        <w:t>Note d’application</w:t>
      </w:r>
    </w:p>
    <w:p w14:paraId="16E2E81E" w14:textId="77777777" w:rsidR="0084489F" w:rsidRDefault="00110FE6">
      <w:pPr>
        <w:pStyle w:val="BodyText"/>
      </w:pPr>
      <w:r>
        <w:t xml:space="preserve">Cette classe générale comprend les instances distinctes et identifiables de </w:t>
      </w:r>
      <w:r>
        <w:rPr>
          <w:rStyle w:val="VerbatimChar"/>
        </w:rPr>
        <w:t>E77_Entité_persistante</w:t>
      </w:r>
      <w:r>
        <w:t xml:space="preserve"> qui sont documentées comme des éléments uniques, qui sont constituées de matière ou qui dépendent de la matière qui les constitue et qui sont caractérisées par une certaine stabilité.</w:t>
      </w:r>
    </w:p>
    <w:p w14:paraId="19EF847E" w14:textId="77777777" w:rsidR="0084489F" w:rsidRDefault="00110FE6">
      <w:pPr>
        <w:pStyle w:val="BodyText"/>
      </w:pPr>
      <w:r w:rsidRPr="1B9E7434">
        <w:rPr>
          <w:lang w:val="fr-FR"/>
        </w:rPr>
        <w:t>Elles peuvent être des produits de l’intellect ou des choses physiques. Elles peuvent, par exemple, prendre une forme matérielle physique et solide, être un encodage électronique ou être un concept ou une structure logiques.</w:t>
      </w:r>
    </w:p>
    <w:p w14:paraId="14BA9517" w14:textId="77777777" w:rsidR="0084489F" w:rsidRDefault="00110FE6">
      <w:pPr>
        <w:pStyle w:val="BodyText"/>
      </w:pPr>
      <w:r>
        <w:rPr>
          <w:b/>
          <w:bCs/>
        </w:rPr>
        <w:t>Exemples</w:t>
      </w:r>
    </w:p>
    <w:p w14:paraId="54F6597D" w14:textId="77777777" w:rsidR="0084489F" w:rsidRDefault="00110FE6" w:rsidP="00806324">
      <w:pPr>
        <w:numPr>
          <w:ilvl w:val="0"/>
          <w:numId w:val="113"/>
        </w:numPr>
      </w:pPr>
      <w:r>
        <w:t>Ma collection de photographies (</w:t>
      </w:r>
      <w:r>
        <w:rPr>
          <w:rStyle w:val="VerbatimChar"/>
        </w:rPr>
        <w:t>E78_Collection</w:t>
      </w:r>
      <w:r>
        <w:t>) (fictif)</w:t>
      </w:r>
    </w:p>
    <w:p w14:paraId="09D3EADA" w14:textId="77777777" w:rsidR="0084489F" w:rsidRDefault="00110FE6" w:rsidP="00806324">
      <w:pPr>
        <w:numPr>
          <w:ilvl w:val="0"/>
          <w:numId w:val="113"/>
        </w:numPr>
      </w:pPr>
      <w:r>
        <w:t>La bouteille de lait dans mon réfrigérateur (</w:t>
      </w:r>
      <w:r>
        <w:rPr>
          <w:rStyle w:val="VerbatimChar"/>
        </w:rPr>
        <w:t>E22_Objet_élaboré_par_l’humain</w:t>
      </w:r>
      <w:r>
        <w:t>) (fictif)</w:t>
      </w:r>
    </w:p>
    <w:p w14:paraId="21E569E4" w14:textId="05694C67" w:rsidR="0084489F" w:rsidRDefault="00110FE6" w:rsidP="00806324">
      <w:pPr>
        <w:numPr>
          <w:ilvl w:val="0"/>
          <w:numId w:val="113"/>
        </w:numPr>
      </w:pPr>
      <w:r w:rsidRPr="1B9E7434">
        <w:rPr>
          <w:lang w:val="fr-FR"/>
        </w:rPr>
        <w:t>Le plan Riss A1 du Straßburger Münster (cathédrale Notre-Dame de Strasbourg) (</w:t>
      </w:r>
      <w:r w:rsidRPr="1B9E7434">
        <w:rPr>
          <w:rStyle w:val="VerbatimChar"/>
          <w:lang w:val="fr-FR"/>
        </w:rPr>
        <w:t>E29_Conceptualisation_ou_procédure</w:t>
      </w:r>
      <w:r w:rsidRPr="1B9E7434">
        <w:rPr>
          <w:lang w:val="fr-FR"/>
        </w:rPr>
        <w:t>) (Liess, R., 1985)</w:t>
      </w:r>
    </w:p>
    <w:p w14:paraId="791C083F" w14:textId="77777777" w:rsidR="0084489F" w:rsidRDefault="00110FE6" w:rsidP="00806324">
      <w:pPr>
        <w:numPr>
          <w:ilvl w:val="0"/>
          <w:numId w:val="113"/>
        </w:numPr>
      </w:pPr>
      <w:r>
        <w:t>La chose sur le bureau d’Otto Hahn (</w:t>
      </w:r>
      <w:r>
        <w:rPr>
          <w:rStyle w:val="VerbatimChar"/>
        </w:rPr>
        <w:t>E19_Objet_matériel)</w:t>
      </w:r>
    </w:p>
    <w:p w14:paraId="43755079" w14:textId="4B14FE1E" w:rsidR="0084489F" w:rsidRDefault="00110FE6" w:rsidP="00806324">
      <w:pPr>
        <w:numPr>
          <w:ilvl w:val="0"/>
          <w:numId w:val="113"/>
        </w:numPr>
      </w:pPr>
      <w:r w:rsidRPr="1B9E7434">
        <w:rPr>
          <w:lang w:val="fr-FR"/>
        </w:rPr>
        <w:t>La forme du panneau « non fumeur » (</w:t>
      </w:r>
      <w:r w:rsidRPr="1B9E7434">
        <w:rPr>
          <w:rStyle w:val="VerbatimChar"/>
          <w:lang w:val="fr-FR"/>
        </w:rPr>
        <w:t>E36_Entité_visuelle</w:t>
      </w:r>
      <w:r w:rsidRPr="1B9E7434">
        <w:rPr>
          <w:lang w:val="fr-FR"/>
        </w:rPr>
        <w:t>)</w:t>
      </w:r>
    </w:p>
    <w:p w14:paraId="069D07E7" w14:textId="574F4C57" w:rsidR="0084489F" w:rsidRDefault="00110FE6" w:rsidP="00806324">
      <w:pPr>
        <w:numPr>
          <w:ilvl w:val="0"/>
          <w:numId w:val="113"/>
        </w:numPr>
      </w:pPr>
      <w:r w:rsidRPr="1B9E7434">
        <w:rPr>
          <w:lang w:val="fr-FR"/>
        </w:rPr>
        <w:t>Les grottes de Diros, [n.d.t. péninsule du] Magne, Grèce (</w:t>
      </w:r>
      <w:r w:rsidRPr="1B9E7434">
        <w:rPr>
          <w:rStyle w:val="VerbatimChar"/>
          <w:lang w:val="fr-FR"/>
        </w:rPr>
        <w:t>E26_Caractéristique_physique</w:t>
      </w:r>
      <w:r w:rsidRPr="1B9E7434">
        <w:rPr>
          <w:lang w:val="fr-FR"/>
        </w:rPr>
        <w:t>) (Psimenos, 2005)</w:t>
      </w:r>
    </w:p>
    <w:p w14:paraId="5144E981" w14:textId="77777777" w:rsidR="0084489F" w:rsidRDefault="00110FE6">
      <w:pPr>
        <w:pStyle w:val="FirstParagraph"/>
      </w:pPr>
      <w:r>
        <w:rPr>
          <w:b/>
          <w:bCs/>
        </w:rPr>
        <w:t>Logique</w:t>
      </w:r>
    </w:p>
    <w:p w14:paraId="5BBEE9BB" w14:textId="77777777" w:rsidR="0084489F" w:rsidRDefault="00110FE6">
      <w:pPr>
        <w:pStyle w:val="BodyText"/>
      </w:pPr>
      <w:r>
        <w:t>E70(x) ⇒ E77(x)</w:t>
      </w:r>
    </w:p>
    <w:p w14:paraId="46198C0A" w14:textId="77777777" w:rsidR="0084489F" w:rsidRDefault="00110FE6">
      <w:pPr>
        <w:pStyle w:val="BodyText"/>
      </w:pPr>
      <w:r>
        <w:rPr>
          <w:b/>
          <w:bCs/>
        </w:rPr>
        <w:t>Propriétés</w:t>
      </w:r>
    </w:p>
    <w:p w14:paraId="5D1E450E" w14:textId="77777777" w:rsidR="0084489F" w:rsidRDefault="00110FE6">
      <w:pPr>
        <w:pStyle w:val="BodyText"/>
      </w:pPr>
      <w:r w:rsidRPr="1B9E7434">
        <w:rPr>
          <w:rStyle w:val="VerbatimChar"/>
          <w:lang w:val="fr-FR"/>
        </w:rPr>
        <w:lastRenderedPageBreak/>
        <w:t>P43_a_pour_dimension (est_la_dimension_de)</w:t>
      </w:r>
      <w:r w:rsidRPr="1B9E7434">
        <w:rPr>
          <w:lang w:val="fr-FR"/>
        </w:rPr>
        <w:t xml:space="preserve"> : </w:t>
      </w:r>
      <w:r w:rsidRPr="1B9E7434">
        <w:rPr>
          <w:rStyle w:val="VerbatimChar"/>
          <w:lang w:val="fr-FR"/>
        </w:rPr>
        <w:t>E54_Dimension</w:t>
      </w:r>
    </w:p>
    <w:p w14:paraId="6D4C19BA" w14:textId="77777777" w:rsidR="0084489F" w:rsidRDefault="00110FE6">
      <w:pPr>
        <w:pStyle w:val="BodyText"/>
      </w:pPr>
      <w:r w:rsidRPr="1B9E7434">
        <w:rPr>
          <w:rStyle w:val="VerbatimChar"/>
          <w:lang w:val="fr-FR"/>
        </w:rPr>
        <w:t>P101_a_eu pour_usage_général (a_été_l'usage général_de)</w:t>
      </w:r>
      <w:r w:rsidRPr="1B9E7434">
        <w:rPr>
          <w:lang w:val="fr-FR"/>
        </w:rPr>
        <w:t xml:space="preserve"> : </w:t>
      </w:r>
      <w:r w:rsidRPr="1B9E7434">
        <w:rPr>
          <w:rStyle w:val="VerbatimChar"/>
          <w:lang w:val="fr-FR"/>
        </w:rPr>
        <w:t>E55_Type</w:t>
      </w:r>
    </w:p>
    <w:p w14:paraId="1B83E723" w14:textId="77777777" w:rsidR="0084489F" w:rsidRDefault="00110FE6">
      <w:pPr>
        <w:pStyle w:val="BodyText"/>
      </w:pPr>
      <w:r w:rsidRPr="1B9E7434">
        <w:rPr>
          <w:rStyle w:val="VerbatimChar"/>
          <w:lang w:val="fr-FR"/>
        </w:rPr>
        <w:t>P130_présente_les_caractéristiques_de (a_les_caractéristiques_également_présentes_sur)</w:t>
      </w:r>
      <w:r w:rsidRPr="1B9E7434">
        <w:rPr>
          <w:lang w:val="fr-FR"/>
        </w:rPr>
        <w:t xml:space="preserve"> : </w:t>
      </w:r>
      <w:r w:rsidRPr="1B9E7434">
        <w:rPr>
          <w:rStyle w:val="VerbatimChar"/>
          <w:lang w:val="fr-FR"/>
        </w:rPr>
        <w:t>E70_Chose</w:t>
      </w:r>
    </w:p>
    <w:p w14:paraId="2E46F937" w14:textId="77777777" w:rsidR="0084489F" w:rsidRDefault="00110FE6">
      <w:pPr>
        <w:pStyle w:val="BodyText"/>
      </w:pPr>
      <w:r>
        <w:t>(</w:t>
      </w:r>
      <w:r>
        <w:rPr>
          <w:rStyle w:val="VerbatimChar"/>
        </w:rPr>
        <w:t>P130.1_sorte_de_similarité</w:t>
      </w:r>
      <w:r>
        <w:t xml:space="preserve"> : </w:t>
      </w:r>
      <w:r>
        <w:rPr>
          <w:rStyle w:val="VerbatimChar"/>
        </w:rPr>
        <w:t>E55_Type</w:t>
      </w:r>
      <w:r>
        <w:t>)</w:t>
      </w:r>
    </w:p>
    <w:p w14:paraId="73D3821A" w14:textId="77777777" w:rsidR="0084489F" w:rsidRDefault="00110FE6">
      <w:pPr>
        <w:pStyle w:val="BlockText"/>
      </w:pPr>
      <w:r>
        <w:rPr>
          <w:b/>
          <w:bCs/>
          <w:i/>
          <w:iCs/>
        </w:rPr>
        <w:t>Note de traduction</w:t>
      </w:r>
    </w:p>
    <w:p w14:paraId="14331875" w14:textId="77777777" w:rsidR="0084489F" w:rsidRDefault="00110FE6">
      <w:pPr>
        <w:pStyle w:val="BlockText"/>
      </w:pPr>
      <w:r>
        <w:rPr>
          <w:b/>
          <w:bCs/>
          <w:i/>
          <w:iCs/>
        </w:rPr>
        <w:t>Références</w:t>
      </w:r>
    </w:p>
    <w:p w14:paraId="073E0178" w14:textId="77777777" w:rsidR="0084489F" w:rsidRDefault="0084489F">
      <w:pPr>
        <w:pStyle w:val="BlockText"/>
      </w:pPr>
    </w:p>
    <w:p w14:paraId="70CB1E93" w14:textId="77777777" w:rsidR="0084489F" w:rsidRDefault="00110FE6">
      <w:pPr>
        <w:pStyle w:val="Heading2"/>
      </w:pPr>
      <w:bookmarkStart w:id="223" w:name="_Toc176864493"/>
      <w:bookmarkStart w:id="224" w:name="e71-chose-elaboree-par-lhumain"/>
      <w:bookmarkEnd w:id="222"/>
      <w:r>
        <w:t>E71 Chose élaborée par l’humain</w:t>
      </w:r>
      <w:bookmarkEnd w:id="223"/>
    </w:p>
    <w:p w14:paraId="3B60E045" w14:textId="77777777" w:rsidR="0084489F" w:rsidRDefault="00110FE6">
      <w:pPr>
        <w:pStyle w:val="FirstParagraph"/>
      </w:pPr>
      <w:r>
        <w:rPr>
          <w:b/>
          <w:bCs/>
        </w:rPr>
        <w:t>Sous-classe de</w:t>
      </w:r>
    </w:p>
    <w:p w14:paraId="0E887C14" w14:textId="77777777" w:rsidR="0084489F" w:rsidRDefault="00110FE6">
      <w:pPr>
        <w:pStyle w:val="BodyText"/>
      </w:pPr>
      <w:r>
        <w:rPr>
          <w:rStyle w:val="VerbatimChar"/>
        </w:rPr>
        <w:t>E70_Chose</w:t>
      </w:r>
    </w:p>
    <w:p w14:paraId="250CC9E8" w14:textId="77777777" w:rsidR="0084489F" w:rsidRDefault="00110FE6">
      <w:pPr>
        <w:pStyle w:val="BodyText"/>
      </w:pPr>
      <w:r>
        <w:rPr>
          <w:b/>
          <w:bCs/>
        </w:rPr>
        <w:t>Super-classe de</w:t>
      </w:r>
    </w:p>
    <w:p w14:paraId="76AA9D6C" w14:textId="77777777" w:rsidR="0084489F" w:rsidRDefault="00110FE6">
      <w:pPr>
        <w:pStyle w:val="BodyText"/>
      </w:pPr>
      <w:r>
        <w:rPr>
          <w:rStyle w:val="VerbatimChar"/>
        </w:rPr>
        <w:t>E24_Chose_matérielle_élaborée_par_l’humain</w:t>
      </w:r>
    </w:p>
    <w:p w14:paraId="0A6637C4" w14:textId="77777777" w:rsidR="0084489F" w:rsidRDefault="00110FE6">
      <w:pPr>
        <w:pStyle w:val="BodyText"/>
      </w:pPr>
      <w:r>
        <w:rPr>
          <w:rStyle w:val="VerbatimChar"/>
        </w:rPr>
        <w:t>E28_Objet_conceptuel</w:t>
      </w:r>
    </w:p>
    <w:p w14:paraId="0E7613AD" w14:textId="77777777" w:rsidR="0084489F" w:rsidRDefault="00110FE6">
      <w:pPr>
        <w:pStyle w:val="BodyText"/>
      </w:pPr>
      <w:r>
        <w:rPr>
          <w:b/>
          <w:bCs/>
        </w:rPr>
        <w:t>Note d’application</w:t>
      </w:r>
    </w:p>
    <w:p w14:paraId="62DD9389" w14:textId="77777777" w:rsidR="0084489F" w:rsidRDefault="00110FE6">
      <w:pPr>
        <w:pStyle w:val="BodyText"/>
      </w:pPr>
      <w:r>
        <w:t>Cette classe comprend les entités élaborées par l’humain distinctes et identifiables qui sont documentées comme des éléments uniques.</w:t>
      </w:r>
    </w:p>
    <w:p w14:paraId="6971D7BE" w14:textId="77777777" w:rsidR="0084489F" w:rsidRDefault="00110FE6">
      <w:pPr>
        <w:pStyle w:val="BodyText"/>
      </w:pPr>
      <w:r>
        <w:t>Ces entités sont soit des produits de l’intellect ou des choses physiques élaborées par l’humain et sont caractérisées par une certaine stabilité. Elles peuvent, par exemple, prendre une forme matérielle physique et solide, être un encodage électronique ou être des concepts ou structures logiques.</w:t>
      </w:r>
    </w:p>
    <w:p w14:paraId="4F6E8038" w14:textId="77777777" w:rsidR="0084489F" w:rsidRDefault="00110FE6">
      <w:pPr>
        <w:pStyle w:val="BodyText"/>
      </w:pPr>
      <w:r>
        <w:rPr>
          <w:b/>
          <w:bCs/>
        </w:rPr>
        <w:t>Exemples</w:t>
      </w:r>
    </w:p>
    <w:p w14:paraId="5D39C945" w14:textId="77777777" w:rsidR="0084489F" w:rsidRDefault="00110FE6" w:rsidP="00806324">
      <w:pPr>
        <w:numPr>
          <w:ilvl w:val="0"/>
          <w:numId w:val="114"/>
        </w:numPr>
      </w:pPr>
      <w:r>
        <w:t>La cinquième symphonie de Beethoven (</w:t>
      </w:r>
      <w:r>
        <w:rPr>
          <w:rStyle w:val="VerbatimChar"/>
        </w:rPr>
        <w:t>E73_Objet_informationnel</w:t>
      </w:r>
      <w:r>
        <w:t>) (Lockwood, 2015)</w:t>
      </w:r>
    </w:p>
    <w:p w14:paraId="0CEB4F9C" w14:textId="43671E2B" w:rsidR="0084489F" w:rsidRDefault="00110FE6" w:rsidP="00806324">
      <w:pPr>
        <w:numPr>
          <w:ilvl w:val="0"/>
          <w:numId w:val="114"/>
        </w:numPr>
      </w:pPr>
      <w:r w:rsidRPr="1B9E7434">
        <w:rPr>
          <w:lang w:val="fr-FR"/>
        </w:rPr>
        <w:t>Le David de Michel-Ange (</w:t>
      </w:r>
      <w:r w:rsidRPr="1B9E7434">
        <w:rPr>
          <w:rStyle w:val="VerbatimChar"/>
          <w:lang w:val="fr-FR"/>
        </w:rPr>
        <w:t>E22_Objet_élaboré_par_l’humain</w:t>
      </w:r>
      <w:r w:rsidRPr="1B9E7434">
        <w:rPr>
          <w:lang w:val="fr-FR"/>
        </w:rPr>
        <w:t>) (Paoletti &amp; Bagemihl, 2015)</w:t>
      </w:r>
    </w:p>
    <w:p w14:paraId="3A59CA98" w14:textId="089A093B" w:rsidR="0084489F" w:rsidRDefault="00110FE6" w:rsidP="00806324">
      <w:pPr>
        <w:numPr>
          <w:ilvl w:val="0"/>
          <w:numId w:val="114"/>
        </w:numPr>
      </w:pPr>
      <w:r w:rsidRPr="1B9E7434">
        <w:rPr>
          <w:lang w:val="fr-FR"/>
        </w:rPr>
        <w:t>La théorie de la relativité générale d’Einstein (</w:t>
      </w:r>
      <w:r w:rsidRPr="1B9E7434">
        <w:rPr>
          <w:rStyle w:val="VerbatimChar"/>
          <w:lang w:val="fr-FR"/>
        </w:rPr>
        <w:t>E89_Objet_propositionnel</w:t>
      </w:r>
      <w:r w:rsidRPr="1B9E7434">
        <w:rPr>
          <w:lang w:val="fr-FR"/>
        </w:rPr>
        <w:t>) (Hartle, 2003)</w:t>
      </w:r>
    </w:p>
    <w:p w14:paraId="21BE0888" w14:textId="6967BE21" w:rsidR="0084489F" w:rsidRDefault="00110FE6" w:rsidP="00806324">
      <w:pPr>
        <w:numPr>
          <w:ilvl w:val="0"/>
          <w:numId w:val="114"/>
        </w:numPr>
      </w:pPr>
      <w:r w:rsidRPr="1B9E7434">
        <w:rPr>
          <w:lang w:val="fr-FR"/>
        </w:rPr>
        <w:t>Le taxon « Fringilla cœlebs Linnæus,1758 » (</w:t>
      </w:r>
      <w:r w:rsidRPr="1B9E7434">
        <w:rPr>
          <w:rStyle w:val="VerbatimChar"/>
          <w:lang w:val="fr-FR"/>
        </w:rPr>
        <w:t>E55_Type</w:t>
      </w:r>
      <w:r w:rsidRPr="1B9E7434">
        <w:rPr>
          <w:lang w:val="fr-FR"/>
        </w:rPr>
        <w:t>) (Sinkevicius &amp; Narusevicius, 2002)</w:t>
      </w:r>
    </w:p>
    <w:p w14:paraId="1259FEAF" w14:textId="77777777" w:rsidR="0084489F" w:rsidRDefault="00110FE6">
      <w:pPr>
        <w:pStyle w:val="FirstParagraph"/>
      </w:pPr>
      <w:r>
        <w:rPr>
          <w:b/>
          <w:bCs/>
        </w:rPr>
        <w:t>Logique</w:t>
      </w:r>
    </w:p>
    <w:p w14:paraId="218C38AC" w14:textId="77777777" w:rsidR="0084489F" w:rsidRDefault="00110FE6">
      <w:pPr>
        <w:pStyle w:val="BodyText"/>
      </w:pPr>
      <w:r>
        <w:t>E71(x) ⇒ E70(x)</w:t>
      </w:r>
    </w:p>
    <w:p w14:paraId="1B66E1B3" w14:textId="77777777" w:rsidR="0084489F" w:rsidRDefault="00110FE6">
      <w:pPr>
        <w:pStyle w:val="BodyText"/>
      </w:pPr>
      <w:r>
        <w:rPr>
          <w:b/>
          <w:bCs/>
        </w:rPr>
        <w:t>Propriétés</w:t>
      </w:r>
    </w:p>
    <w:p w14:paraId="54ED40E1" w14:textId="77777777" w:rsidR="0084489F" w:rsidRDefault="00110FE6">
      <w:pPr>
        <w:pStyle w:val="BodyText"/>
      </w:pPr>
      <w:r w:rsidRPr="1B9E7434">
        <w:rPr>
          <w:rStyle w:val="VerbatimChar"/>
          <w:lang w:val="fr-FR"/>
        </w:rPr>
        <w:t>P102_a_pour_titre (est_le_titre_de)</w:t>
      </w:r>
      <w:r w:rsidRPr="1B9E7434">
        <w:rPr>
          <w:lang w:val="fr-FR"/>
        </w:rPr>
        <w:t xml:space="preserve"> : </w:t>
      </w:r>
      <w:r w:rsidRPr="1B9E7434">
        <w:rPr>
          <w:rStyle w:val="VerbatimChar"/>
          <w:lang w:val="fr-FR"/>
        </w:rPr>
        <w:t>E35_Titre</w:t>
      </w:r>
    </w:p>
    <w:p w14:paraId="2CDEE210" w14:textId="77777777" w:rsidR="0084489F" w:rsidRDefault="00110FE6">
      <w:pPr>
        <w:pStyle w:val="BodyText"/>
      </w:pPr>
      <w:r>
        <w:t>(</w:t>
      </w:r>
      <w:r>
        <w:rPr>
          <w:rStyle w:val="VerbatimChar"/>
        </w:rPr>
        <w:t>P102.1_a_pour_type</w:t>
      </w:r>
      <w:r>
        <w:t xml:space="preserve"> : </w:t>
      </w:r>
      <w:r>
        <w:rPr>
          <w:rStyle w:val="VerbatimChar"/>
        </w:rPr>
        <w:t>E55_Type</w:t>
      </w:r>
      <w:r>
        <w:t>)</w:t>
      </w:r>
    </w:p>
    <w:p w14:paraId="7D934FFB" w14:textId="77777777" w:rsidR="0084489F" w:rsidRDefault="00110FE6">
      <w:pPr>
        <w:pStyle w:val="BodyText"/>
      </w:pPr>
      <w:r w:rsidRPr="1B9E7434">
        <w:rPr>
          <w:rStyle w:val="VerbatimChar"/>
          <w:lang w:val="fr-FR"/>
        </w:rPr>
        <w:t>P103_a_eu_pour_raison_d'être (a_été_la_raison_d'être_de)</w:t>
      </w:r>
      <w:r w:rsidRPr="1B9E7434">
        <w:rPr>
          <w:lang w:val="fr-FR"/>
        </w:rPr>
        <w:t xml:space="preserve"> : </w:t>
      </w:r>
      <w:r w:rsidRPr="1B9E7434">
        <w:rPr>
          <w:rStyle w:val="VerbatimChar"/>
          <w:lang w:val="fr-FR"/>
        </w:rPr>
        <w:t>E55_Type</w:t>
      </w:r>
    </w:p>
    <w:p w14:paraId="17705E07" w14:textId="77777777" w:rsidR="0084489F" w:rsidRDefault="00110FE6">
      <w:pPr>
        <w:pStyle w:val="BlockText"/>
      </w:pPr>
      <w:r>
        <w:rPr>
          <w:b/>
          <w:bCs/>
          <w:i/>
          <w:iCs/>
        </w:rPr>
        <w:t>Note de traduction</w:t>
      </w:r>
    </w:p>
    <w:p w14:paraId="4CD3E02D" w14:textId="77777777" w:rsidR="0084489F" w:rsidRDefault="00110FE6">
      <w:pPr>
        <w:pStyle w:val="BlockText"/>
      </w:pPr>
      <w:r>
        <w:rPr>
          <w:b/>
          <w:bCs/>
          <w:i/>
          <w:iCs/>
        </w:rPr>
        <w:t>Références</w:t>
      </w:r>
    </w:p>
    <w:p w14:paraId="774BE993" w14:textId="77777777" w:rsidR="0084489F" w:rsidRDefault="0084489F">
      <w:pPr>
        <w:pStyle w:val="BlockText"/>
      </w:pPr>
    </w:p>
    <w:p w14:paraId="364C9454" w14:textId="77777777" w:rsidR="0084489F" w:rsidRDefault="00110FE6">
      <w:pPr>
        <w:pStyle w:val="Heading2"/>
      </w:pPr>
      <w:bookmarkStart w:id="225" w:name="_Toc176864494"/>
      <w:bookmarkStart w:id="226" w:name="e72-objet-juridique"/>
      <w:bookmarkEnd w:id="224"/>
      <w:r>
        <w:t>E72 Objet juridique</w:t>
      </w:r>
      <w:bookmarkEnd w:id="225"/>
    </w:p>
    <w:p w14:paraId="32E331F5" w14:textId="77777777" w:rsidR="0084489F" w:rsidRDefault="00110FE6">
      <w:pPr>
        <w:pStyle w:val="FirstParagraph"/>
      </w:pPr>
      <w:r>
        <w:rPr>
          <w:b/>
          <w:bCs/>
        </w:rPr>
        <w:t>Sous-classe de</w:t>
      </w:r>
    </w:p>
    <w:p w14:paraId="51005CDE" w14:textId="77777777" w:rsidR="0084489F" w:rsidRDefault="00110FE6">
      <w:pPr>
        <w:pStyle w:val="BodyText"/>
      </w:pPr>
      <w:r>
        <w:rPr>
          <w:rStyle w:val="VerbatimChar"/>
        </w:rPr>
        <w:t>E70_Chose</w:t>
      </w:r>
    </w:p>
    <w:p w14:paraId="15F79AD3" w14:textId="77777777" w:rsidR="0084489F" w:rsidRDefault="00110FE6">
      <w:pPr>
        <w:pStyle w:val="BodyText"/>
      </w:pPr>
      <w:r>
        <w:rPr>
          <w:b/>
          <w:bCs/>
        </w:rPr>
        <w:t>Super-classe de</w:t>
      </w:r>
    </w:p>
    <w:p w14:paraId="56FB52E3" w14:textId="77777777" w:rsidR="0084489F" w:rsidRDefault="00110FE6">
      <w:pPr>
        <w:pStyle w:val="BodyText"/>
      </w:pPr>
      <w:r>
        <w:rPr>
          <w:rStyle w:val="VerbatimChar"/>
        </w:rPr>
        <w:t>E18_Chose_matérielle</w:t>
      </w:r>
    </w:p>
    <w:p w14:paraId="02A7BE30" w14:textId="77777777" w:rsidR="0084489F" w:rsidRDefault="00110FE6">
      <w:pPr>
        <w:pStyle w:val="BodyText"/>
      </w:pPr>
      <w:r>
        <w:rPr>
          <w:rStyle w:val="VerbatimChar"/>
        </w:rPr>
        <w:t>E90_Objet_symbolique</w:t>
      </w:r>
    </w:p>
    <w:p w14:paraId="7837E43E" w14:textId="77777777" w:rsidR="0084489F" w:rsidRDefault="00110FE6">
      <w:pPr>
        <w:pStyle w:val="BodyText"/>
      </w:pPr>
      <w:r>
        <w:rPr>
          <w:b/>
          <w:bCs/>
        </w:rPr>
        <w:t>Note d’application</w:t>
      </w:r>
    </w:p>
    <w:p w14:paraId="133C1032" w14:textId="77777777" w:rsidR="0084489F" w:rsidRDefault="00110FE6">
      <w:pPr>
        <w:pStyle w:val="BodyText"/>
      </w:pPr>
      <w:r>
        <w:t xml:space="preserve">Cette classe comprend les entités matérielles ou immatérielles auxquelles des instances de </w:t>
      </w:r>
      <w:r>
        <w:rPr>
          <w:rStyle w:val="VerbatimChar"/>
        </w:rPr>
        <w:t>E30_Droit</w:t>
      </w:r>
      <w:r>
        <w:t>, telles que le droit de propriété ou d'utilisation, peuvent être appliquées.</w:t>
      </w:r>
    </w:p>
    <w:p w14:paraId="02460757" w14:textId="77777777" w:rsidR="0084489F" w:rsidRDefault="00110FE6">
      <w:pPr>
        <w:pStyle w:val="BodyText"/>
      </w:pPr>
      <w:r>
        <w:t xml:space="preserve">Cela est généralement vrai pour toutes les instances de </w:t>
      </w:r>
      <w:r>
        <w:rPr>
          <w:rStyle w:val="VerbatimChar"/>
        </w:rPr>
        <w:t>E18_Chose_matérielle</w:t>
      </w:r>
      <w:r>
        <w:t xml:space="preserve">. Dans le cas des instances de </w:t>
      </w:r>
      <w:r>
        <w:rPr>
          <w:rStyle w:val="VerbatimChar"/>
        </w:rPr>
        <w:t>E28_Objet_conceptuel</w:t>
      </w:r>
      <w:r>
        <w:t xml:space="preserve">, cependant, leur identité ou la méthode de leur utilisation peuvent se révéler trop ambigus pour établir de manière fiable des instances de </w:t>
      </w:r>
      <w:r>
        <w:rPr>
          <w:rStyle w:val="VerbatimChar"/>
        </w:rPr>
        <w:t>E30_Droit</w:t>
      </w:r>
      <w:r>
        <w:t>, comme dans le cas des taxons et des inspirations. La propriété d'entreprises est actuellement considérée comme étant hors du champ d'application du CIDOC CRM.</w:t>
      </w:r>
    </w:p>
    <w:p w14:paraId="5394386C" w14:textId="77777777" w:rsidR="0084489F" w:rsidRDefault="00110FE6">
      <w:pPr>
        <w:pStyle w:val="BodyText"/>
      </w:pPr>
      <w:r>
        <w:rPr>
          <w:b/>
          <w:bCs/>
        </w:rPr>
        <w:t>Exemples</w:t>
      </w:r>
    </w:p>
    <w:p w14:paraId="78455A54" w14:textId="7562A306" w:rsidR="0084489F" w:rsidRDefault="00110FE6" w:rsidP="00806324">
      <w:pPr>
        <w:numPr>
          <w:ilvl w:val="0"/>
          <w:numId w:val="115"/>
        </w:numPr>
      </w:pPr>
      <w:r w:rsidRPr="1B9E7434">
        <w:rPr>
          <w:lang w:val="fr-FR"/>
        </w:rPr>
        <w:t>Le diamant Cullinan (</w:t>
      </w:r>
      <w:r w:rsidRPr="1B9E7434">
        <w:rPr>
          <w:rStyle w:val="VerbatimChar"/>
          <w:lang w:val="fr-FR"/>
        </w:rPr>
        <w:t>E19_Objet_matériel</w:t>
      </w:r>
      <w:r w:rsidRPr="1B9E7434">
        <w:rPr>
          <w:lang w:val="fr-FR"/>
        </w:rPr>
        <w:t>) (Scarratt &amp; Shor, 2006)</w:t>
      </w:r>
    </w:p>
    <w:p w14:paraId="17A74A38" w14:textId="26BEFCF0" w:rsidR="0084489F" w:rsidRDefault="00110FE6" w:rsidP="00806324">
      <w:pPr>
        <w:numPr>
          <w:ilvl w:val="0"/>
          <w:numId w:val="115"/>
        </w:numPr>
      </w:pPr>
      <w:r w:rsidRPr="1B9E7434">
        <w:rPr>
          <w:lang w:val="fr-FR"/>
        </w:rPr>
        <w:t>Définition du Modèle conceptuel de référence du  CIDOC, Version 5.0.4 (</w:t>
      </w:r>
      <w:r w:rsidRPr="1B9E7434">
        <w:rPr>
          <w:rStyle w:val="VerbatimChar"/>
          <w:lang w:val="fr-FR"/>
        </w:rPr>
        <w:t>E73_Objet_informationnel</w:t>
      </w:r>
      <w:r w:rsidRPr="1B9E7434">
        <w:rPr>
          <w:lang w:val="fr-FR"/>
        </w:rPr>
        <w:t>) (ISO 21127:2014)</w:t>
      </w:r>
    </w:p>
    <w:p w14:paraId="07D70A02" w14:textId="77777777" w:rsidR="0084489F" w:rsidRDefault="00110FE6">
      <w:pPr>
        <w:pStyle w:val="FirstParagraph"/>
      </w:pPr>
      <w:r>
        <w:rPr>
          <w:b/>
          <w:bCs/>
        </w:rPr>
        <w:t>Logique</w:t>
      </w:r>
    </w:p>
    <w:p w14:paraId="5FA7A306" w14:textId="77777777" w:rsidR="0084489F" w:rsidRDefault="00110FE6">
      <w:pPr>
        <w:pStyle w:val="BodyText"/>
      </w:pPr>
      <w:r>
        <w:t>E72(x) ⇒ E70(x)</w:t>
      </w:r>
    </w:p>
    <w:p w14:paraId="3D261524" w14:textId="77777777" w:rsidR="0084489F" w:rsidRDefault="00110FE6">
      <w:pPr>
        <w:pStyle w:val="BodyText"/>
      </w:pPr>
      <w:r>
        <w:rPr>
          <w:b/>
          <w:bCs/>
        </w:rPr>
        <w:t>Propriétés</w:t>
      </w:r>
    </w:p>
    <w:p w14:paraId="7905D87F" w14:textId="77777777" w:rsidR="0084489F" w:rsidRDefault="00110FE6">
      <w:pPr>
        <w:pStyle w:val="BodyText"/>
      </w:pPr>
      <w:r w:rsidRPr="1B9E7434">
        <w:rPr>
          <w:rStyle w:val="VerbatimChar"/>
          <w:lang w:val="fr-FR"/>
        </w:rPr>
        <w:t>P104_est_soumis_à (s’applique_à)</w:t>
      </w:r>
      <w:r w:rsidRPr="1B9E7434">
        <w:rPr>
          <w:lang w:val="fr-FR"/>
        </w:rPr>
        <w:t xml:space="preserve"> : </w:t>
      </w:r>
      <w:r w:rsidRPr="1B9E7434">
        <w:rPr>
          <w:rStyle w:val="VerbatimChar"/>
          <w:lang w:val="fr-FR"/>
        </w:rPr>
        <w:t>E30_Droit</w:t>
      </w:r>
    </w:p>
    <w:p w14:paraId="704F78D8" w14:textId="77777777" w:rsidR="0084489F" w:rsidRDefault="00110FE6">
      <w:pPr>
        <w:pStyle w:val="BodyText"/>
      </w:pPr>
      <w:r w:rsidRPr="1B9E7434">
        <w:rPr>
          <w:rStyle w:val="VerbatimChar"/>
          <w:lang w:val="fr-FR"/>
        </w:rPr>
        <w:t>P105_droit_détenu_par (détient_le_droit_sur)</w:t>
      </w:r>
      <w:r w:rsidRPr="1B9E7434">
        <w:rPr>
          <w:lang w:val="fr-FR"/>
        </w:rPr>
        <w:t xml:space="preserve"> : </w:t>
      </w:r>
      <w:r w:rsidRPr="1B9E7434">
        <w:rPr>
          <w:rStyle w:val="VerbatimChar"/>
          <w:lang w:val="fr-FR"/>
        </w:rPr>
        <w:t>E39_Actant</w:t>
      </w:r>
    </w:p>
    <w:p w14:paraId="33DBE849" w14:textId="77777777" w:rsidR="0084489F" w:rsidRDefault="00110FE6">
      <w:pPr>
        <w:pStyle w:val="BlockText"/>
      </w:pPr>
      <w:r>
        <w:rPr>
          <w:b/>
          <w:bCs/>
          <w:i/>
          <w:iCs/>
        </w:rPr>
        <w:t>Note de traduction</w:t>
      </w:r>
    </w:p>
    <w:p w14:paraId="166B0F11" w14:textId="77777777" w:rsidR="0084489F" w:rsidRDefault="00110FE6">
      <w:pPr>
        <w:pStyle w:val="BlockText"/>
      </w:pPr>
      <w:r>
        <w:rPr>
          <w:b/>
          <w:bCs/>
          <w:i/>
          <w:iCs/>
        </w:rPr>
        <w:t>Références</w:t>
      </w:r>
    </w:p>
    <w:p w14:paraId="242DAAC9" w14:textId="77777777" w:rsidR="0084489F" w:rsidRDefault="0084489F">
      <w:pPr>
        <w:pStyle w:val="BlockText"/>
      </w:pPr>
    </w:p>
    <w:p w14:paraId="06FDAFEC" w14:textId="77777777" w:rsidR="0084489F" w:rsidRDefault="00110FE6">
      <w:pPr>
        <w:pStyle w:val="Heading2"/>
      </w:pPr>
      <w:bookmarkStart w:id="227" w:name="_Toc176864495"/>
      <w:bookmarkStart w:id="228" w:name="e73-objet-informationnel"/>
      <w:bookmarkEnd w:id="226"/>
      <w:r>
        <w:t>E73 Objet informationnel</w:t>
      </w:r>
      <w:bookmarkEnd w:id="227"/>
    </w:p>
    <w:p w14:paraId="4D52AE7A" w14:textId="77777777" w:rsidR="0084489F" w:rsidRDefault="00110FE6">
      <w:pPr>
        <w:pStyle w:val="FirstParagraph"/>
      </w:pPr>
      <w:r>
        <w:rPr>
          <w:b/>
          <w:bCs/>
        </w:rPr>
        <w:t>Sous-classe de</w:t>
      </w:r>
    </w:p>
    <w:p w14:paraId="77FC4B91" w14:textId="77777777" w:rsidR="0084489F" w:rsidRDefault="00110FE6">
      <w:pPr>
        <w:pStyle w:val="BodyText"/>
      </w:pPr>
      <w:r>
        <w:rPr>
          <w:rStyle w:val="VerbatimChar"/>
        </w:rPr>
        <w:t>E89_Objet_propositionnel</w:t>
      </w:r>
    </w:p>
    <w:p w14:paraId="24EC044C" w14:textId="77777777" w:rsidR="0084489F" w:rsidRDefault="00110FE6">
      <w:pPr>
        <w:pStyle w:val="BodyText"/>
      </w:pPr>
      <w:r>
        <w:rPr>
          <w:rStyle w:val="VerbatimChar"/>
        </w:rPr>
        <w:t>E90_Objet_symbolique</w:t>
      </w:r>
    </w:p>
    <w:p w14:paraId="0D6D8C96" w14:textId="77777777" w:rsidR="0084489F" w:rsidRDefault="00110FE6">
      <w:pPr>
        <w:pStyle w:val="BodyText"/>
      </w:pPr>
      <w:r>
        <w:rPr>
          <w:b/>
          <w:bCs/>
        </w:rPr>
        <w:t>Super-classe de</w:t>
      </w:r>
    </w:p>
    <w:p w14:paraId="3EB71A14" w14:textId="77777777" w:rsidR="0084489F" w:rsidRDefault="00110FE6">
      <w:pPr>
        <w:pStyle w:val="BodyText"/>
      </w:pPr>
      <w:r>
        <w:rPr>
          <w:rStyle w:val="VerbatimChar"/>
        </w:rPr>
        <w:t>E29_Conceptualisation_ou_procédure</w:t>
      </w:r>
    </w:p>
    <w:p w14:paraId="117044F7" w14:textId="77777777" w:rsidR="0084489F" w:rsidRDefault="00110FE6">
      <w:pPr>
        <w:pStyle w:val="BodyText"/>
      </w:pPr>
      <w:r>
        <w:rPr>
          <w:rStyle w:val="VerbatimChar"/>
        </w:rPr>
        <w:t>E31_Document</w:t>
      </w:r>
    </w:p>
    <w:p w14:paraId="1B126716" w14:textId="77777777" w:rsidR="0084489F" w:rsidRDefault="00110FE6">
      <w:pPr>
        <w:pStyle w:val="BodyText"/>
      </w:pPr>
      <w:r>
        <w:rPr>
          <w:rStyle w:val="VerbatimChar"/>
        </w:rPr>
        <w:lastRenderedPageBreak/>
        <w:t>E33_Objet_linguistique</w:t>
      </w:r>
    </w:p>
    <w:p w14:paraId="2C09890A" w14:textId="77777777" w:rsidR="0084489F" w:rsidRDefault="00110FE6">
      <w:pPr>
        <w:pStyle w:val="BodyText"/>
      </w:pPr>
      <w:r>
        <w:rPr>
          <w:rStyle w:val="VerbatimChar"/>
        </w:rPr>
        <w:t>E36_Entité_visuelle</w:t>
      </w:r>
    </w:p>
    <w:p w14:paraId="04DB1A81" w14:textId="77777777" w:rsidR="0084489F" w:rsidRDefault="00110FE6">
      <w:pPr>
        <w:pStyle w:val="BodyText"/>
      </w:pPr>
      <w:r>
        <w:rPr>
          <w:b/>
          <w:bCs/>
        </w:rPr>
        <w:t>Note d’application</w:t>
      </w:r>
    </w:p>
    <w:p w14:paraId="6494807B" w14:textId="77777777" w:rsidR="0084489F" w:rsidRDefault="00110FE6">
      <w:pPr>
        <w:pStyle w:val="BodyText"/>
      </w:pPr>
      <w:r w:rsidRPr="1B9E7434">
        <w:rPr>
          <w:lang w:val="fr-FR"/>
        </w:rPr>
        <w:t xml:space="preserve">Cette classe comprend des entités immatérielles identifiables, telles que des poèmes, des blagues, des jeux de données, des images, des textes, des objets multimédia, des prescriptions procédurales, des codes de programmation informatiques, des algorithmes ou des formules mathématiques, qui possèdent de manière objective une structure reconnaissable et qui sont documentées comme des éléments uniques. La structure d’encodage connue sous le nom de « graphe nommé » appartient aussi à cette classe, de sorte que chaque « graphe nommé » est une instance de </w:t>
      </w:r>
      <w:r w:rsidRPr="1B9E7434">
        <w:rPr>
          <w:rStyle w:val="VerbatimChar"/>
          <w:lang w:val="fr-FR"/>
        </w:rPr>
        <w:t>E73_Objet_informationnel</w:t>
      </w:r>
      <w:r w:rsidRPr="1B9E7434">
        <w:rPr>
          <w:lang w:val="fr-FR"/>
        </w:rPr>
        <w:t>.</w:t>
      </w:r>
    </w:p>
    <w:p w14:paraId="3011E2AD" w14:textId="77777777" w:rsidR="0084489F" w:rsidRDefault="00110FE6">
      <w:pPr>
        <w:pStyle w:val="BodyText"/>
      </w:pPr>
      <w:r>
        <w:t xml:space="preserve">Une instance de </w:t>
      </w:r>
      <w:r>
        <w:rPr>
          <w:rStyle w:val="VerbatimChar"/>
        </w:rPr>
        <w:t>E73_Objet_informationnel</w:t>
      </w:r>
      <w:r>
        <w:t xml:space="preserve"> ne dépend pas d’un support physique, elle peut inclure la mémoire humaine, et peut exister sur un ou plusieurs supports simultanément.</w:t>
      </w:r>
    </w:p>
    <w:p w14:paraId="3931C138" w14:textId="77777777" w:rsidR="0084489F" w:rsidRDefault="00110FE6">
      <w:pPr>
        <w:pStyle w:val="BodyText"/>
      </w:pPr>
      <w:r>
        <w:t xml:space="preserve">Les instances de </w:t>
      </w:r>
      <w:r>
        <w:rPr>
          <w:rStyle w:val="VerbatimChar"/>
        </w:rPr>
        <w:t>E73_Objet_informationnel</w:t>
      </w:r>
      <w:r>
        <w:t xml:space="preserve"> de nature linguistique devraient être déclarées comme des instances de la sous-classe </w:t>
      </w:r>
      <w:r>
        <w:rPr>
          <w:rStyle w:val="VerbatimChar"/>
        </w:rPr>
        <w:t>E33_Objet_linguistique</w:t>
      </w:r>
      <w:r>
        <w:t xml:space="preserve">. Les instances de </w:t>
      </w:r>
      <w:r>
        <w:rPr>
          <w:rStyle w:val="VerbatimChar"/>
        </w:rPr>
        <w:t>E73_Objet_informationnel</w:t>
      </w:r>
      <w:r>
        <w:t xml:space="preserve"> de nature documentaire devraient être déclarées comme des instances de la sous-classe </w:t>
      </w:r>
      <w:r>
        <w:rPr>
          <w:rStyle w:val="VerbatimChar"/>
        </w:rPr>
        <w:t>E31_Document</w:t>
      </w:r>
      <w:r>
        <w:t xml:space="preserve">. Les entités conceptuelles telles que les types et classes ou les idées sans expression reproductible ne sont pas des instances de </w:t>
      </w:r>
      <w:r>
        <w:rPr>
          <w:rStyle w:val="VerbatimChar"/>
        </w:rPr>
        <w:t>E73_Objet_informationnel</w:t>
      </w:r>
      <w:r>
        <w:t>.</w:t>
      </w:r>
    </w:p>
    <w:p w14:paraId="44CE47ED" w14:textId="77777777" w:rsidR="0084489F" w:rsidRDefault="00110FE6">
      <w:pPr>
        <w:pStyle w:val="BodyText"/>
      </w:pPr>
      <w:r>
        <w:rPr>
          <w:b/>
          <w:bCs/>
        </w:rPr>
        <w:t>Exemples</w:t>
      </w:r>
    </w:p>
    <w:p w14:paraId="38AA2CFC" w14:textId="4376A159" w:rsidR="0084489F" w:rsidRDefault="00110FE6" w:rsidP="00806324">
      <w:pPr>
        <w:numPr>
          <w:ilvl w:val="0"/>
          <w:numId w:val="116"/>
        </w:numPr>
      </w:pPr>
      <w:r w:rsidRPr="1B9E7434">
        <w:rPr>
          <w:lang w:val="fr-FR"/>
        </w:rPr>
        <w:t>L’image BM000038850.JPG du Clayton Herbarium de Londres (</w:t>
      </w:r>
      <w:r w:rsidRPr="1B9E7434">
        <w:rPr>
          <w:rStyle w:val="VerbatimChar"/>
          <w:lang w:val="fr-FR"/>
        </w:rPr>
        <w:t>E31_Document</w:t>
      </w:r>
      <w:r w:rsidRPr="1B9E7434">
        <w:rPr>
          <w:lang w:val="fr-FR"/>
        </w:rPr>
        <w:t>) (Natural History Museum, 2021)</w:t>
      </w:r>
    </w:p>
    <w:p w14:paraId="738C89DF" w14:textId="77777777" w:rsidR="0084489F" w:rsidRDefault="00110FE6" w:rsidP="00806324">
      <w:pPr>
        <w:numPr>
          <w:ilvl w:val="0"/>
          <w:numId w:val="116"/>
        </w:numPr>
      </w:pPr>
      <w:r>
        <w:t xml:space="preserve">Le poème </w:t>
      </w:r>
      <w:r>
        <w:rPr>
          <w:i/>
          <w:iCs/>
        </w:rPr>
        <w:t>Le Corbeau</w:t>
      </w:r>
      <w:r>
        <w:t xml:space="preserve"> (</w:t>
      </w:r>
      <w:r>
        <w:rPr>
          <w:i/>
          <w:iCs/>
        </w:rPr>
        <w:t>The Raven</w:t>
      </w:r>
      <w:r>
        <w:t>) d’E. A. Poe (Poe, 1869)</w:t>
      </w:r>
    </w:p>
    <w:p w14:paraId="71923768" w14:textId="77777777" w:rsidR="0084489F" w:rsidRDefault="00110FE6" w:rsidP="00806324">
      <w:pPr>
        <w:numPr>
          <w:ilvl w:val="0"/>
          <w:numId w:val="116"/>
        </w:numPr>
      </w:pPr>
      <w:r>
        <w:t xml:space="preserve">Le film </w:t>
      </w:r>
      <w:r>
        <w:rPr>
          <w:i/>
          <w:iCs/>
        </w:rPr>
        <w:t>Les sept Samouraïs</w:t>
      </w:r>
      <w:r>
        <w:t xml:space="preserve"> (</w:t>
      </w:r>
      <w:r>
        <w:rPr>
          <w:i/>
          <w:iCs/>
        </w:rPr>
        <w:t>七人の侍</w:t>
      </w:r>
      <w:r>
        <w:t>) par Akira Kurosawa (Mellen, 2002)</w:t>
      </w:r>
    </w:p>
    <w:p w14:paraId="11647351" w14:textId="55C5B3B1" w:rsidR="0084489F" w:rsidRDefault="00110FE6" w:rsidP="00806324">
      <w:pPr>
        <w:numPr>
          <w:ilvl w:val="0"/>
          <w:numId w:val="116"/>
        </w:numPr>
      </w:pPr>
      <w:r w:rsidRPr="1B9E7434">
        <w:rPr>
          <w:lang w:val="fr-FR"/>
        </w:rPr>
        <w:t>Le texte de Huray décrivant les équations de Maxwell (Huray, 2010)</w:t>
      </w:r>
    </w:p>
    <w:p w14:paraId="55A89881" w14:textId="77777777" w:rsidR="0084489F" w:rsidRDefault="00110FE6" w:rsidP="00806324">
      <w:pPr>
        <w:numPr>
          <w:ilvl w:val="0"/>
          <w:numId w:val="116"/>
        </w:numPr>
      </w:pPr>
      <w:r>
        <w:t>Le AAT du Getty publié en données ouvertes et liées, accédé le 2014-10-01</w:t>
      </w:r>
    </w:p>
    <w:p w14:paraId="3FEF81E7" w14:textId="77777777" w:rsidR="0084489F" w:rsidRDefault="00110FE6">
      <w:pPr>
        <w:pStyle w:val="FirstParagraph"/>
      </w:pPr>
      <w:r>
        <w:rPr>
          <w:b/>
          <w:bCs/>
        </w:rPr>
        <w:t>Logique</w:t>
      </w:r>
    </w:p>
    <w:p w14:paraId="62574A1E" w14:textId="77777777" w:rsidR="0084489F" w:rsidRDefault="00110FE6" w:rsidP="00806324">
      <w:pPr>
        <w:numPr>
          <w:ilvl w:val="0"/>
          <w:numId w:val="117"/>
        </w:numPr>
      </w:pPr>
      <w:r>
        <w:t>E73(x) ⇒ E89(x)</w:t>
      </w:r>
    </w:p>
    <w:p w14:paraId="49C33A83" w14:textId="77777777" w:rsidR="0084489F" w:rsidRDefault="00110FE6" w:rsidP="00806324">
      <w:pPr>
        <w:numPr>
          <w:ilvl w:val="0"/>
          <w:numId w:val="117"/>
        </w:numPr>
      </w:pPr>
      <w:r>
        <w:t>E73(x) ⇒ E90(x)</w:t>
      </w:r>
    </w:p>
    <w:p w14:paraId="61A896B8" w14:textId="77777777" w:rsidR="0084489F" w:rsidRDefault="00110FE6">
      <w:pPr>
        <w:pStyle w:val="FirstParagraph"/>
      </w:pPr>
      <w:r>
        <w:rPr>
          <w:b/>
          <w:bCs/>
        </w:rPr>
        <w:t>Propriétés</w:t>
      </w:r>
    </w:p>
    <w:p w14:paraId="1BAAF699" w14:textId="77777777" w:rsidR="0084489F" w:rsidRDefault="00110FE6">
      <w:pPr>
        <w:pStyle w:val="BodyText"/>
      </w:pPr>
      <w:r w:rsidRPr="1B9E7434">
        <w:rPr>
          <w:rStyle w:val="VerbatimChar"/>
          <w:lang w:val="fr-FR"/>
        </w:rPr>
        <w:t>P165_inclut (est_inclut_dans)</w:t>
      </w:r>
      <w:r w:rsidRPr="1B9E7434">
        <w:rPr>
          <w:lang w:val="fr-FR"/>
        </w:rPr>
        <w:t xml:space="preserve"> : </w:t>
      </w:r>
      <w:r w:rsidRPr="1B9E7434">
        <w:rPr>
          <w:rStyle w:val="VerbatimChar"/>
          <w:lang w:val="fr-FR"/>
        </w:rPr>
        <w:t>E90_Objet_symbolique</w:t>
      </w:r>
    </w:p>
    <w:p w14:paraId="08C318B0" w14:textId="77777777" w:rsidR="0084489F" w:rsidRDefault="00110FE6">
      <w:pPr>
        <w:pStyle w:val="BlockText"/>
      </w:pPr>
      <w:r>
        <w:rPr>
          <w:b/>
          <w:bCs/>
          <w:i/>
          <w:iCs/>
        </w:rPr>
        <w:t>Note de traduction</w:t>
      </w:r>
    </w:p>
    <w:p w14:paraId="3F96C7E4" w14:textId="77777777" w:rsidR="0084489F" w:rsidRDefault="00110FE6">
      <w:pPr>
        <w:pStyle w:val="BlockText"/>
      </w:pPr>
      <w:r>
        <w:rPr>
          <w:b/>
          <w:bCs/>
          <w:i/>
          <w:iCs/>
        </w:rPr>
        <w:t>Références</w:t>
      </w:r>
    </w:p>
    <w:p w14:paraId="167F5943" w14:textId="77777777" w:rsidR="0084489F" w:rsidRDefault="0084489F">
      <w:pPr>
        <w:pStyle w:val="BlockText"/>
      </w:pPr>
    </w:p>
    <w:p w14:paraId="2E90143E" w14:textId="77777777" w:rsidR="0084489F" w:rsidRDefault="00110FE6">
      <w:pPr>
        <w:pStyle w:val="Heading2"/>
      </w:pPr>
      <w:bookmarkStart w:id="229" w:name="_Toc176864496"/>
      <w:bookmarkStart w:id="230" w:name="e74-groupe"/>
      <w:bookmarkEnd w:id="228"/>
      <w:r>
        <w:t>E74 Groupe</w:t>
      </w:r>
      <w:bookmarkEnd w:id="229"/>
    </w:p>
    <w:p w14:paraId="68654B23" w14:textId="77777777" w:rsidR="0084489F" w:rsidRDefault="00110FE6">
      <w:pPr>
        <w:pStyle w:val="FirstParagraph"/>
      </w:pPr>
      <w:r>
        <w:rPr>
          <w:b/>
          <w:bCs/>
        </w:rPr>
        <w:t>Sous-classe de</w:t>
      </w:r>
    </w:p>
    <w:p w14:paraId="11007BE6" w14:textId="77777777" w:rsidR="0084489F" w:rsidRDefault="00110FE6">
      <w:pPr>
        <w:pStyle w:val="BodyText"/>
      </w:pPr>
      <w:r>
        <w:rPr>
          <w:rStyle w:val="VerbatimChar"/>
        </w:rPr>
        <w:t>E39_Actant</w:t>
      </w:r>
    </w:p>
    <w:p w14:paraId="5A9DD589" w14:textId="77777777" w:rsidR="0084489F" w:rsidRDefault="00110FE6">
      <w:pPr>
        <w:pStyle w:val="BodyText"/>
      </w:pPr>
      <w:r>
        <w:rPr>
          <w:b/>
          <w:bCs/>
        </w:rPr>
        <w:t>Super-classe de</w:t>
      </w:r>
    </w:p>
    <w:p w14:paraId="7415BE56" w14:textId="77777777" w:rsidR="0084489F" w:rsidRDefault="00110FE6">
      <w:pPr>
        <w:pStyle w:val="BodyText"/>
      </w:pPr>
      <w:r>
        <w:rPr>
          <w:b/>
          <w:bCs/>
        </w:rPr>
        <w:lastRenderedPageBreak/>
        <w:t>Note d’application</w:t>
      </w:r>
    </w:p>
    <w:p w14:paraId="0133D3B8" w14:textId="77777777" w:rsidR="0084489F" w:rsidRDefault="00110FE6">
      <w:pPr>
        <w:pStyle w:val="BodyText"/>
      </w:pPr>
      <w:r>
        <w:t xml:space="preserve">Cette classe comprend les réunions ou organisations d’individus humains ou de groupes qui agissent collectivement et de manière similaire en raison d’une relation commune qui les unit. De manière générale, cette classe comprend aussi les positions officielles considérées dans certains contextes comme relevant d’un seul actant, indépendamment du détenteur actuel du titre au moment où il est enregistré (par exemple, le président d’un pays). Il est possible, dans de tels cas, que le groupe n’ait jamais plus d’un seul membre. Un pseudonyme partagé (c.-à-d. un nom qui semble référer à un individu, mais qui en fait est un rôle endossé par deux personnes ou plus) est un cas particulier relevant de </w:t>
      </w:r>
      <w:r>
        <w:rPr>
          <w:rStyle w:val="VerbatimChar"/>
        </w:rPr>
        <w:t>E74_Groupe</w:t>
      </w:r>
      <w:r>
        <w:t>.</w:t>
      </w:r>
    </w:p>
    <w:p w14:paraId="3C4DF1AA" w14:textId="77777777" w:rsidR="0084489F" w:rsidRDefault="00110FE6">
      <w:pPr>
        <w:pStyle w:val="BodyText"/>
      </w:pPr>
      <w:r w:rsidRPr="1B9E7434">
        <w:rPr>
          <w:lang w:val="fr-FR"/>
        </w:rPr>
        <w:t xml:space="preserve">Un rassemblement de personnes devient une instance de </w:t>
      </w:r>
      <w:r w:rsidRPr="1B9E7434">
        <w:rPr>
          <w:rStyle w:val="VerbatimChar"/>
          <w:lang w:val="fr-FR"/>
        </w:rPr>
        <w:t>E74_Groupe</w:t>
      </w:r>
      <w:r w:rsidRPr="1B9E7434">
        <w:rPr>
          <w:lang w:val="fr-FR"/>
        </w:rPr>
        <w:t xml:space="preserve"> lorsqu’il démontre des caractéristiques généralement associées à un ensemble d’idées ou de croyances communes, ou d’actions effectuées de manière commune. De telles caractéristiques peuvent prendre plusieurs formes : communications; création d’artéfacts communs; mission commune comme l’étude, la dévotion, les affaires, les sports, etc.</w:t>
      </w:r>
    </w:p>
    <w:p w14:paraId="153CECF7" w14:textId="77777777" w:rsidR="0084489F" w:rsidRDefault="00110FE6">
      <w:pPr>
        <w:pStyle w:val="BodyText"/>
      </w:pPr>
      <w:r>
        <w:t xml:space="preserve">La nationalité peut être modélisée comme l’appartenance d’une instance de </w:t>
      </w:r>
      <w:r>
        <w:rPr>
          <w:rStyle w:val="VerbatimChar"/>
        </w:rPr>
        <w:t>E74_Groupe</w:t>
      </w:r>
      <w:r>
        <w:t xml:space="preserve">. Les couples mariés et autres concepts familiaux sont des exemples particuliers de </w:t>
      </w:r>
      <w:r>
        <w:rPr>
          <w:rStyle w:val="VerbatimChar"/>
        </w:rPr>
        <w:t>E74_Groupe</w:t>
      </w:r>
      <w:r>
        <w:t>.</w:t>
      </w:r>
    </w:p>
    <w:p w14:paraId="5D5B7561" w14:textId="77777777" w:rsidR="0084489F" w:rsidRDefault="00110FE6">
      <w:pPr>
        <w:pStyle w:val="BodyText"/>
      </w:pPr>
      <w:r>
        <w:rPr>
          <w:b/>
          <w:bCs/>
        </w:rPr>
        <w:t>Exemples</w:t>
      </w:r>
    </w:p>
    <w:p w14:paraId="18B2E62E" w14:textId="77777777" w:rsidR="0084489F" w:rsidRDefault="00110FE6" w:rsidP="00806324">
      <w:pPr>
        <w:numPr>
          <w:ilvl w:val="0"/>
          <w:numId w:val="118"/>
        </w:numPr>
      </w:pPr>
      <w:r>
        <w:t>Les impressionnistes (Wilson, 1994)</w:t>
      </w:r>
    </w:p>
    <w:p w14:paraId="22352152" w14:textId="53EE2692" w:rsidR="0084489F" w:rsidRDefault="00110FE6" w:rsidP="00806324">
      <w:pPr>
        <w:numPr>
          <w:ilvl w:val="0"/>
          <w:numId w:val="118"/>
        </w:numPr>
      </w:pPr>
      <w:r w:rsidRPr="1B9E7434">
        <w:rPr>
          <w:lang w:val="fr-FR"/>
        </w:rPr>
        <w:t>Les Navajo (Correll, 1972)</w:t>
      </w:r>
    </w:p>
    <w:p w14:paraId="6B4BF983" w14:textId="77777777" w:rsidR="0084489F" w:rsidRDefault="00110FE6" w:rsidP="00806324">
      <w:pPr>
        <w:numPr>
          <w:ilvl w:val="0"/>
          <w:numId w:val="118"/>
        </w:numPr>
      </w:pPr>
      <w:r>
        <w:t>Les Grecs (Williams, 1993)</w:t>
      </w:r>
    </w:p>
    <w:p w14:paraId="5CB015AB" w14:textId="77777777" w:rsidR="0084489F" w:rsidRDefault="00110FE6" w:rsidP="00806324">
      <w:pPr>
        <w:numPr>
          <w:ilvl w:val="0"/>
          <w:numId w:val="118"/>
        </w:numPr>
      </w:pPr>
      <w:r>
        <w:t>Les manifestants en faveur de la paix qui se sont mobilisés à New York le 15 février 2003</w:t>
      </w:r>
    </w:p>
    <w:p w14:paraId="6A3C1D5B" w14:textId="731B69A9" w:rsidR="0084489F" w:rsidRDefault="00110FE6" w:rsidP="00806324">
      <w:pPr>
        <w:numPr>
          <w:ilvl w:val="0"/>
          <w:numId w:val="118"/>
        </w:numPr>
      </w:pPr>
      <w:r w:rsidRPr="1B9E7434">
        <w:rPr>
          <w:lang w:val="fr-FR"/>
        </w:rPr>
        <w:t>Exxon-Mobil (Raymond, 2006)</w:t>
      </w:r>
    </w:p>
    <w:p w14:paraId="1F3F1CE7" w14:textId="699CED95" w:rsidR="0084489F" w:rsidRDefault="00110FE6" w:rsidP="00806324">
      <w:pPr>
        <w:numPr>
          <w:ilvl w:val="0"/>
          <w:numId w:val="118"/>
        </w:numPr>
      </w:pPr>
      <w:r w:rsidRPr="1B9E7434">
        <w:rPr>
          <w:lang w:val="fr-FR"/>
        </w:rPr>
        <w:t>Le Roi Salomon et ses épouses (Thieberger, 1947)</w:t>
      </w:r>
    </w:p>
    <w:p w14:paraId="53449286" w14:textId="77777777" w:rsidR="0084489F" w:rsidRDefault="00110FE6" w:rsidP="00806324">
      <w:pPr>
        <w:numPr>
          <w:ilvl w:val="0"/>
          <w:numId w:val="118"/>
        </w:numPr>
      </w:pPr>
      <w:r>
        <w:t>Le Président de la confédération suisse</w:t>
      </w:r>
    </w:p>
    <w:p w14:paraId="08B5F8E6" w14:textId="39708737" w:rsidR="0084489F" w:rsidRDefault="00110FE6" w:rsidP="00806324">
      <w:pPr>
        <w:numPr>
          <w:ilvl w:val="0"/>
          <w:numId w:val="118"/>
        </w:numPr>
      </w:pPr>
      <w:r w:rsidRPr="1B9E7434">
        <w:rPr>
          <w:lang w:val="fr-FR"/>
        </w:rPr>
        <w:t>Nicolas Bourbaki [le pseudonyme collectif d'un groupe de mathématiciens composé principalement d'anciens élèves de l'École normale supérieure] (Aczel, 2007)</w:t>
      </w:r>
    </w:p>
    <w:p w14:paraId="481A3757" w14:textId="77777777" w:rsidR="0084489F" w:rsidRDefault="00110FE6" w:rsidP="00806324">
      <w:pPr>
        <w:numPr>
          <w:ilvl w:val="0"/>
          <w:numId w:val="118"/>
        </w:numPr>
      </w:pPr>
      <w:r>
        <w:t>Betty Crocker (Crocker, 2012)</w:t>
      </w:r>
    </w:p>
    <w:p w14:paraId="30C9EFC1" w14:textId="4D01D7CB" w:rsidR="0084489F" w:rsidRDefault="00110FE6" w:rsidP="00806324">
      <w:pPr>
        <w:numPr>
          <w:ilvl w:val="0"/>
          <w:numId w:val="118"/>
        </w:numPr>
      </w:pPr>
      <w:r w:rsidRPr="1B9E7434">
        <w:rPr>
          <w:lang w:val="fr-FR"/>
        </w:rPr>
        <w:t>Ellery Queen [pseudonyme créé en 1929 par les auteurs américains de polar Frederic Dannay et Manfred Bennington Lee] (Wheat, 2005)</w:t>
      </w:r>
    </w:p>
    <w:p w14:paraId="4DFF8F36" w14:textId="77777777" w:rsidR="0084489F" w:rsidRDefault="00110FE6" w:rsidP="00806324">
      <w:pPr>
        <w:numPr>
          <w:ilvl w:val="0"/>
          <w:numId w:val="118"/>
        </w:numPr>
      </w:pPr>
      <w:r>
        <w:t>Greenpeace</w:t>
      </w:r>
    </w:p>
    <w:p w14:paraId="6025EB20" w14:textId="169C755C" w:rsidR="0084489F" w:rsidRDefault="00110FE6" w:rsidP="00806324">
      <w:pPr>
        <w:numPr>
          <w:ilvl w:val="0"/>
          <w:numId w:val="118"/>
        </w:numPr>
      </w:pPr>
      <w:r w:rsidRPr="1B9E7434">
        <w:rPr>
          <w:lang w:val="fr-FR"/>
        </w:rPr>
        <w:t>Paveprime Ltd</w:t>
      </w:r>
    </w:p>
    <w:p w14:paraId="29BA02AB" w14:textId="6844EE94" w:rsidR="0084489F" w:rsidRDefault="00110FE6" w:rsidP="00806324">
      <w:pPr>
        <w:numPr>
          <w:ilvl w:val="0"/>
          <w:numId w:val="118"/>
        </w:numPr>
      </w:pPr>
      <w:r w:rsidRPr="1B9E7434">
        <w:rPr>
          <w:lang w:val="fr-FR"/>
        </w:rPr>
        <w:t>Le Nationalmuseet i København / Le Musée national du Danemark</w:t>
      </w:r>
    </w:p>
    <w:p w14:paraId="60051E01" w14:textId="77777777" w:rsidR="0084489F" w:rsidRDefault="00110FE6">
      <w:pPr>
        <w:pStyle w:val="FirstParagraph"/>
      </w:pPr>
      <w:r>
        <w:rPr>
          <w:b/>
          <w:bCs/>
        </w:rPr>
        <w:t>Logique</w:t>
      </w:r>
    </w:p>
    <w:p w14:paraId="3F5CFBEF" w14:textId="77777777" w:rsidR="0084489F" w:rsidRDefault="00110FE6">
      <w:pPr>
        <w:pStyle w:val="BodyText"/>
      </w:pPr>
      <w:r>
        <w:t>E74(x) ⇒ E39(x)</w:t>
      </w:r>
    </w:p>
    <w:p w14:paraId="6D39C50E" w14:textId="77777777" w:rsidR="0084489F" w:rsidRDefault="00110FE6">
      <w:pPr>
        <w:pStyle w:val="BodyText"/>
      </w:pPr>
      <w:r>
        <w:rPr>
          <w:b/>
          <w:bCs/>
        </w:rPr>
        <w:t>Propriétés</w:t>
      </w:r>
    </w:p>
    <w:p w14:paraId="5C49A3FE" w14:textId="77777777" w:rsidR="0084489F" w:rsidRDefault="00110FE6">
      <w:pPr>
        <w:pStyle w:val="BodyText"/>
      </w:pPr>
      <w:r w:rsidRPr="1B9E7434">
        <w:rPr>
          <w:rStyle w:val="VerbatimChar"/>
          <w:lang w:val="fr-FR"/>
        </w:rPr>
        <w:t>P107_a_pour_membre_actuel_ou_antérieur (est_le_membre_actuel_ou_antérieur_de)</w:t>
      </w:r>
      <w:r w:rsidRPr="1B9E7434">
        <w:rPr>
          <w:lang w:val="fr-FR"/>
        </w:rPr>
        <w:t xml:space="preserve"> : </w:t>
      </w:r>
      <w:r w:rsidRPr="1B9E7434">
        <w:rPr>
          <w:rStyle w:val="VerbatimChar"/>
          <w:lang w:val="fr-FR"/>
        </w:rPr>
        <w:t>E39_Actant</w:t>
      </w:r>
      <w:r w:rsidRPr="1B9E7434">
        <w:rPr>
          <w:lang w:val="fr-FR"/>
        </w:rPr>
        <w:t xml:space="preserve"> </w:t>
      </w:r>
      <w:r w:rsidRPr="1B9E7434">
        <w:rPr>
          <w:rStyle w:val="VerbatimChar"/>
          <w:lang w:val="fr-FR"/>
        </w:rPr>
        <w:t>(P107.1_sorte_de_membre</w:t>
      </w:r>
      <w:r w:rsidRPr="1B9E7434">
        <w:rPr>
          <w:lang w:val="fr-FR"/>
        </w:rPr>
        <w:t xml:space="preserve"> : </w:t>
      </w:r>
      <w:r w:rsidRPr="1B9E7434">
        <w:rPr>
          <w:rStyle w:val="VerbatimChar"/>
          <w:lang w:val="fr-FR"/>
        </w:rPr>
        <w:t>E55_Type)</w:t>
      </w:r>
    </w:p>
    <w:p w14:paraId="1025357F" w14:textId="77777777" w:rsidR="0084489F" w:rsidRDefault="00110FE6">
      <w:pPr>
        <w:pStyle w:val="BlockText"/>
      </w:pPr>
      <w:r>
        <w:rPr>
          <w:b/>
          <w:bCs/>
          <w:i/>
          <w:iCs/>
        </w:rPr>
        <w:lastRenderedPageBreak/>
        <w:t>Note de traduction</w:t>
      </w:r>
    </w:p>
    <w:p w14:paraId="7E820407" w14:textId="77777777" w:rsidR="0084489F" w:rsidRDefault="0084489F">
      <w:pPr>
        <w:pStyle w:val="BlockText"/>
      </w:pPr>
    </w:p>
    <w:p w14:paraId="5CE177E7" w14:textId="77777777" w:rsidR="0084489F" w:rsidRDefault="00110FE6">
      <w:pPr>
        <w:pStyle w:val="BlockText"/>
      </w:pPr>
      <w:r>
        <w:rPr>
          <w:b/>
          <w:bCs/>
          <w:i/>
          <w:iCs/>
        </w:rPr>
        <w:t>Références</w:t>
      </w:r>
    </w:p>
    <w:p w14:paraId="50C1C065" w14:textId="77777777" w:rsidR="0084489F" w:rsidRDefault="0084489F">
      <w:pPr>
        <w:pStyle w:val="BlockText"/>
      </w:pPr>
    </w:p>
    <w:p w14:paraId="33FEB69D" w14:textId="77777777" w:rsidR="0084489F" w:rsidRDefault="00110FE6">
      <w:pPr>
        <w:pStyle w:val="Heading2"/>
      </w:pPr>
      <w:bookmarkStart w:id="231" w:name="_Toc176864497"/>
      <w:bookmarkStart w:id="232" w:name="e77-entite-persistante"/>
      <w:bookmarkEnd w:id="230"/>
      <w:r>
        <w:t>E77 Entité persistante</w:t>
      </w:r>
      <w:bookmarkEnd w:id="231"/>
    </w:p>
    <w:p w14:paraId="4DB0694B" w14:textId="77777777" w:rsidR="0084489F" w:rsidRDefault="00110FE6">
      <w:pPr>
        <w:pStyle w:val="FirstParagraph"/>
      </w:pPr>
      <w:r>
        <w:rPr>
          <w:b/>
          <w:bCs/>
        </w:rPr>
        <w:t>Sous-classe de</w:t>
      </w:r>
    </w:p>
    <w:p w14:paraId="03C44E4C" w14:textId="77777777" w:rsidR="0084489F" w:rsidRDefault="00110FE6">
      <w:pPr>
        <w:pStyle w:val="BodyText"/>
      </w:pPr>
      <w:r>
        <w:rPr>
          <w:rStyle w:val="VerbatimChar"/>
        </w:rPr>
        <w:t>E1_Entité_CRM</w:t>
      </w:r>
    </w:p>
    <w:p w14:paraId="1CFC6A3E" w14:textId="77777777" w:rsidR="0084489F" w:rsidRDefault="00110FE6">
      <w:pPr>
        <w:pStyle w:val="BodyText"/>
      </w:pPr>
      <w:r>
        <w:rPr>
          <w:b/>
          <w:bCs/>
        </w:rPr>
        <w:t>Super-classe de</w:t>
      </w:r>
    </w:p>
    <w:p w14:paraId="1A847B95" w14:textId="77777777" w:rsidR="0084489F" w:rsidRDefault="00110FE6">
      <w:pPr>
        <w:pStyle w:val="BodyText"/>
      </w:pPr>
      <w:r>
        <w:rPr>
          <w:rStyle w:val="VerbatimChar"/>
        </w:rPr>
        <w:t>E39_Actant</w:t>
      </w:r>
    </w:p>
    <w:p w14:paraId="6785B94D" w14:textId="77777777" w:rsidR="0084489F" w:rsidRDefault="00110FE6">
      <w:pPr>
        <w:pStyle w:val="BodyText"/>
      </w:pPr>
      <w:r>
        <w:rPr>
          <w:rStyle w:val="VerbatimChar"/>
        </w:rPr>
        <w:t>E70_Chose</w:t>
      </w:r>
    </w:p>
    <w:p w14:paraId="1022A554" w14:textId="77777777" w:rsidR="0084489F" w:rsidRDefault="00110FE6">
      <w:pPr>
        <w:pStyle w:val="BodyText"/>
      </w:pPr>
      <w:r>
        <w:rPr>
          <w:b/>
          <w:bCs/>
        </w:rPr>
        <w:t>Note d’application</w:t>
      </w:r>
    </w:p>
    <w:p w14:paraId="1C2D3FA4" w14:textId="77777777" w:rsidR="0084489F" w:rsidRDefault="00110FE6">
      <w:pPr>
        <w:pStyle w:val="BodyText"/>
      </w:pPr>
      <w:r>
        <w:t>Cette classe comprend les entités qui possèdent des caractéristiques structurelles persistantes liées à leur identité et à leur intégrité, parfois désignées par le terme « endurants » en philosophie. Les entités persistantes peuvent être matérielles, comme des êtres humains, des animaux ou des choses, ou conceptuelles, comme des idées, des concepts, des produits de l’imagination ou même des noms.</w:t>
      </w:r>
    </w:p>
    <w:p w14:paraId="0EEF2BEE" w14:textId="77777777" w:rsidR="0084489F" w:rsidRDefault="00110FE6">
      <w:pPr>
        <w:pStyle w:val="BodyText"/>
      </w:pPr>
      <w:r w:rsidRPr="1B9E7434">
        <w:rPr>
          <w:lang w:val="fr-FR"/>
        </w:rPr>
        <w:t xml:space="preserve">Les instances de </w:t>
      </w:r>
      <w:r w:rsidRPr="1B9E7434">
        <w:rPr>
          <w:rStyle w:val="VerbatimChar"/>
          <w:lang w:val="fr-FR"/>
        </w:rPr>
        <w:t>E77_Entité_persistante</w:t>
      </w:r>
      <w:r w:rsidRPr="1B9E7434">
        <w:rPr>
          <w:lang w:val="fr-FR"/>
        </w:rPr>
        <w:t xml:space="preserve"> peuvent être présentes ou faire partie d’interactions au cours de différentes périodes ou évènements. Elles peuvent être identifiées à maintes reprises à divers moments de leur existence par leurs caractéristiques structurelles. Ces dernières n’ont pas besoin d’être exactement les mêmes tout au long de l’existence d’une instance de </w:t>
      </w:r>
      <w:r w:rsidRPr="1B9E7434">
        <w:rPr>
          <w:rStyle w:val="VerbatimChar"/>
          <w:lang w:val="fr-FR"/>
        </w:rPr>
        <w:t>E77_Entité_persistante</w:t>
      </w:r>
      <w:r w:rsidRPr="1B9E7434">
        <w:rPr>
          <w:lang w:val="fr-FR"/>
        </w:rPr>
        <w:t xml:space="preserve">. Souvent, les instances de </w:t>
      </w:r>
      <w:r w:rsidRPr="1B9E7434">
        <w:rPr>
          <w:rStyle w:val="VerbatimChar"/>
          <w:lang w:val="fr-FR"/>
        </w:rPr>
        <w:t>E77_Entité_persistante</w:t>
      </w:r>
      <w:r w:rsidRPr="1B9E7434">
        <w:rPr>
          <w:lang w:val="fr-FR"/>
        </w:rPr>
        <w:t xml:space="preserve"> subissent des changements progressifs, tout en conservant certaines similarités avec leurs états précédents, ou bien [n.d.t. certaines caractéristiques] disparaissent complètement tandis que de nouvelles émergent. Par exemple, les traits d’une personne, à compter du jour de sa naissance, changeront graduellement et de nouvelles caractéristiques apparaîtront, comme une cicatrice. Même l’ADN des cellules de différents corps peut développer des anomalies et des mutations. Cependant, les caractéristiques pertinentes sont généralement suffisamment semblables pour qu’il soit possible de reconnaître une instance au cours d’une longue période de temps.</w:t>
      </w:r>
    </w:p>
    <w:p w14:paraId="08750987" w14:textId="77777777" w:rsidR="0084489F" w:rsidRDefault="00110FE6">
      <w:pPr>
        <w:pStyle w:val="BodyText"/>
      </w:pPr>
      <w:r>
        <w:t xml:space="preserve">Les critères les plus spécifiques déterminant l’identité des instances des sous-classes de </w:t>
      </w:r>
      <w:r>
        <w:rPr>
          <w:rStyle w:val="VerbatimChar"/>
        </w:rPr>
        <w:t>E77_Entité_persistante</w:t>
      </w:r>
      <w:r>
        <w:t xml:space="preserve"> peuvent considérablement varier et sont décrits ou désignés dans les notes d’application correspondantes. Le choix du critère exact à utiliser [n.d.t. pour déterminer la sous-classe la plus appropriée] dépend de la correspondance entre, d’une part, le comportement observé dans la réalité [n.d.t. et documenté] et, d’autre part, les raisonnements que souhaite y appliquer l’utilisateur.</w:t>
      </w:r>
    </w:p>
    <w:p w14:paraId="0CFB3F23" w14:textId="77777777" w:rsidR="0084489F" w:rsidRDefault="00110FE6">
      <w:pPr>
        <w:pStyle w:val="BodyText"/>
      </w:pPr>
      <w:r w:rsidRPr="1B9E7434">
        <w:rPr>
          <w:lang w:val="fr-FR"/>
        </w:rPr>
        <w:t>Par exemple, on peut considérer qu’un édifice n’existe plus s’il est démantelé et que les matériaux sont réutilisés dans une configuration différente. D’un autre côté, les êtres humains traversent des changements profonds et radicaux pendant leur vie, lesquels affectent à la fois leur aspect et leur composition matérielle; ils conservent cependant leur identité en raison d’autres critères, comme le fait d’être physiquement distincts d’autres êtres humains. De la même façon, des objets inanimés peuvent être sujets à des échanges de parties ou de matière. Au contraire, l’identité d’une version précise d’un texte scientifique relève de l’arrangement exact et signifiant de ses symboles.</w:t>
      </w:r>
    </w:p>
    <w:p w14:paraId="1DB1D2F2" w14:textId="77777777" w:rsidR="0084489F" w:rsidRDefault="00110FE6">
      <w:pPr>
        <w:pStyle w:val="BodyText"/>
      </w:pPr>
      <w:r>
        <w:t xml:space="preserve">Les principales classes d’objets qui sortent du champ d’application de la classe </w:t>
      </w:r>
      <w:r>
        <w:rPr>
          <w:rStyle w:val="VerbatimChar"/>
        </w:rPr>
        <w:t>E77_Entité_persistante</w:t>
      </w:r>
      <w:r>
        <w:t xml:space="preserve"> sont les objets temporels, comme les périodes, les évènements et les actions, ainsi que les propriétés descriptives.</w:t>
      </w:r>
    </w:p>
    <w:p w14:paraId="49F64E5A" w14:textId="77777777" w:rsidR="0084489F" w:rsidRDefault="00110FE6">
      <w:pPr>
        <w:pStyle w:val="BodyText"/>
      </w:pPr>
      <w:r>
        <w:lastRenderedPageBreak/>
        <w:t xml:space="preserve">Une instance de </w:t>
      </w:r>
      <w:r>
        <w:rPr>
          <w:rStyle w:val="VerbatimChar"/>
        </w:rPr>
        <w:t>E77_Entité_persistante</w:t>
      </w:r>
      <w:r>
        <w:t xml:space="preserve"> peut exister sans que soient actuellement connues les caractéristiques qui la définissent. Il existe certains cas où ces caractéristiques ne peuvent pas être identifiées en raison de l’état des connaissances à un moment précis.</w:t>
      </w:r>
    </w:p>
    <w:p w14:paraId="0928B4A1" w14:textId="77777777" w:rsidR="0084489F" w:rsidRDefault="00110FE6">
      <w:pPr>
        <w:pStyle w:val="BodyText"/>
      </w:pPr>
      <w:r>
        <w:rPr>
          <w:b/>
          <w:bCs/>
        </w:rPr>
        <w:t>Exemples</w:t>
      </w:r>
    </w:p>
    <w:p w14:paraId="79A64779" w14:textId="3ACABDCD" w:rsidR="0084489F" w:rsidRDefault="00110FE6" w:rsidP="00806324">
      <w:pPr>
        <w:numPr>
          <w:ilvl w:val="0"/>
          <w:numId w:val="119"/>
        </w:numPr>
      </w:pPr>
      <w:r w:rsidRPr="1B9E7434">
        <w:rPr>
          <w:lang w:val="fr-FR"/>
        </w:rPr>
        <w:t>Léonard de Vinci (</w:t>
      </w:r>
      <w:r w:rsidRPr="1B9E7434">
        <w:rPr>
          <w:rStyle w:val="VerbatimChar"/>
          <w:lang w:val="fr-FR"/>
        </w:rPr>
        <w:t>E21_Personne</w:t>
      </w:r>
      <w:r w:rsidRPr="1B9E7434">
        <w:rPr>
          <w:lang w:val="fr-FR"/>
        </w:rPr>
        <w:t>) (Strano, 1953)</w:t>
      </w:r>
    </w:p>
    <w:p w14:paraId="7B10D5A1" w14:textId="47C51187" w:rsidR="0084489F" w:rsidRDefault="00110FE6" w:rsidP="00806324">
      <w:pPr>
        <w:numPr>
          <w:ilvl w:val="0"/>
          <w:numId w:val="119"/>
        </w:numPr>
      </w:pPr>
      <w:r w:rsidRPr="1B9E7434">
        <w:rPr>
          <w:lang w:val="fr-FR"/>
        </w:rPr>
        <w:t>Le site de Stonehenge (</w:t>
      </w:r>
      <w:r w:rsidRPr="1B9E7434">
        <w:rPr>
          <w:rStyle w:val="VerbatimChar"/>
          <w:lang w:val="fr-FR"/>
        </w:rPr>
        <w:t>E24_Chose_matérielle_élaborée_par_l’humain</w:t>
      </w:r>
      <w:r w:rsidRPr="1B9E7434">
        <w:rPr>
          <w:lang w:val="fr-FR"/>
        </w:rPr>
        <w:t>) (Pryor, 2016)</w:t>
      </w:r>
    </w:p>
    <w:p w14:paraId="4FE07840" w14:textId="44902DB0" w:rsidR="0084489F" w:rsidRDefault="00110FE6" w:rsidP="00806324">
      <w:pPr>
        <w:numPr>
          <w:ilvl w:val="0"/>
          <w:numId w:val="119"/>
        </w:numPr>
      </w:pPr>
      <w:r w:rsidRPr="1B9E7434">
        <w:rPr>
          <w:lang w:val="fr-FR"/>
        </w:rPr>
        <w:t>Le trou dans la couche d’ozone (</w:t>
      </w:r>
      <w:r w:rsidRPr="1B9E7434">
        <w:rPr>
          <w:rStyle w:val="VerbatimChar"/>
          <w:lang w:val="fr-FR"/>
        </w:rPr>
        <w:t>E4_Période</w:t>
      </w:r>
      <w:r w:rsidRPr="1B9E7434">
        <w:rPr>
          <w:lang w:val="fr-FR"/>
        </w:rPr>
        <w:t>) (Hufford &amp; Horwitz, 2005)</w:t>
      </w:r>
    </w:p>
    <w:p w14:paraId="71720557" w14:textId="6EC2C297" w:rsidR="0084489F" w:rsidRDefault="00110FE6" w:rsidP="00806324">
      <w:pPr>
        <w:numPr>
          <w:ilvl w:val="0"/>
          <w:numId w:val="119"/>
        </w:numPr>
      </w:pPr>
      <w:r w:rsidRPr="1B9E7434">
        <w:rPr>
          <w:lang w:val="fr-FR"/>
        </w:rPr>
        <w:t>Le premier principe de la thermodynamique (</w:t>
      </w:r>
      <w:r w:rsidRPr="1B9E7434">
        <w:rPr>
          <w:rStyle w:val="VerbatimChar"/>
          <w:lang w:val="fr-FR"/>
        </w:rPr>
        <w:t>E89_Objet_propositionnel</w:t>
      </w:r>
      <w:r w:rsidRPr="1B9E7434">
        <w:rPr>
          <w:lang w:val="fr-FR"/>
        </w:rPr>
        <w:t>) (Craig &amp; Gislason, 2002)</w:t>
      </w:r>
    </w:p>
    <w:p w14:paraId="3E43CF7E" w14:textId="77777777" w:rsidR="0084489F" w:rsidRDefault="00110FE6" w:rsidP="00806324">
      <w:pPr>
        <w:numPr>
          <w:ilvl w:val="0"/>
          <w:numId w:val="119"/>
        </w:numPr>
      </w:pPr>
      <w:r>
        <w:t>Le triangle des Bermudes (</w:t>
      </w:r>
      <w:r>
        <w:rPr>
          <w:rStyle w:val="VerbatimChar"/>
        </w:rPr>
        <w:t>E53_Lieu</w:t>
      </w:r>
      <w:r>
        <w:t>) (Dolan, 2005)</w:t>
      </w:r>
    </w:p>
    <w:p w14:paraId="4A7BFC66" w14:textId="77777777" w:rsidR="0084489F" w:rsidRDefault="00110FE6">
      <w:pPr>
        <w:pStyle w:val="FirstParagraph"/>
      </w:pPr>
      <w:r>
        <w:rPr>
          <w:b/>
          <w:bCs/>
        </w:rPr>
        <w:t>Logique</w:t>
      </w:r>
    </w:p>
    <w:p w14:paraId="118EB6EA" w14:textId="77777777" w:rsidR="0084489F" w:rsidRDefault="00110FE6">
      <w:pPr>
        <w:pStyle w:val="BodyText"/>
      </w:pPr>
      <w:r>
        <w:t>E77(x) ⇒ E1(x)</w:t>
      </w:r>
    </w:p>
    <w:p w14:paraId="2B0BEB07" w14:textId="77777777" w:rsidR="0084489F" w:rsidRDefault="00110FE6">
      <w:pPr>
        <w:pStyle w:val="BodyText"/>
      </w:pPr>
      <w:r>
        <w:rPr>
          <w:b/>
          <w:bCs/>
        </w:rPr>
        <w:t>Propriétés</w:t>
      </w:r>
    </w:p>
    <w:p w14:paraId="034431FB" w14:textId="77777777" w:rsidR="0084489F" w:rsidRDefault="00110FE6">
      <w:pPr>
        <w:pStyle w:val="BlockText"/>
      </w:pPr>
      <w:r>
        <w:rPr>
          <w:b/>
          <w:bCs/>
          <w:i/>
          <w:iCs/>
        </w:rPr>
        <w:t>Note de traduction</w:t>
      </w:r>
    </w:p>
    <w:p w14:paraId="6A3E13C4" w14:textId="77777777" w:rsidR="0084489F" w:rsidRDefault="00110FE6">
      <w:pPr>
        <w:pStyle w:val="BlockText"/>
      </w:pPr>
      <w:r>
        <w:rPr>
          <w:b/>
          <w:bCs/>
          <w:i/>
          <w:iCs/>
        </w:rPr>
        <w:t>Références</w:t>
      </w:r>
    </w:p>
    <w:p w14:paraId="6A893F23" w14:textId="77777777" w:rsidR="0084489F" w:rsidRDefault="0084489F">
      <w:pPr>
        <w:pStyle w:val="BlockText"/>
      </w:pPr>
    </w:p>
    <w:p w14:paraId="2E481901" w14:textId="77777777" w:rsidR="0084489F" w:rsidRDefault="00110FE6">
      <w:pPr>
        <w:pStyle w:val="Heading2"/>
      </w:pPr>
      <w:bookmarkStart w:id="233" w:name="_Toc176864498"/>
      <w:bookmarkStart w:id="234" w:name="e78-collection"/>
      <w:bookmarkEnd w:id="232"/>
      <w:r>
        <w:t>E78 Collection</w:t>
      </w:r>
      <w:bookmarkEnd w:id="233"/>
    </w:p>
    <w:p w14:paraId="1EF3F56F" w14:textId="77777777" w:rsidR="0084489F" w:rsidRDefault="00110FE6">
      <w:pPr>
        <w:pStyle w:val="FirstParagraph"/>
      </w:pPr>
      <w:r>
        <w:rPr>
          <w:b/>
          <w:bCs/>
        </w:rPr>
        <w:t>Sous-classe de</w:t>
      </w:r>
    </w:p>
    <w:p w14:paraId="101B7466" w14:textId="77777777" w:rsidR="0084489F" w:rsidRDefault="00110FE6">
      <w:pPr>
        <w:pStyle w:val="BodyText"/>
      </w:pPr>
      <w:r>
        <w:rPr>
          <w:rStyle w:val="VerbatimChar"/>
        </w:rPr>
        <w:t>E24_Chose_matérielle_élaborée_par_l’humain</w:t>
      </w:r>
    </w:p>
    <w:p w14:paraId="084D3511" w14:textId="77777777" w:rsidR="0084489F" w:rsidRDefault="00110FE6">
      <w:pPr>
        <w:pStyle w:val="BodyText"/>
      </w:pPr>
      <w:r>
        <w:rPr>
          <w:b/>
          <w:bCs/>
        </w:rPr>
        <w:t>Super-classe de</w:t>
      </w:r>
    </w:p>
    <w:p w14:paraId="14F96FA5" w14:textId="77777777" w:rsidR="0084489F" w:rsidRDefault="00110FE6">
      <w:pPr>
        <w:pStyle w:val="BodyText"/>
      </w:pPr>
      <w:r>
        <w:rPr>
          <w:b/>
          <w:bCs/>
        </w:rPr>
        <w:t>Note d’application</w:t>
      </w:r>
    </w:p>
    <w:p w14:paraId="403CD5B2" w14:textId="77777777" w:rsidR="0084489F" w:rsidRDefault="00110FE6">
      <w:pPr>
        <w:pStyle w:val="BodyText"/>
      </w:pPr>
      <w:r w:rsidRPr="1B9E7434">
        <w:rPr>
          <w:lang w:val="fr-FR"/>
        </w:rPr>
        <w:t xml:space="preserve">Cette classe comprend les agrégations d’instances de </w:t>
      </w:r>
      <w:r w:rsidRPr="1B9E7434">
        <w:rPr>
          <w:rStyle w:val="VerbatimChar"/>
          <w:lang w:val="fr-FR"/>
        </w:rPr>
        <w:t>E18_Chose_matérielle</w:t>
      </w:r>
      <w:r w:rsidRPr="1B9E7434">
        <w:rPr>
          <w:lang w:val="fr-FR"/>
        </w:rPr>
        <w:t xml:space="preserve"> qui sont réunies et entretenues (c.-à-d., en termes muséologiques, la gestion et la conservation des collections) par une ou plusieurs instances de </w:t>
      </w:r>
      <w:r w:rsidRPr="1B9E7434">
        <w:rPr>
          <w:rStyle w:val="VerbatimChar"/>
          <w:lang w:val="fr-FR"/>
        </w:rPr>
        <w:t>E39_Actant</w:t>
      </w:r>
      <w:r w:rsidRPr="1B9E7434">
        <w:rPr>
          <w:lang w:val="fr-FR"/>
        </w:rPr>
        <w:t xml:space="preserve"> pendant une certaine durée, dans un but et pour une audience spécifiques, ainsi que selon un plan spécifique de développement de collection. Des instances typiques de </w:t>
      </w:r>
      <w:r w:rsidRPr="1B9E7434">
        <w:rPr>
          <w:rStyle w:val="VerbatimChar"/>
          <w:lang w:val="fr-FR"/>
        </w:rPr>
        <w:t>E78_Collection</w:t>
      </w:r>
      <w:r w:rsidRPr="1B9E7434">
        <w:rPr>
          <w:lang w:val="fr-FR"/>
        </w:rPr>
        <w:t xml:space="preserve"> sont les collections muséales, les archives et les collections de bibliothèques, numériques ou non. Une collection d’une bibliothèque numérique est considérée comme une instance de </w:t>
      </w:r>
      <w:r w:rsidRPr="1B9E7434">
        <w:rPr>
          <w:rStyle w:val="VerbatimChar"/>
          <w:lang w:val="fr-FR"/>
        </w:rPr>
        <w:t>E18_Chose_matérielle</w:t>
      </w:r>
      <w:r w:rsidRPr="1B9E7434">
        <w:rPr>
          <w:lang w:val="fr-FR"/>
        </w:rPr>
        <w:t>, car elle requiert des supports physiques pour les contenus numériques.</w:t>
      </w:r>
    </w:p>
    <w:p w14:paraId="78DEF5D0" w14:textId="77777777" w:rsidR="0084489F" w:rsidRDefault="00110FE6">
      <w:pPr>
        <w:pStyle w:val="BodyText"/>
      </w:pPr>
      <w:r>
        <w:t xml:space="preserve">Des éléments peuvent être ajoutés ou enlevés d’une instance de </w:t>
      </w:r>
      <w:r>
        <w:rPr>
          <w:rStyle w:val="VerbatimChar"/>
        </w:rPr>
        <w:t>E78_Collection</w:t>
      </w:r>
      <w:r>
        <w:t xml:space="preserve"> selon le plan mis en place.</w:t>
      </w:r>
    </w:p>
    <w:p w14:paraId="1C8918D6" w14:textId="77777777" w:rsidR="0084489F" w:rsidRDefault="00110FE6">
      <w:pPr>
        <w:pStyle w:val="BodyText"/>
      </w:pPr>
      <w:r>
        <w:t xml:space="preserve">Cette classe ne doit pas être confondue avec la classe </w:t>
      </w:r>
      <w:r>
        <w:rPr>
          <w:rStyle w:val="VerbatimChar"/>
        </w:rPr>
        <w:t>E39_Actant</w:t>
      </w:r>
      <w:r>
        <w:t xml:space="preserve">, dont l’instance peut parfois porter le nom de l’instance de </w:t>
      </w:r>
      <w:r>
        <w:rPr>
          <w:rStyle w:val="VerbatimChar"/>
        </w:rPr>
        <w:t>E78_Collection</w:t>
      </w:r>
      <w:r>
        <w:t xml:space="preserve"> qu’elle gère (p. ex. dans la phrase « La Collection Wallace a décidé… »).</w:t>
      </w:r>
    </w:p>
    <w:p w14:paraId="528A8F5A" w14:textId="701E7AD4" w:rsidR="0084489F" w:rsidRDefault="00110FE6">
      <w:pPr>
        <w:pStyle w:val="BodyText"/>
      </w:pPr>
      <w:r w:rsidRPr="1B9E7434">
        <w:rPr>
          <w:lang w:val="fr-FR"/>
        </w:rPr>
        <w:t xml:space="preserve">Des ensembles d’objets dans le sens plus général – comme une tombe remplie de présents, un dossier de timbres ou un jeu d'échecs incluant les pièces – doivent être documentés comme des instances de </w:t>
      </w:r>
      <w:r w:rsidRPr="1B9E7434">
        <w:rPr>
          <w:rStyle w:val="VerbatimChar"/>
          <w:lang w:val="fr-FR"/>
        </w:rPr>
        <w:t>E19_Objet_matériel</w:t>
      </w:r>
      <w:r w:rsidRPr="1B9E7434">
        <w:rPr>
          <w:lang w:val="fr-FR"/>
        </w:rPr>
        <w:t xml:space="preserve">, et non comme des instances de </w:t>
      </w:r>
      <w:r w:rsidRPr="1B9E7434">
        <w:rPr>
          <w:rStyle w:val="VerbatimChar"/>
          <w:lang w:val="fr-FR"/>
        </w:rPr>
        <w:t>E78_Collection</w:t>
      </w:r>
      <w:r w:rsidRPr="1B9E7434">
        <w:rPr>
          <w:lang w:val="fr-FR"/>
        </w:rPr>
        <w:t xml:space="preserve">. Cela est dû au fait que ces </w:t>
      </w:r>
      <w:r w:rsidRPr="1B9E7434">
        <w:rPr>
          <w:lang w:val="fr-FR"/>
        </w:rPr>
        <w:lastRenderedPageBreak/>
        <w:t>ensembles d’objets forment des touts en raison du lien physique qui unit leurs éléments ou en raison de leur fonction à être utilisés ensemble.</w:t>
      </w:r>
    </w:p>
    <w:p w14:paraId="28AA3FB8" w14:textId="77777777" w:rsidR="0084489F" w:rsidRDefault="00110FE6">
      <w:pPr>
        <w:pStyle w:val="BodyText"/>
      </w:pPr>
      <w:r>
        <w:rPr>
          <w:b/>
          <w:bCs/>
        </w:rPr>
        <w:t>Exemples</w:t>
      </w:r>
    </w:p>
    <w:p w14:paraId="265B4F63" w14:textId="77777777" w:rsidR="0084489F" w:rsidRPr="008C0D99" w:rsidRDefault="00110FE6" w:rsidP="00806324">
      <w:pPr>
        <w:numPr>
          <w:ilvl w:val="0"/>
          <w:numId w:val="120"/>
        </w:numPr>
        <w:rPr>
          <w:lang w:val="en-CA"/>
        </w:rPr>
      </w:pPr>
      <w:r w:rsidRPr="008C0D99">
        <w:rPr>
          <w:lang w:val="en-CA"/>
        </w:rPr>
        <w:t>L’herbier John Clayton (Blake, 1918 ; Natural History Museum, 2021)</w:t>
      </w:r>
    </w:p>
    <w:p w14:paraId="18013EC4" w14:textId="068A6944" w:rsidR="0084489F" w:rsidRDefault="00110FE6" w:rsidP="00806324">
      <w:pPr>
        <w:numPr>
          <w:ilvl w:val="0"/>
          <w:numId w:val="120"/>
        </w:numPr>
      </w:pPr>
      <w:r w:rsidRPr="1B9E7434">
        <w:rPr>
          <w:lang w:val="fr-FR"/>
        </w:rPr>
        <w:t>La Wallace Collection (Ingamells, 1990)</w:t>
      </w:r>
    </w:p>
    <w:p w14:paraId="02D1A8B8" w14:textId="498610AE" w:rsidR="0084489F" w:rsidRDefault="00110FE6" w:rsidP="00806324">
      <w:pPr>
        <w:numPr>
          <w:ilvl w:val="0"/>
          <w:numId w:val="120"/>
        </w:numPr>
      </w:pPr>
      <w:r w:rsidRPr="1B9E7434">
        <w:rPr>
          <w:lang w:val="fr-FR"/>
        </w:rPr>
        <w:t>L’herbier d'algues rouges coralliennes de Mikæl Heggelund au Muséum d’Histoire Naturelle et d’Archéologie de Trondheim, en Norvège (Wœlkerling &amp; al, 2005)</w:t>
      </w:r>
    </w:p>
    <w:p w14:paraId="40424135" w14:textId="6E47B9B6" w:rsidR="0084489F" w:rsidRDefault="00110FE6" w:rsidP="00806324">
      <w:pPr>
        <w:numPr>
          <w:ilvl w:val="0"/>
          <w:numId w:val="120"/>
        </w:numPr>
      </w:pPr>
      <w:r w:rsidRPr="1B9E7434">
        <w:rPr>
          <w:lang w:val="fr-FR"/>
        </w:rPr>
        <w:t>La collection numérique du Centre de numérisation de Munich (</w:t>
      </w:r>
      <w:r w:rsidRPr="1B9E7434">
        <w:rPr>
          <w:i/>
          <w:iCs/>
          <w:lang w:val="fr-FR"/>
        </w:rPr>
        <w:t>Munich DigitiZation Center</w:t>
      </w:r>
      <w:r w:rsidRPr="1B9E7434">
        <w:rPr>
          <w:lang w:val="fr-FR"/>
        </w:rPr>
        <w:t xml:space="preserve"> ou MDZ) accessible via la page https://www.digitale-sammlungen.de/ au mois de janvier 2018.</w:t>
      </w:r>
    </w:p>
    <w:p w14:paraId="48CC6818" w14:textId="77777777" w:rsidR="0084489F" w:rsidRDefault="00110FE6">
      <w:pPr>
        <w:pStyle w:val="FirstParagraph"/>
      </w:pPr>
      <w:r>
        <w:rPr>
          <w:b/>
          <w:bCs/>
        </w:rPr>
        <w:t>Logique</w:t>
      </w:r>
    </w:p>
    <w:p w14:paraId="64C24964" w14:textId="77777777" w:rsidR="0084489F" w:rsidRDefault="00110FE6">
      <w:pPr>
        <w:pStyle w:val="BodyText"/>
      </w:pPr>
      <w:r>
        <w:t>E78(x) ⇒ E24(x)</w:t>
      </w:r>
    </w:p>
    <w:p w14:paraId="0C867805" w14:textId="77777777" w:rsidR="0084489F" w:rsidRDefault="00110FE6">
      <w:pPr>
        <w:pStyle w:val="BodyText"/>
      </w:pPr>
      <w:r>
        <w:rPr>
          <w:b/>
          <w:bCs/>
        </w:rPr>
        <w:t>Propriétés</w:t>
      </w:r>
    </w:p>
    <w:p w14:paraId="1DB70081" w14:textId="77777777" w:rsidR="0084489F" w:rsidRDefault="00110FE6">
      <w:pPr>
        <w:pStyle w:val="BodyText"/>
      </w:pPr>
      <w:r w:rsidRPr="1B9E7434">
        <w:rPr>
          <w:rStyle w:val="VerbatimChar"/>
          <w:lang w:val="fr-FR"/>
        </w:rPr>
        <w:t>P109_a_pour_responsable_actuel_ou_antérieur_de_la_collection (est_responsable_actuel_ou_antérieur_de_la_collection)</w:t>
      </w:r>
      <w:r w:rsidRPr="1B9E7434">
        <w:rPr>
          <w:lang w:val="fr-FR"/>
        </w:rPr>
        <w:t xml:space="preserve"> : </w:t>
      </w:r>
      <w:r w:rsidRPr="1B9E7434">
        <w:rPr>
          <w:rStyle w:val="VerbatimChar"/>
          <w:lang w:val="fr-FR"/>
        </w:rPr>
        <w:t>E39_Actant</w:t>
      </w:r>
    </w:p>
    <w:p w14:paraId="109B208B" w14:textId="77777777" w:rsidR="0084489F" w:rsidRDefault="00110FE6">
      <w:pPr>
        <w:pStyle w:val="BlockText"/>
      </w:pPr>
      <w:r>
        <w:rPr>
          <w:b/>
          <w:bCs/>
          <w:i/>
          <w:iCs/>
        </w:rPr>
        <w:t>Note de traduction</w:t>
      </w:r>
    </w:p>
    <w:p w14:paraId="2A3C3982" w14:textId="77777777" w:rsidR="0084489F" w:rsidRDefault="00110FE6">
      <w:pPr>
        <w:pStyle w:val="BlockText"/>
      </w:pPr>
      <w:r w:rsidRPr="1B9E7434">
        <w:rPr>
          <w:lang w:val="fr-FR"/>
        </w:rPr>
        <w:t>Les rédacteurs de la version originale du CIDOC CRM ont délibérément évité l’utilisation du terme anglais « collection » pour cette classe car il portait à confusion avec des ensembles qui n’ont pas été constitués de manière choisie et réfléchie. Toutefois, en français, le terme « collection » est plus précis et porte déjà ce sens de regroupement d’objets constitués selon une réflexion et un choix délibérés, souvent de nature muséologique ou archivistique. Il a donc été décidé de traduire « curated holding » par « collection ».</w:t>
      </w:r>
    </w:p>
    <w:p w14:paraId="6376EEDD" w14:textId="77777777" w:rsidR="0084489F" w:rsidRDefault="00110FE6">
      <w:pPr>
        <w:pStyle w:val="BlockText"/>
      </w:pPr>
      <w:r>
        <w:rPr>
          <w:b/>
          <w:bCs/>
          <w:i/>
          <w:iCs/>
        </w:rPr>
        <w:t>Références</w:t>
      </w:r>
    </w:p>
    <w:p w14:paraId="64B68ECA" w14:textId="77777777" w:rsidR="0084489F" w:rsidRDefault="0084489F">
      <w:pPr>
        <w:pStyle w:val="BlockText"/>
      </w:pPr>
    </w:p>
    <w:p w14:paraId="4A90DAE9" w14:textId="77777777" w:rsidR="0084489F" w:rsidRDefault="00110FE6">
      <w:pPr>
        <w:pStyle w:val="Heading2"/>
      </w:pPr>
      <w:bookmarkStart w:id="235" w:name="_Toc176864499"/>
      <w:bookmarkStart w:id="236" w:name="e79-ajout-d'element"/>
      <w:bookmarkEnd w:id="234"/>
      <w:r>
        <w:t>E79 Ajout d'élément</w:t>
      </w:r>
      <w:bookmarkEnd w:id="235"/>
    </w:p>
    <w:p w14:paraId="322AFC54" w14:textId="77777777" w:rsidR="0084489F" w:rsidRDefault="00110FE6">
      <w:pPr>
        <w:pStyle w:val="FirstParagraph"/>
      </w:pPr>
      <w:r>
        <w:rPr>
          <w:b/>
          <w:bCs/>
        </w:rPr>
        <w:t>Sous-classe de</w:t>
      </w:r>
    </w:p>
    <w:p w14:paraId="361EFAA2" w14:textId="77777777" w:rsidR="0084489F" w:rsidRDefault="00110FE6">
      <w:pPr>
        <w:pStyle w:val="BodyText"/>
      </w:pPr>
      <w:r>
        <w:rPr>
          <w:rStyle w:val="VerbatimChar"/>
        </w:rPr>
        <w:t>E11_Modification</w:t>
      </w:r>
    </w:p>
    <w:p w14:paraId="5D81E3B4" w14:textId="77777777" w:rsidR="0084489F" w:rsidRDefault="00110FE6">
      <w:pPr>
        <w:pStyle w:val="BodyText"/>
      </w:pPr>
      <w:r>
        <w:rPr>
          <w:b/>
          <w:bCs/>
        </w:rPr>
        <w:t>Super-classe de</w:t>
      </w:r>
    </w:p>
    <w:p w14:paraId="5B095BD6" w14:textId="77777777" w:rsidR="0084489F" w:rsidRDefault="00110FE6">
      <w:pPr>
        <w:pStyle w:val="BodyText"/>
      </w:pPr>
      <w:r>
        <w:rPr>
          <w:b/>
          <w:bCs/>
        </w:rPr>
        <w:t>Note d’application</w:t>
      </w:r>
    </w:p>
    <w:p w14:paraId="11150CB8" w14:textId="77777777" w:rsidR="0084489F" w:rsidRDefault="00110FE6">
      <w:pPr>
        <w:pStyle w:val="BodyText"/>
      </w:pPr>
      <w:r>
        <w:t xml:space="preserve">Cette classe comprend les activités desquelles résulte l'accroissement, l'élargissement ou l'augmentation, du fait de l'addition d'un élément, d'une instance de </w:t>
      </w:r>
      <w:r>
        <w:rPr>
          <w:rStyle w:val="VerbatimChar"/>
        </w:rPr>
        <w:t>E18_Chose_matérielle</w:t>
      </w:r>
      <w:r>
        <w:t>.</w:t>
      </w:r>
    </w:p>
    <w:p w14:paraId="6F959880" w14:textId="77777777" w:rsidR="0084489F" w:rsidRDefault="00110FE6">
      <w:pPr>
        <w:pStyle w:val="BodyText"/>
      </w:pPr>
      <w:r>
        <w:t xml:space="preserve">Des scénarios typiques d'ajout d'élément incluent l'apposition d'un accessoire, l'intégration d'un composant, l'addition d'un élément à un objet agrégé ou l'accession d'un objet dans une instance de </w:t>
      </w:r>
      <w:r>
        <w:rPr>
          <w:rStyle w:val="VerbatimChar"/>
        </w:rPr>
        <w:t>E78_Collection</w:t>
      </w:r>
      <w:r>
        <w:t xml:space="preserve">. Avant la création de l’instance de </w:t>
      </w:r>
      <w:r>
        <w:rPr>
          <w:rStyle w:val="VerbatimChar"/>
        </w:rPr>
        <w:t>E79_Ajout_d’élément</w:t>
      </w:r>
      <w:r>
        <w:t xml:space="preserve">, l’instance de </w:t>
      </w:r>
      <w:r>
        <w:rPr>
          <w:rStyle w:val="VerbatimChar"/>
        </w:rPr>
        <w:t>E18_Chose_matérielle</w:t>
      </w:r>
      <w:r>
        <w:t xml:space="preserve"> à laquelle un élément est ajouté, de même que l’instance de </w:t>
      </w:r>
      <w:r>
        <w:rPr>
          <w:rStyle w:val="VerbatimChar"/>
        </w:rPr>
        <w:t>E18_Chose_matérielle</w:t>
      </w:r>
      <w:r>
        <w:t xml:space="preserve"> ajoutée, sont considérées comme deux entités distinctes identifiables.</w:t>
      </w:r>
    </w:p>
    <w:p w14:paraId="59086667" w14:textId="77777777" w:rsidR="0084489F" w:rsidRDefault="00110FE6">
      <w:pPr>
        <w:pStyle w:val="BodyText"/>
      </w:pPr>
      <w:r>
        <w:t xml:space="preserve">Les assemblages qui résultent de l'addition d'éléments sont traités comme des touts uniques et identifiables faits de composants liés entre eux physiquement (p. ex. le moteur devenant une partie </w:t>
      </w:r>
      <w:r>
        <w:lastRenderedPageBreak/>
        <w:t>intégrante d'une voiture) ou du fait d'une visée commune (p. ex. les 32 pièces qui composent un jeu d'échec).</w:t>
      </w:r>
    </w:p>
    <w:p w14:paraId="324D59A8" w14:textId="77777777" w:rsidR="0084489F" w:rsidRDefault="00110FE6">
      <w:pPr>
        <w:pStyle w:val="BodyText"/>
      </w:pPr>
      <w:r>
        <w:rPr>
          <w:rStyle w:val="VerbatimChar"/>
        </w:rPr>
        <w:t>E79_Ajout_d'élément</w:t>
      </w:r>
      <w:r>
        <w:t xml:space="preserve"> établit un cadre de raisonnement à propos de l'histoire et de la continuité de l'identité des objets qui sont intégrés à d'autres objets à travers le temps. Cela s'applique par exemple à des pierres précieuses serties dans différents bijoux les uns après les autres, ou encore à des artefacts culturels ajoutés à différentes instances de </w:t>
      </w:r>
      <w:r>
        <w:rPr>
          <w:rStyle w:val="VerbatimChar"/>
        </w:rPr>
        <w:t>E78_Collection</w:t>
      </w:r>
      <w:r>
        <w:t xml:space="preserve"> durant leur existence.</w:t>
      </w:r>
    </w:p>
    <w:p w14:paraId="5C754C82" w14:textId="77777777" w:rsidR="0084489F" w:rsidRDefault="00110FE6">
      <w:pPr>
        <w:pStyle w:val="BodyText"/>
      </w:pPr>
      <w:r>
        <w:rPr>
          <w:b/>
          <w:bCs/>
        </w:rPr>
        <w:t>Exemples</w:t>
      </w:r>
    </w:p>
    <w:p w14:paraId="1B050633" w14:textId="77777777" w:rsidR="0084489F" w:rsidRDefault="00110FE6" w:rsidP="00806324">
      <w:pPr>
        <w:numPr>
          <w:ilvl w:val="0"/>
          <w:numId w:val="121"/>
        </w:numPr>
      </w:pPr>
      <w:r>
        <w:t>Le sertissage du diamant Koh-i-Noor dans la couronne de la Reine Mère Elizabeth (Dalrymple, 2017)</w:t>
      </w:r>
    </w:p>
    <w:p w14:paraId="2ACB8661" w14:textId="77777777" w:rsidR="0084489F" w:rsidRDefault="00110FE6" w:rsidP="00806324">
      <w:pPr>
        <w:numPr>
          <w:ilvl w:val="0"/>
          <w:numId w:val="121"/>
        </w:numPr>
      </w:pPr>
      <w:r>
        <w:t xml:space="preserve">L'addition de l'œuvre peinte </w:t>
      </w:r>
      <w:r>
        <w:rPr>
          <w:i/>
          <w:iCs/>
        </w:rPr>
        <w:t>Room in Brooklyn</w:t>
      </w:r>
      <w:r>
        <w:t xml:space="preserve"> de Edward Hopper à la collection du Musée des beaux-arts de Boston</w:t>
      </w:r>
    </w:p>
    <w:p w14:paraId="5CEF0563" w14:textId="6BB94B55" w:rsidR="0084489F" w:rsidRDefault="00110FE6" w:rsidP="00806324">
      <w:pPr>
        <w:numPr>
          <w:ilvl w:val="0"/>
          <w:numId w:val="121"/>
        </w:numPr>
      </w:pPr>
      <w:r w:rsidRPr="1B9E7434">
        <w:rPr>
          <w:lang w:val="fr-FR"/>
        </w:rPr>
        <w:t xml:space="preserve">L’apposition de la main de bronze sur l’arbre formant l’œuvre </w:t>
      </w:r>
      <w:r w:rsidRPr="1B9E7434">
        <w:rPr>
          <w:i/>
          <w:iCs/>
          <w:lang w:val="fr-FR"/>
        </w:rPr>
        <w:t>Alpi Marittime</w:t>
      </w:r>
      <w:r w:rsidRPr="1B9E7434">
        <w:rPr>
          <w:lang w:val="fr-FR"/>
        </w:rPr>
        <w:t xml:space="preserve"> (https://giuseppepenone.com/en/words/maritime-alps) (Mangini, 2010)</w:t>
      </w:r>
    </w:p>
    <w:p w14:paraId="58AE921C" w14:textId="77777777" w:rsidR="0084489F" w:rsidRDefault="00110FE6">
      <w:pPr>
        <w:pStyle w:val="FirstParagraph"/>
      </w:pPr>
      <w:r>
        <w:rPr>
          <w:b/>
          <w:bCs/>
        </w:rPr>
        <w:t>Logique</w:t>
      </w:r>
    </w:p>
    <w:p w14:paraId="3C2832A2" w14:textId="77777777" w:rsidR="0084489F" w:rsidRDefault="00110FE6">
      <w:pPr>
        <w:pStyle w:val="BodyText"/>
      </w:pPr>
      <w:r>
        <w:t>E79(x) ⇒ E11(x)</w:t>
      </w:r>
    </w:p>
    <w:p w14:paraId="6D2B515B" w14:textId="77777777" w:rsidR="0084489F" w:rsidRDefault="00110FE6">
      <w:pPr>
        <w:pStyle w:val="BodyText"/>
      </w:pPr>
      <w:r>
        <w:rPr>
          <w:b/>
          <w:bCs/>
        </w:rPr>
        <w:t>Propriétés</w:t>
      </w:r>
    </w:p>
    <w:p w14:paraId="31DD0E77" w14:textId="77777777" w:rsidR="0084489F" w:rsidRDefault="00110FE6">
      <w:pPr>
        <w:pStyle w:val="BodyText"/>
      </w:pPr>
      <w:r w:rsidRPr="1B9E7434">
        <w:rPr>
          <w:rStyle w:val="VerbatimChar"/>
          <w:lang w:val="fr-FR"/>
        </w:rPr>
        <w:t>P110_a_augmenté (a_été_augmenté_par)</w:t>
      </w:r>
      <w:r w:rsidRPr="1B9E7434">
        <w:rPr>
          <w:lang w:val="fr-FR"/>
        </w:rPr>
        <w:t xml:space="preserve"> : </w:t>
      </w:r>
      <w:r w:rsidRPr="1B9E7434">
        <w:rPr>
          <w:rStyle w:val="VerbatimChar"/>
          <w:lang w:val="fr-FR"/>
        </w:rPr>
        <w:t>E18_Chose_matérielle</w:t>
      </w:r>
    </w:p>
    <w:p w14:paraId="0880AF32" w14:textId="77777777" w:rsidR="0084489F" w:rsidRDefault="00110FE6">
      <w:pPr>
        <w:pStyle w:val="BodyText"/>
      </w:pPr>
      <w:r w:rsidRPr="1B9E7434">
        <w:rPr>
          <w:rStyle w:val="VerbatimChar"/>
          <w:lang w:val="fr-FR"/>
        </w:rPr>
        <w:t>P111_a_ajouté (a_été_ajouté_par)</w:t>
      </w:r>
      <w:r w:rsidRPr="1B9E7434">
        <w:rPr>
          <w:lang w:val="fr-FR"/>
        </w:rPr>
        <w:t xml:space="preserve"> : </w:t>
      </w:r>
      <w:r w:rsidRPr="1B9E7434">
        <w:rPr>
          <w:rStyle w:val="VerbatimChar"/>
          <w:lang w:val="fr-FR"/>
        </w:rPr>
        <w:t>E18_Chose_matérielle</w:t>
      </w:r>
    </w:p>
    <w:p w14:paraId="4BCDBAF9" w14:textId="77777777" w:rsidR="0084489F" w:rsidRDefault="00110FE6">
      <w:pPr>
        <w:pStyle w:val="BlockText"/>
      </w:pPr>
      <w:r>
        <w:rPr>
          <w:b/>
          <w:bCs/>
          <w:i/>
          <w:iCs/>
        </w:rPr>
        <w:t>Note de traduction</w:t>
      </w:r>
    </w:p>
    <w:p w14:paraId="2E8AC9EF" w14:textId="77777777" w:rsidR="0084489F" w:rsidRDefault="00110FE6">
      <w:pPr>
        <w:pStyle w:val="BlockText"/>
      </w:pPr>
      <w:r>
        <w:rPr>
          <w:b/>
          <w:bCs/>
          <w:i/>
          <w:iCs/>
        </w:rPr>
        <w:t>Références</w:t>
      </w:r>
    </w:p>
    <w:p w14:paraId="1D71A9BF" w14:textId="77777777" w:rsidR="0084489F" w:rsidRDefault="0084489F">
      <w:pPr>
        <w:pStyle w:val="BlockText"/>
      </w:pPr>
    </w:p>
    <w:p w14:paraId="2C89C8A6" w14:textId="77777777" w:rsidR="0084489F" w:rsidRDefault="00110FE6">
      <w:pPr>
        <w:pStyle w:val="Heading2"/>
      </w:pPr>
      <w:bookmarkStart w:id="237" w:name="_Toc176864500"/>
      <w:bookmarkStart w:id="238" w:name="e80-retrait-d'element"/>
      <w:bookmarkEnd w:id="236"/>
      <w:r>
        <w:t>E80 Retrait d'élément</w:t>
      </w:r>
      <w:bookmarkEnd w:id="237"/>
    </w:p>
    <w:p w14:paraId="3CE34DFD" w14:textId="77777777" w:rsidR="0084489F" w:rsidRDefault="00110FE6">
      <w:pPr>
        <w:pStyle w:val="FirstParagraph"/>
      </w:pPr>
      <w:r>
        <w:rPr>
          <w:b/>
          <w:bCs/>
        </w:rPr>
        <w:t>Sous-classe de</w:t>
      </w:r>
    </w:p>
    <w:p w14:paraId="7733B9E6" w14:textId="77777777" w:rsidR="0084489F" w:rsidRDefault="00110FE6">
      <w:pPr>
        <w:pStyle w:val="BodyText"/>
      </w:pPr>
      <w:r>
        <w:rPr>
          <w:rStyle w:val="VerbatimChar"/>
        </w:rPr>
        <w:t>E11_Modification</w:t>
      </w:r>
    </w:p>
    <w:p w14:paraId="166FA857" w14:textId="77777777" w:rsidR="0084489F" w:rsidRDefault="00110FE6">
      <w:pPr>
        <w:pStyle w:val="BodyText"/>
      </w:pPr>
      <w:r>
        <w:rPr>
          <w:b/>
          <w:bCs/>
        </w:rPr>
        <w:t>Super-classe de</w:t>
      </w:r>
    </w:p>
    <w:p w14:paraId="5499C7C7" w14:textId="77777777" w:rsidR="0084489F" w:rsidRDefault="00110FE6">
      <w:pPr>
        <w:pStyle w:val="BodyText"/>
      </w:pPr>
      <w:r>
        <w:rPr>
          <w:b/>
          <w:bCs/>
        </w:rPr>
        <w:t>Note d’application</w:t>
      </w:r>
    </w:p>
    <w:p w14:paraId="2A9203A6" w14:textId="77777777" w:rsidR="0084489F" w:rsidRDefault="00110FE6">
      <w:pPr>
        <w:pStyle w:val="BodyText"/>
      </w:pPr>
      <w:r>
        <w:t xml:space="preserve">Cette classe comprend les activités desquelles résulte la diminution, du fait du retrait d'un élément, d'une instance de </w:t>
      </w:r>
      <w:r>
        <w:rPr>
          <w:rStyle w:val="VerbatimChar"/>
        </w:rPr>
        <w:t>E18_Chose_matérielle</w:t>
      </w:r>
      <w:r>
        <w:t>.</w:t>
      </w:r>
    </w:p>
    <w:p w14:paraId="3EA2AF6D" w14:textId="77777777" w:rsidR="0084489F" w:rsidRDefault="00110FE6">
      <w:pPr>
        <w:pStyle w:val="BodyText"/>
      </w:pPr>
      <w:r>
        <w:t xml:space="preserve">Des scénarios typiques de retrait d'élément incluent le détachement d'un accessoire, le retrait d'un composant ou d'une partie d'un objet composite ou l'aliénation d'un objet d'une instance de </w:t>
      </w:r>
      <w:r>
        <w:rPr>
          <w:rStyle w:val="VerbatimChar"/>
        </w:rPr>
        <w:t>E78_Collection</w:t>
      </w:r>
      <w:r>
        <w:t>.</w:t>
      </w:r>
    </w:p>
    <w:p w14:paraId="0230C450" w14:textId="77777777" w:rsidR="0084489F" w:rsidRDefault="00110FE6">
      <w:pPr>
        <w:pStyle w:val="BodyText"/>
      </w:pPr>
      <w:r w:rsidRPr="35156D4C">
        <w:rPr>
          <w:lang w:val="fr-FR"/>
        </w:rPr>
        <w:t xml:space="preserve">Si l'instance de </w:t>
      </w:r>
      <w:r w:rsidRPr="35156D4C">
        <w:rPr>
          <w:rStyle w:val="VerbatimChar"/>
          <w:lang w:val="fr-FR"/>
        </w:rPr>
        <w:t>E80_Retrait_d’élément</w:t>
      </w:r>
      <w:r w:rsidRPr="35156D4C">
        <w:rPr>
          <w:lang w:val="fr-FR"/>
        </w:rPr>
        <w:t xml:space="preserve"> résulte en la décomposition complète de l'objet original en morceaux de telle sorte que ce dernier cesse d'exister en tant que tout, l'activité doit être modélisée comme une instance de </w:t>
      </w:r>
      <w:r w:rsidRPr="35156D4C">
        <w:rPr>
          <w:rStyle w:val="VerbatimChar"/>
          <w:lang w:val="fr-FR"/>
        </w:rPr>
        <w:t>E81_Transformation</w:t>
      </w:r>
      <w:r w:rsidRPr="35156D4C">
        <w:rPr>
          <w:lang w:val="fr-FR"/>
        </w:rPr>
        <w:t xml:space="preserve">, c.-à-d. une destruction et une production simultanées. Si l'élément retiré n'avait pas d'identité propre avant son retrait, mais qu'il en acquiert une à la suite de celui-ci, l'activité doit être modélisée à la fois comme instance de </w:t>
      </w:r>
      <w:r w:rsidRPr="35156D4C">
        <w:rPr>
          <w:rStyle w:val="VerbatimChar"/>
          <w:lang w:val="fr-FR"/>
        </w:rPr>
        <w:t>E80_Retrait_d’élément</w:t>
      </w:r>
      <w:r w:rsidRPr="35156D4C">
        <w:rPr>
          <w:lang w:val="fr-FR"/>
        </w:rPr>
        <w:t xml:space="preserve"> et de </w:t>
      </w:r>
      <w:r w:rsidRPr="35156D4C">
        <w:rPr>
          <w:rStyle w:val="VerbatimChar"/>
          <w:lang w:val="fr-FR"/>
        </w:rPr>
        <w:t>E12_Production</w:t>
      </w:r>
      <w:r w:rsidRPr="35156D4C">
        <w:rPr>
          <w:lang w:val="fr-FR"/>
        </w:rPr>
        <w:t>.</w:t>
      </w:r>
    </w:p>
    <w:p w14:paraId="23E7F121" w14:textId="77777777" w:rsidR="0084489F" w:rsidRDefault="00110FE6">
      <w:pPr>
        <w:pStyle w:val="BodyText"/>
      </w:pPr>
      <w:r>
        <w:rPr>
          <w:rStyle w:val="VerbatimChar"/>
        </w:rPr>
        <w:lastRenderedPageBreak/>
        <w:t>E80_Retrait_d'élément</w:t>
      </w:r>
      <w:r>
        <w:t xml:space="preserve"> établit un cadre de raisonnement à propos de l'histoire et de la continuité de l'identité des objets qui sont retirés d'autres objets à travers le temps. Cela s'applique par exemple à des pierres précieuses desserties plusieurs fois de suite de différents bijoux, ou encore à des artefacts culturels aliénés de différentes instances de </w:t>
      </w:r>
      <w:r>
        <w:rPr>
          <w:rStyle w:val="VerbatimChar"/>
        </w:rPr>
        <w:t>E78_Collection</w:t>
      </w:r>
      <w:r>
        <w:t xml:space="preserve"> durant leur existence.</w:t>
      </w:r>
    </w:p>
    <w:p w14:paraId="141A3E15" w14:textId="77777777" w:rsidR="0084489F" w:rsidRDefault="00110FE6">
      <w:pPr>
        <w:pStyle w:val="BodyText"/>
      </w:pPr>
      <w:r>
        <w:rPr>
          <w:b/>
          <w:bCs/>
        </w:rPr>
        <w:t>Exemples</w:t>
      </w:r>
    </w:p>
    <w:p w14:paraId="4DCC73DC" w14:textId="3D65D477" w:rsidR="0084489F" w:rsidRDefault="00110FE6" w:rsidP="00806324">
      <w:pPr>
        <w:numPr>
          <w:ilvl w:val="0"/>
          <w:numId w:val="122"/>
        </w:numPr>
      </w:pPr>
      <w:r w:rsidRPr="1B9E7434">
        <w:rPr>
          <w:lang w:val="fr-FR"/>
        </w:rPr>
        <w:t>Le retrait d'un spécimen de porites par Charles Darwin aux îles Cocos en avril 1836 (Natural History Museum, 2021b)</w:t>
      </w:r>
    </w:p>
    <w:p w14:paraId="37859CA8" w14:textId="77777777" w:rsidR="0084489F" w:rsidRDefault="00110FE6" w:rsidP="00806324">
      <w:pPr>
        <w:numPr>
          <w:ilvl w:val="0"/>
          <w:numId w:val="122"/>
        </w:numPr>
      </w:pPr>
      <w:r>
        <w:t>Le retrait du moteur de ma voiture (fictif)</w:t>
      </w:r>
    </w:p>
    <w:p w14:paraId="1BD7BBCA" w14:textId="152BEC18" w:rsidR="0084489F" w:rsidRDefault="00110FE6" w:rsidP="00806324">
      <w:pPr>
        <w:numPr>
          <w:ilvl w:val="0"/>
          <w:numId w:val="122"/>
        </w:numPr>
      </w:pPr>
      <w:r w:rsidRPr="1B9E7434">
        <w:rPr>
          <w:lang w:val="fr-FR"/>
        </w:rPr>
        <w:t>L'aliénation de l'objet « 1976:234 » de la collection à laquelle il appartenait (fictif)</w:t>
      </w:r>
    </w:p>
    <w:p w14:paraId="3E4BF74B" w14:textId="77777777" w:rsidR="0084489F" w:rsidRDefault="00110FE6">
      <w:pPr>
        <w:pStyle w:val="FirstParagraph"/>
      </w:pPr>
      <w:r>
        <w:rPr>
          <w:b/>
          <w:bCs/>
        </w:rPr>
        <w:t>Logique</w:t>
      </w:r>
    </w:p>
    <w:p w14:paraId="035AD9F5" w14:textId="77777777" w:rsidR="0084489F" w:rsidRDefault="00110FE6">
      <w:pPr>
        <w:pStyle w:val="BodyText"/>
      </w:pPr>
      <w:r>
        <w:t>E80(x) ⇒ E11(x)</w:t>
      </w:r>
    </w:p>
    <w:p w14:paraId="4F683A16" w14:textId="77777777" w:rsidR="0084489F" w:rsidRDefault="00110FE6">
      <w:pPr>
        <w:pStyle w:val="BodyText"/>
      </w:pPr>
      <w:r>
        <w:rPr>
          <w:b/>
          <w:bCs/>
        </w:rPr>
        <w:t>Propriétés</w:t>
      </w:r>
    </w:p>
    <w:p w14:paraId="6C892CAA" w14:textId="77777777" w:rsidR="0084489F" w:rsidRDefault="00110FE6">
      <w:pPr>
        <w:pStyle w:val="BodyText"/>
      </w:pPr>
      <w:r w:rsidRPr="1B9E7434">
        <w:rPr>
          <w:rStyle w:val="VerbatimChar"/>
          <w:lang w:val="fr-FR"/>
        </w:rPr>
        <w:t>P112_a_diminué (a_été_diminué_par)</w:t>
      </w:r>
      <w:r w:rsidRPr="1B9E7434">
        <w:rPr>
          <w:lang w:val="fr-FR"/>
        </w:rPr>
        <w:t xml:space="preserve"> : </w:t>
      </w:r>
      <w:r w:rsidRPr="1B9E7434">
        <w:rPr>
          <w:rStyle w:val="VerbatimChar"/>
          <w:lang w:val="fr-FR"/>
        </w:rPr>
        <w:t>E18_Chose_matérielle</w:t>
      </w:r>
    </w:p>
    <w:p w14:paraId="65836B51" w14:textId="77777777" w:rsidR="0084489F" w:rsidRDefault="00110FE6">
      <w:pPr>
        <w:pStyle w:val="BodyText"/>
      </w:pPr>
      <w:r w:rsidRPr="1B9E7434">
        <w:rPr>
          <w:rStyle w:val="VerbatimChar"/>
          <w:lang w:val="fr-FR"/>
        </w:rPr>
        <w:t>P113_a_retiré (a_été_retiré_par)</w:t>
      </w:r>
      <w:r w:rsidRPr="1B9E7434">
        <w:rPr>
          <w:lang w:val="fr-FR"/>
        </w:rPr>
        <w:t xml:space="preserve"> : </w:t>
      </w:r>
      <w:r w:rsidRPr="1B9E7434">
        <w:rPr>
          <w:rStyle w:val="VerbatimChar"/>
          <w:lang w:val="fr-FR"/>
        </w:rPr>
        <w:t>E18_Chose_matérielle</w:t>
      </w:r>
    </w:p>
    <w:p w14:paraId="7DB9027A" w14:textId="77777777" w:rsidR="0084489F" w:rsidRDefault="00110FE6">
      <w:pPr>
        <w:pStyle w:val="BlockText"/>
      </w:pPr>
      <w:r>
        <w:rPr>
          <w:b/>
          <w:bCs/>
          <w:i/>
          <w:iCs/>
        </w:rPr>
        <w:t>Note de traduction</w:t>
      </w:r>
    </w:p>
    <w:p w14:paraId="3DA0EC6B" w14:textId="77777777" w:rsidR="0084489F" w:rsidRDefault="00110FE6">
      <w:pPr>
        <w:pStyle w:val="BlockText"/>
      </w:pPr>
      <w:r>
        <w:rPr>
          <w:b/>
          <w:bCs/>
          <w:i/>
          <w:iCs/>
        </w:rPr>
        <w:t>Références</w:t>
      </w:r>
    </w:p>
    <w:p w14:paraId="619AA680" w14:textId="77777777" w:rsidR="0084489F" w:rsidRDefault="0084489F">
      <w:pPr>
        <w:pStyle w:val="BlockText"/>
      </w:pPr>
    </w:p>
    <w:p w14:paraId="04F27058" w14:textId="77777777" w:rsidR="0084489F" w:rsidRDefault="00110FE6">
      <w:pPr>
        <w:pStyle w:val="Heading2"/>
      </w:pPr>
      <w:bookmarkStart w:id="239" w:name="_Toc176864501"/>
      <w:bookmarkStart w:id="240" w:name="e81-transformation"/>
      <w:bookmarkEnd w:id="238"/>
      <w:r>
        <w:t>E81 Transformation</w:t>
      </w:r>
      <w:bookmarkEnd w:id="239"/>
    </w:p>
    <w:p w14:paraId="63CC8C66" w14:textId="77777777" w:rsidR="0084489F" w:rsidRDefault="00110FE6">
      <w:pPr>
        <w:pStyle w:val="FirstParagraph"/>
      </w:pPr>
      <w:r>
        <w:rPr>
          <w:b/>
          <w:bCs/>
        </w:rPr>
        <w:t>Sous-classe de</w:t>
      </w:r>
    </w:p>
    <w:p w14:paraId="39331A3E" w14:textId="77777777" w:rsidR="0084489F" w:rsidRDefault="00110FE6">
      <w:pPr>
        <w:pStyle w:val="BodyText"/>
      </w:pPr>
      <w:r>
        <w:rPr>
          <w:rStyle w:val="VerbatimChar"/>
        </w:rPr>
        <w:t>E63_Début_d’existence</w:t>
      </w:r>
    </w:p>
    <w:p w14:paraId="788299A8" w14:textId="77777777" w:rsidR="0084489F" w:rsidRDefault="00110FE6">
      <w:pPr>
        <w:pStyle w:val="BodyText"/>
      </w:pPr>
      <w:r>
        <w:rPr>
          <w:rStyle w:val="VerbatimChar"/>
        </w:rPr>
        <w:t>E64_Fin_d’existence</w:t>
      </w:r>
    </w:p>
    <w:p w14:paraId="454DB9C4" w14:textId="77777777" w:rsidR="0084489F" w:rsidRDefault="00110FE6">
      <w:pPr>
        <w:pStyle w:val="BodyText"/>
      </w:pPr>
      <w:r>
        <w:rPr>
          <w:b/>
          <w:bCs/>
        </w:rPr>
        <w:t>Super-classe de</w:t>
      </w:r>
    </w:p>
    <w:p w14:paraId="51DC783B" w14:textId="77777777" w:rsidR="0084489F" w:rsidRDefault="00110FE6">
      <w:pPr>
        <w:pStyle w:val="BodyText"/>
      </w:pPr>
      <w:r>
        <w:rPr>
          <w:b/>
          <w:bCs/>
        </w:rPr>
        <w:t>Note d’application</w:t>
      </w:r>
    </w:p>
    <w:p w14:paraId="11FD5C15" w14:textId="77777777" w:rsidR="0084489F" w:rsidRDefault="00110FE6">
      <w:pPr>
        <w:pStyle w:val="BodyText"/>
      </w:pPr>
      <w:r>
        <w:t xml:space="preserve">Cette classe comprend les évènements qui ont pour effet de mener simultanément à la destruction d’une ou de plusieurs instances de </w:t>
      </w:r>
      <w:r>
        <w:rPr>
          <w:rStyle w:val="VerbatimChar"/>
        </w:rPr>
        <w:t>E18_Chose_matérielle</w:t>
      </w:r>
      <w:r>
        <w:t xml:space="preserve"> et à la création d’une ou de plusieurs instances de </w:t>
      </w:r>
      <w:r>
        <w:rPr>
          <w:rStyle w:val="VerbatimChar"/>
        </w:rPr>
        <w:t>E18_Chose_matérielle</w:t>
      </w:r>
      <w:r>
        <w:t>. Ces dernières conservent des premières une substance et une structure reconnaissables, mais leur nature ou leur identité est fondamentalement différente.</w:t>
      </w:r>
    </w:p>
    <w:p w14:paraId="3FC253A4" w14:textId="77777777" w:rsidR="0084489F" w:rsidRDefault="00110FE6">
      <w:pPr>
        <w:pStyle w:val="BodyText"/>
      </w:pPr>
      <w:r>
        <w:t xml:space="preserve">Bien que les anciennes et les nouvelles instances de </w:t>
      </w:r>
      <w:r>
        <w:rPr>
          <w:rStyle w:val="VerbatimChar"/>
        </w:rPr>
        <w:t>E18_Chose_matérielle</w:t>
      </w:r>
      <w:r>
        <w:t xml:space="preserve"> soient traitées comme des entités distinctes ayant chacune son identité propre et unique, elles sont causalement connectées par une instance de </w:t>
      </w:r>
      <w:r>
        <w:rPr>
          <w:rStyle w:val="VerbatimChar"/>
        </w:rPr>
        <w:t>E81_Transformation</w:t>
      </w:r>
      <w:r>
        <w:t xml:space="preserve">. La destruction de la ou des instance(s) initiale(s) de </w:t>
      </w:r>
      <w:r>
        <w:rPr>
          <w:rStyle w:val="VerbatimChar"/>
        </w:rPr>
        <w:t>E18_Chose_matérielle</w:t>
      </w:r>
      <w:r>
        <w:t xml:space="preserve"> provoque la création de la ou des nouvelle(s) instance(s) qui utilise(nt) ou conserve(nt) les éléments substantiels ou structurels pertinents.</w:t>
      </w:r>
    </w:p>
    <w:p w14:paraId="1D0F9565" w14:textId="77777777" w:rsidR="0084489F" w:rsidRDefault="00110FE6">
      <w:pPr>
        <w:pStyle w:val="BodyText"/>
      </w:pPr>
      <w:r>
        <w:t xml:space="preserve">Les instances de </w:t>
      </w:r>
      <w:r>
        <w:rPr>
          <w:rStyle w:val="VerbatimChar"/>
        </w:rPr>
        <w:t>E81_Transformation</w:t>
      </w:r>
      <w:r>
        <w:t xml:space="preserve"> sont donc distinctes [n.d.t. des instances de </w:t>
      </w:r>
      <w:r>
        <w:rPr>
          <w:rStyle w:val="VerbatimChar"/>
        </w:rPr>
        <w:t>E17_Assignation_de_type</w:t>
      </w:r>
      <w:r>
        <w:t xml:space="preserve"> (lesquelles induisent une reclassification) ainsi que des instances de </w:t>
      </w:r>
      <w:r>
        <w:rPr>
          <w:rStyle w:val="VerbatimChar"/>
        </w:rPr>
        <w:t>E11_Modification</w:t>
      </w:r>
      <w:r>
        <w:t xml:space="preserve"> (lesquelles induisent évidemment une modification) puisque ces activités] ne changent pas fondamentalement leur nature ou leur identité. La reconstruction et la conversion de bâtiments historiques ou de ruines, les incendies laissant des bâtiments en ruines et la taxidermie de spécimens d’histoire naturelle [n.d.t. sont quelques exemples représentatifs de </w:t>
      </w:r>
      <w:r>
        <w:rPr>
          <w:rStyle w:val="VerbatimChar"/>
        </w:rPr>
        <w:t>E81_Transformation</w:t>
      </w:r>
      <w:r>
        <w:t>].</w:t>
      </w:r>
    </w:p>
    <w:p w14:paraId="79E2FCDC" w14:textId="77777777" w:rsidR="0084489F" w:rsidRDefault="00110FE6">
      <w:pPr>
        <w:pStyle w:val="BodyText"/>
      </w:pPr>
      <w:r>
        <w:lastRenderedPageBreak/>
        <w:t xml:space="preserve">Même si les instances de </w:t>
      </w:r>
      <w:r>
        <w:rPr>
          <w:rStyle w:val="VerbatimChar"/>
        </w:rPr>
        <w:t>E81_Transformation</w:t>
      </w:r>
      <w:r>
        <w:t xml:space="preserve"> sont souvent motivées par un changement d’utilisation prévue, ce sont les changements matériels substantiels qui justifient la documentation du résultat en une nouvelle instance de </w:t>
      </w:r>
      <w:r>
        <w:rPr>
          <w:rStyle w:val="VerbatimChar"/>
        </w:rPr>
        <w:t>E18_Chose_matérielle</w:t>
      </w:r>
      <w:r>
        <w:t xml:space="preserve">, et non le seul changement de fonction. Celui-ci peut être documenté par une activité (instance de </w:t>
      </w:r>
      <w:r>
        <w:rPr>
          <w:rStyle w:val="VerbatimChar"/>
        </w:rPr>
        <w:t>E7_Activité</w:t>
      </w:r>
      <w:r>
        <w:t>) d’utilisation prolongée.</w:t>
      </w:r>
    </w:p>
    <w:p w14:paraId="140B7478" w14:textId="77777777" w:rsidR="0084489F" w:rsidRDefault="00110FE6">
      <w:pPr>
        <w:pStyle w:val="BodyText"/>
      </w:pPr>
      <w:r>
        <w:rPr>
          <w:b/>
          <w:bCs/>
        </w:rPr>
        <w:t>Exemples</w:t>
      </w:r>
    </w:p>
    <w:p w14:paraId="167FCC7B" w14:textId="3D51311B" w:rsidR="0084489F" w:rsidRDefault="00110FE6" w:rsidP="00806324">
      <w:pPr>
        <w:numPr>
          <w:ilvl w:val="0"/>
          <w:numId w:val="123"/>
        </w:numPr>
      </w:pPr>
      <w:r w:rsidRPr="1B9E7434">
        <w:rPr>
          <w:lang w:val="fr-FR"/>
        </w:rPr>
        <w:t>La momification de Toutânkhamon (</w:t>
      </w:r>
      <w:r w:rsidRPr="1B9E7434">
        <w:rPr>
          <w:rStyle w:val="VerbatimChar"/>
          <w:lang w:val="fr-FR"/>
        </w:rPr>
        <w:t>E81_Transformation</w:t>
      </w:r>
      <w:r w:rsidRPr="1B9E7434">
        <w:rPr>
          <w:lang w:val="fr-FR"/>
        </w:rPr>
        <w:t xml:space="preserve">, </w:t>
      </w:r>
      <w:r w:rsidRPr="1B9E7434">
        <w:rPr>
          <w:rStyle w:val="VerbatimChar"/>
          <w:lang w:val="fr-FR"/>
        </w:rPr>
        <w:t>E12_Production</w:t>
      </w:r>
      <w:r w:rsidRPr="1B9E7434">
        <w:rPr>
          <w:lang w:val="fr-FR"/>
        </w:rPr>
        <w:t>) [la momification du corps du défunt est un processus de production propre à l’humain qui préserve simultanément les structures du corps au moment du décès et avant celui-ci] (Carter &amp; Mace, 1977)</w:t>
      </w:r>
    </w:p>
    <w:p w14:paraId="3FD43698" w14:textId="77777777" w:rsidR="0084489F" w:rsidRDefault="00110FE6" w:rsidP="00806324">
      <w:pPr>
        <w:numPr>
          <w:ilvl w:val="0"/>
          <w:numId w:val="123"/>
        </w:numPr>
      </w:pPr>
      <w:r>
        <w:t>La mort, la carbonisation et la pétrification de certains habitants de Pompéi en 79 EC provoquées par la chaleur intense d’un nuage pyroclastique et par les cendres provenant de l’éruption du mont Vésuve (</w:t>
      </w:r>
      <w:r>
        <w:rPr>
          <w:rStyle w:val="VerbatimChar"/>
        </w:rPr>
        <w:t>E69_Mort</w:t>
      </w:r>
      <w:r>
        <w:t xml:space="preserve">, </w:t>
      </w:r>
      <w:r>
        <w:rPr>
          <w:rStyle w:val="VerbatimChar"/>
        </w:rPr>
        <w:t>E81_Transformation</w:t>
      </w:r>
      <w:r>
        <w:t>)</w:t>
      </w:r>
    </w:p>
    <w:p w14:paraId="4B3F29A1" w14:textId="667695F2" w:rsidR="0084489F" w:rsidRDefault="00110FE6" w:rsidP="00806324">
      <w:pPr>
        <w:numPr>
          <w:ilvl w:val="0"/>
          <w:numId w:val="123"/>
        </w:numPr>
      </w:pPr>
      <w:r w:rsidRPr="1B9E7434">
        <w:rPr>
          <w:lang w:val="fr-FR"/>
        </w:rPr>
        <w:t>La transformation du temple Héphaïstéion à Athènes, mieux connu sous le nom de « Théséion », en une église chrétienne dédiée à saint Georges vers 700 EC (</w:t>
      </w:r>
      <w:r w:rsidRPr="1B9E7434">
        <w:rPr>
          <w:rStyle w:val="VerbatimChar"/>
          <w:lang w:val="fr-FR"/>
        </w:rPr>
        <w:t>E81_Transformation</w:t>
      </w:r>
      <w:r w:rsidRPr="1B9E7434">
        <w:rPr>
          <w:lang w:val="fr-FR"/>
        </w:rPr>
        <w:t xml:space="preserve">, </w:t>
      </w:r>
      <w:r w:rsidRPr="1B9E7434">
        <w:rPr>
          <w:rStyle w:val="VerbatimChar"/>
          <w:lang w:val="fr-FR"/>
        </w:rPr>
        <w:t>E12_Production</w:t>
      </w:r>
      <w:r w:rsidRPr="1B9E7434">
        <w:rPr>
          <w:lang w:val="fr-FR"/>
        </w:rPr>
        <w:t>) [ce qui a permis de préserver une partie de la structure du temple antique construit à partir de 449 AEC]</w:t>
      </w:r>
    </w:p>
    <w:p w14:paraId="512CD91C" w14:textId="77777777" w:rsidR="0084489F" w:rsidRDefault="00110FE6">
      <w:pPr>
        <w:pStyle w:val="FirstParagraph"/>
      </w:pPr>
      <w:r>
        <w:rPr>
          <w:b/>
          <w:bCs/>
        </w:rPr>
        <w:t>Logique</w:t>
      </w:r>
    </w:p>
    <w:p w14:paraId="4091D5EC" w14:textId="77777777" w:rsidR="0084489F" w:rsidRDefault="00110FE6">
      <w:pPr>
        <w:pStyle w:val="BodyText"/>
      </w:pPr>
      <w:r>
        <w:t>E81(x) ⇒ E63(x)</w:t>
      </w:r>
    </w:p>
    <w:p w14:paraId="35C894E7" w14:textId="77777777" w:rsidR="0084489F" w:rsidRDefault="00110FE6">
      <w:pPr>
        <w:pStyle w:val="BodyText"/>
      </w:pPr>
      <w:r>
        <w:t>E81(x) ⇒ E64(x)</w:t>
      </w:r>
    </w:p>
    <w:p w14:paraId="6B053769" w14:textId="77777777" w:rsidR="0084489F" w:rsidRDefault="00110FE6">
      <w:pPr>
        <w:pStyle w:val="BodyText"/>
      </w:pPr>
      <w:r>
        <w:rPr>
          <w:b/>
          <w:bCs/>
        </w:rPr>
        <w:t>Propriétés</w:t>
      </w:r>
    </w:p>
    <w:p w14:paraId="422B9AA6" w14:textId="77777777" w:rsidR="0084489F" w:rsidRDefault="00110FE6">
      <w:pPr>
        <w:pStyle w:val="BodyText"/>
      </w:pPr>
      <w:r w:rsidRPr="1B9E7434">
        <w:rPr>
          <w:rStyle w:val="VerbatimChar"/>
          <w:lang w:val="fr-FR"/>
        </w:rPr>
        <w:t>P123_a_eu_pour_résultat (a_résulté_de)</w:t>
      </w:r>
      <w:r w:rsidRPr="1B9E7434">
        <w:rPr>
          <w:lang w:val="fr-FR"/>
        </w:rPr>
        <w:t xml:space="preserve"> : </w:t>
      </w:r>
      <w:r w:rsidRPr="1B9E7434">
        <w:rPr>
          <w:rStyle w:val="VerbatimChar"/>
          <w:lang w:val="fr-FR"/>
        </w:rPr>
        <w:t>E18_Chose_matérielle</w:t>
      </w:r>
    </w:p>
    <w:p w14:paraId="1DD8B48A" w14:textId="77777777" w:rsidR="0084489F" w:rsidRDefault="00110FE6">
      <w:pPr>
        <w:pStyle w:val="BodyText"/>
      </w:pPr>
      <w:r w:rsidRPr="1B9E7434">
        <w:rPr>
          <w:rStyle w:val="VerbatimChar"/>
          <w:lang w:val="fr-FR"/>
        </w:rPr>
        <w:t>P124_a_transformé (a_été_transformé_par)</w:t>
      </w:r>
      <w:r w:rsidRPr="1B9E7434">
        <w:rPr>
          <w:lang w:val="fr-FR"/>
        </w:rPr>
        <w:t xml:space="preserve"> : </w:t>
      </w:r>
      <w:r w:rsidRPr="1B9E7434">
        <w:rPr>
          <w:rStyle w:val="VerbatimChar"/>
          <w:lang w:val="fr-FR"/>
        </w:rPr>
        <w:t>E18_Chose_matérielle</w:t>
      </w:r>
    </w:p>
    <w:p w14:paraId="1D92CAA2" w14:textId="77777777" w:rsidR="0084489F" w:rsidRDefault="00110FE6">
      <w:pPr>
        <w:pStyle w:val="BlockText"/>
      </w:pPr>
      <w:r>
        <w:rPr>
          <w:b/>
          <w:bCs/>
          <w:i/>
          <w:iCs/>
        </w:rPr>
        <w:t>Note de traduction</w:t>
      </w:r>
    </w:p>
    <w:p w14:paraId="23745AAE" w14:textId="77777777" w:rsidR="0084489F" w:rsidRDefault="00110FE6">
      <w:pPr>
        <w:pStyle w:val="BlockText"/>
      </w:pPr>
      <w:r>
        <w:rPr>
          <w:b/>
          <w:bCs/>
          <w:i/>
          <w:iCs/>
        </w:rPr>
        <w:t>Références</w:t>
      </w:r>
    </w:p>
    <w:p w14:paraId="41C79708" w14:textId="77777777" w:rsidR="0084489F" w:rsidRDefault="0084489F">
      <w:pPr>
        <w:pStyle w:val="BlockText"/>
      </w:pPr>
    </w:p>
    <w:p w14:paraId="20F9F53C" w14:textId="77777777" w:rsidR="0084489F" w:rsidRDefault="00110FE6">
      <w:pPr>
        <w:pStyle w:val="Heading2"/>
      </w:pPr>
      <w:bookmarkStart w:id="241" w:name="_Toc176864502"/>
      <w:bookmarkStart w:id="242" w:name="e83-creation-de-type"/>
      <w:bookmarkEnd w:id="240"/>
      <w:r>
        <w:t>E83 Création de type</w:t>
      </w:r>
      <w:bookmarkEnd w:id="241"/>
    </w:p>
    <w:p w14:paraId="3041C4C8" w14:textId="77777777" w:rsidR="0084489F" w:rsidRDefault="00110FE6">
      <w:pPr>
        <w:pStyle w:val="FirstParagraph"/>
      </w:pPr>
      <w:r>
        <w:rPr>
          <w:b/>
          <w:bCs/>
        </w:rPr>
        <w:t>Sous-classe de</w:t>
      </w:r>
    </w:p>
    <w:p w14:paraId="6626F928" w14:textId="77777777" w:rsidR="0084489F" w:rsidRDefault="00110FE6">
      <w:pPr>
        <w:pStyle w:val="BodyText"/>
      </w:pPr>
      <w:r>
        <w:rPr>
          <w:rStyle w:val="VerbatimChar"/>
        </w:rPr>
        <w:t>E65_Création</w:t>
      </w:r>
    </w:p>
    <w:p w14:paraId="00315ED5" w14:textId="77777777" w:rsidR="0084489F" w:rsidRDefault="00110FE6">
      <w:pPr>
        <w:pStyle w:val="BodyText"/>
      </w:pPr>
      <w:r>
        <w:rPr>
          <w:b/>
          <w:bCs/>
        </w:rPr>
        <w:t>Super-classe de</w:t>
      </w:r>
    </w:p>
    <w:p w14:paraId="010FC90E" w14:textId="77777777" w:rsidR="0084489F" w:rsidRDefault="00110FE6">
      <w:pPr>
        <w:pStyle w:val="BodyText"/>
      </w:pPr>
      <w:r>
        <w:rPr>
          <w:b/>
          <w:bCs/>
        </w:rPr>
        <w:t>Note d’application</w:t>
      </w:r>
    </w:p>
    <w:p w14:paraId="55A0CFFD" w14:textId="77777777" w:rsidR="0084489F" w:rsidRDefault="00110FE6">
      <w:pPr>
        <w:pStyle w:val="BodyText"/>
      </w:pPr>
      <w:r>
        <w:t>Cette classe comprend les activités définissant formellement de nouveaux types d’entités.</w:t>
      </w:r>
    </w:p>
    <w:p w14:paraId="15580414" w14:textId="77777777" w:rsidR="0084489F" w:rsidRDefault="00110FE6">
      <w:pPr>
        <w:pStyle w:val="BodyText"/>
      </w:pPr>
      <w:r>
        <w:t>C’est généralement un processus savant ou scientifique rigoureux qui garantit qu’un type est décrit de manière exhaustive et qu’il est nommé de manière appropriée.</w:t>
      </w:r>
    </w:p>
    <w:p w14:paraId="6CA11FEC" w14:textId="77777777" w:rsidR="0084489F" w:rsidRDefault="00110FE6">
      <w:pPr>
        <w:pStyle w:val="BodyText"/>
      </w:pPr>
      <w:r>
        <w:t xml:space="preserve">Dans certains cas, en particulier en archéologie ou en sciences de la vie, </w:t>
      </w:r>
      <w:r>
        <w:rPr>
          <w:rStyle w:val="VerbatimChar"/>
        </w:rPr>
        <w:t>E83_Création_de_type</w:t>
      </w:r>
      <w:r>
        <w:t xml:space="preserve"> nécessite l’identification d’un spécimen de référence et la publication de la définition de son type dans un forum de discussion scientifique approprié. L’activité modélisée comme une instance de </w:t>
      </w:r>
      <w:r>
        <w:rPr>
          <w:rStyle w:val="VerbatimChar"/>
        </w:rPr>
        <w:t>E83_Création_de_type</w:t>
      </w:r>
      <w:r>
        <w:t xml:space="preserve"> est essentielle à la recherche en sciences de la vie. Dans ce domaine, le « taxon » fait référence au type, le « protologue » à la description du type et le « type original » ou « holotype » aux spécimens de référence.</w:t>
      </w:r>
    </w:p>
    <w:p w14:paraId="7C528476" w14:textId="77777777" w:rsidR="0084489F" w:rsidRDefault="00110FE6">
      <w:pPr>
        <w:pStyle w:val="BodyText"/>
      </w:pPr>
      <w:r>
        <w:rPr>
          <w:b/>
          <w:bCs/>
        </w:rPr>
        <w:lastRenderedPageBreak/>
        <w:t>Exemples</w:t>
      </w:r>
    </w:p>
    <w:p w14:paraId="04B09A15" w14:textId="2F56A6B3" w:rsidR="0084489F" w:rsidRDefault="00110FE6" w:rsidP="00806324">
      <w:pPr>
        <w:numPr>
          <w:ilvl w:val="0"/>
          <w:numId w:val="124"/>
        </w:numPr>
      </w:pPr>
      <w:r w:rsidRPr="1B9E7434">
        <w:rPr>
          <w:lang w:val="fr-FR"/>
        </w:rPr>
        <w:t xml:space="preserve">Création du taxon </w:t>
      </w:r>
      <w:r w:rsidRPr="1B9E7434">
        <w:rPr>
          <w:i/>
          <w:iCs/>
          <w:lang w:val="fr-FR"/>
        </w:rPr>
        <w:t>Penicillium brefeldianum</w:t>
      </w:r>
      <w:r w:rsidRPr="1B9E7434">
        <w:rPr>
          <w:lang w:val="fr-FR"/>
        </w:rPr>
        <w:t xml:space="preserve"> (Dodge, 1933)</w:t>
      </w:r>
    </w:p>
    <w:p w14:paraId="0613CACF" w14:textId="77777777" w:rsidR="0084489F" w:rsidRDefault="00110FE6" w:rsidP="00806324">
      <w:pPr>
        <w:numPr>
          <w:ilvl w:val="0"/>
          <w:numId w:val="124"/>
        </w:numPr>
      </w:pPr>
      <w:r>
        <w:t xml:space="preserve">Ajout de la classe </w:t>
      </w:r>
      <w:r>
        <w:rPr>
          <w:rStyle w:val="VerbatimChar"/>
        </w:rPr>
        <w:t>E85_Adhésion</w:t>
      </w:r>
      <w:r>
        <w:t xml:space="preserve"> au CIDOC CRM</w:t>
      </w:r>
    </w:p>
    <w:p w14:paraId="40581CFF" w14:textId="77777777" w:rsidR="0084489F" w:rsidRDefault="00110FE6">
      <w:pPr>
        <w:pStyle w:val="FirstParagraph"/>
      </w:pPr>
      <w:r>
        <w:rPr>
          <w:b/>
          <w:bCs/>
        </w:rPr>
        <w:t>Logique</w:t>
      </w:r>
    </w:p>
    <w:p w14:paraId="0F5D4C84" w14:textId="77777777" w:rsidR="0084489F" w:rsidRDefault="00110FE6">
      <w:pPr>
        <w:pStyle w:val="BodyText"/>
      </w:pPr>
      <w:r>
        <w:t>E83(x) ⇒ E65(x)</w:t>
      </w:r>
    </w:p>
    <w:p w14:paraId="094D0A52" w14:textId="77777777" w:rsidR="0084489F" w:rsidRDefault="00110FE6" w:rsidP="00110FE6">
      <w:pPr>
        <w:pStyle w:val="BodyText"/>
        <w:keepNext/>
      </w:pPr>
      <w:r>
        <w:rPr>
          <w:b/>
          <w:bCs/>
        </w:rPr>
        <w:t>Propriétés</w:t>
      </w:r>
    </w:p>
    <w:p w14:paraId="6B919F43" w14:textId="77777777" w:rsidR="0084489F" w:rsidRDefault="00110FE6" w:rsidP="00110FE6">
      <w:pPr>
        <w:pStyle w:val="BodyText"/>
        <w:keepNext/>
      </w:pPr>
      <w:r w:rsidRPr="1B9E7434">
        <w:rPr>
          <w:rStyle w:val="VerbatimChar"/>
          <w:lang w:val="fr-FR"/>
        </w:rPr>
        <w:t>P135_a_créé_le_type (a_été_créé_par)</w:t>
      </w:r>
      <w:r w:rsidRPr="1B9E7434">
        <w:rPr>
          <w:lang w:val="fr-FR"/>
        </w:rPr>
        <w:t xml:space="preserve"> : </w:t>
      </w:r>
      <w:r w:rsidRPr="1B9E7434">
        <w:rPr>
          <w:rStyle w:val="VerbatimChar"/>
          <w:lang w:val="fr-FR"/>
        </w:rPr>
        <w:t>E55_Type</w:t>
      </w:r>
    </w:p>
    <w:p w14:paraId="4C97C560" w14:textId="77777777" w:rsidR="0084489F" w:rsidRDefault="00110FE6">
      <w:pPr>
        <w:pStyle w:val="BodyText"/>
      </w:pPr>
      <w:r w:rsidRPr="1B9E7434">
        <w:rPr>
          <w:rStyle w:val="VerbatimChar"/>
          <w:lang w:val="fr-FR"/>
        </w:rPr>
        <w:t>P136_a_été_fondé_sur (a_fondé_la_création_du_type)</w:t>
      </w:r>
      <w:r w:rsidRPr="1B9E7434">
        <w:rPr>
          <w:lang w:val="fr-FR"/>
        </w:rPr>
        <w:t xml:space="preserve"> : </w:t>
      </w:r>
      <w:r w:rsidRPr="1B9E7434">
        <w:rPr>
          <w:rStyle w:val="VerbatimChar"/>
          <w:lang w:val="fr-FR"/>
        </w:rPr>
        <w:t>E1_Entité_CRM</w:t>
      </w:r>
    </w:p>
    <w:p w14:paraId="757BCD69" w14:textId="77777777" w:rsidR="0084489F" w:rsidRDefault="00110FE6">
      <w:pPr>
        <w:pStyle w:val="BodyText"/>
      </w:pPr>
      <w:r>
        <w:t>(</w:t>
      </w:r>
      <w:r>
        <w:rPr>
          <w:rStyle w:val="VerbatimChar"/>
        </w:rPr>
        <w:t>P136.1_dans_le_rôle_taxonomique_de</w:t>
      </w:r>
      <w:r>
        <w:t xml:space="preserve"> : </w:t>
      </w:r>
      <w:r>
        <w:rPr>
          <w:rStyle w:val="VerbatimChar"/>
        </w:rPr>
        <w:t>E55_Type</w:t>
      </w:r>
      <w:r>
        <w:t>)</w:t>
      </w:r>
    </w:p>
    <w:p w14:paraId="298437AC" w14:textId="77777777" w:rsidR="0084489F" w:rsidRDefault="00110FE6">
      <w:pPr>
        <w:pStyle w:val="BlockText"/>
      </w:pPr>
      <w:r>
        <w:rPr>
          <w:b/>
          <w:bCs/>
          <w:i/>
          <w:iCs/>
        </w:rPr>
        <w:t>Note de traduction</w:t>
      </w:r>
    </w:p>
    <w:p w14:paraId="50588525" w14:textId="77777777" w:rsidR="0084489F" w:rsidRDefault="00110FE6">
      <w:pPr>
        <w:pStyle w:val="BlockText"/>
      </w:pPr>
      <w:r>
        <w:rPr>
          <w:b/>
          <w:bCs/>
          <w:i/>
          <w:iCs/>
        </w:rPr>
        <w:t>Références</w:t>
      </w:r>
    </w:p>
    <w:p w14:paraId="6EF8B71A" w14:textId="77777777" w:rsidR="0084489F" w:rsidRDefault="0084489F">
      <w:pPr>
        <w:pStyle w:val="BlockText"/>
      </w:pPr>
    </w:p>
    <w:p w14:paraId="56955868" w14:textId="77777777" w:rsidR="0084489F" w:rsidRDefault="00110FE6">
      <w:pPr>
        <w:pStyle w:val="Heading2"/>
      </w:pPr>
      <w:bookmarkStart w:id="243" w:name="_Toc176864503"/>
      <w:bookmarkStart w:id="244" w:name="e85-adhesion"/>
      <w:bookmarkEnd w:id="242"/>
      <w:r>
        <w:t>E85 Adhésion</w:t>
      </w:r>
      <w:bookmarkEnd w:id="243"/>
    </w:p>
    <w:p w14:paraId="3A6D6047" w14:textId="77777777" w:rsidR="0084489F" w:rsidRDefault="00110FE6">
      <w:pPr>
        <w:pStyle w:val="FirstParagraph"/>
      </w:pPr>
      <w:r>
        <w:rPr>
          <w:b/>
          <w:bCs/>
        </w:rPr>
        <w:t>Sous-classe de</w:t>
      </w:r>
    </w:p>
    <w:p w14:paraId="11135D1C" w14:textId="77777777" w:rsidR="0084489F" w:rsidRDefault="00110FE6">
      <w:pPr>
        <w:pStyle w:val="BodyText"/>
      </w:pPr>
      <w:r>
        <w:rPr>
          <w:rStyle w:val="VerbatimChar"/>
        </w:rPr>
        <w:t>E7_Activité</w:t>
      </w:r>
    </w:p>
    <w:p w14:paraId="2EE7C26E" w14:textId="77777777" w:rsidR="0084489F" w:rsidRDefault="00110FE6">
      <w:pPr>
        <w:pStyle w:val="BodyText"/>
      </w:pPr>
      <w:r>
        <w:rPr>
          <w:b/>
          <w:bCs/>
        </w:rPr>
        <w:t>Super-classe de</w:t>
      </w:r>
    </w:p>
    <w:p w14:paraId="0C1AC5D7" w14:textId="77777777" w:rsidR="0084489F" w:rsidRDefault="00110FE6">
      <w:pPr>
        <w:pStyle w:val="BodyText"/>
      </w:pPr>
      <w:r>
        <w:rPr>
          <w:b/>
          <w:bCs/>
        </w:rPr>
        <w:t>Note d’application</w:t>
      </w:r>
    </w:p>
    <w:p w14:paraId="7A246E57" w14:textId="77777777" w:rsidR="0084489F" w:rsidRDefault="00110FE6">
      <w:pPr>
        <w:pStyle w:val="BodyText"/>
      </w:pPr>
      <w:r>
        <w:t xml:space="preserve">Cette classe comprend les activités qui font qu’une instance de </w:t>
      </w:r>
      <w:r>
        <w:rPr>
          <w:rStyle w:val="VerbatimChar"/>
        </w:rPr>
        <w:t>E39_Actant</w:t>
      </w:r>
      <w:r>
        <w:t xml:space="preserve"> devient membre d’une instance de </w:t>
      </w:r>
      <w:r>
        <w:rPr>
          <w:rStyle w:val="VerbatimChar"/>
        </w:rPr>
        <w:t>E74_Groupe</w:t>
      </w:r>
      <w:r>
        <w:t>. Cette classe n’implique pas une initiative de l’une ou l’autre des parties impliquées. Il peut s’agir de l’initiative d’une tierce partie.</w:t>
      </w:r>
    </w:p>
    <w:p w14:paraId="62AA0A5F" w14:textId="77777777" w:rsidR="0084489F" w:rsidRDefault="00110FE6">
      <w:pPr>
        <w:pStyle w:val="BodyText"/>
      </w:pPr>
      <w:r>
        <w:t xml:space="preserve">Des exemples typiques d’instances de </w:t>
      </w:r>
      <w:r>
        <w:rPr>
          <w:rStyle w:val="VerbatimChar"/>
        </w:rPr>
        <w:t>E85_Adhésion</w:t>
      </w:r>
      <w:r>
        <w:t xml:space="preserve"> sont le fait de devenir membre d’une organisation sociale, le fait pour une personne d’être employée d’une compagnie, un mariage, l’adoption d’un enfant par une famille, et l’investiture d’une personne à un poste officiel.</w:t>
      </w:r>
    </w:p>
    <w:p w14:paraId="305CC7A3" w14:textId="77777777" w:rsidR="0084489F" w:rsidRDefault="00110FE6">
      <w:pPr>
        <w:pStyle w:val="BodyText"/>
      </w:pPr>
      <w:r>
        <w:rPr>
          <w:b/>
          <w:bCs/>
        </w:rPr>
        <w:t>Exemples</w:t>
      </w:r>
    </w:p>
    <w:p w14:paraId="72638BFB" w14:textId="5FEF8827" w:rsidR="0084489F" w:rsidRDefault="00110FE6" w:rsidP="00806324">
      <w:pPr>
        <w:numPr>
          <w:ilvl w:val="0"/>
          <w:numId w:val="125"/>
        </w:numPr>
      </w:pPr>
      <w:r w:rsidRPr="1B9E7434">
        <w:rPr>
          <w:lang w:val="fr-FR"/>
        </w:rPr>
        <w:t>L’élection de Sir Isaac Newton, en 1689, en tant que membre du Parlement d’Angleterre pour l’Université de Cambridge à la convention du Parlement (Gleick, 2003)</w:t>
      </w:r>
    </w:p>
    <w:p w14:paraId="6FFE1F3B" w14:textId="2EF8DB8E" w:rsidR="0084489F" w:rsidRDefault="00110FE6" w:rsidP="00806324">
      <w:pPr>
        <w:numPr>
          <w:ilvl w:val="0"/>
          <w:numId w:val="125"/>
        </w:numPr>
      </w:pPr>
      <w:r w:rsidRPr="1B9E7434">
        <w:rPr>
          <w:lang w:val="fr-FR"/>
        </w:rPr>
        <w:t>L’investiture de Mikhaïl Sergueïevitch Gorbatchev en tant que dirigeant de l’Union des républiques socialistes soviétiques (URSS) en 1985 (Butson, 1986)</w:t>
      </w:r>
    </w:p>
    <w:p w14:paraId="03010ECD" w14:textId="77777777" w:rsidR="0084489F" w:rsidRDefault="00110FE6" w:rsidP="00806324">
      <w:pPr>
        <w:numPr>
          <w:ilvl w:val="0"/>
          <w:numId w:val="125"/>
        </w:numPr>
      </w:pPr>
      <w:r>
        <w:t>La mise en application du traité d’adhésion du Danemark à l’Union européenne le 1er janvier 1993</w:t>
      </w:r>
    </w:p>
    <w:p w14:paraId="5AA18565" w14:textId="77777777" w:rsidR="0084489F" w:rsidRDefault="00110FE6">
      <w:pPr>
        <w:pStyle w:val="FirstParagraph"/>
      </w:pPr>
      <w:r>
        <w:rPr>
          <w:b/>
          <w:bCs/>
        </w:rPr>
        <w:t>Logique</w:t>
      </w:r>
    </w:p>
    <w:p w14:paraId="01875302" w14:textId="77777777" w:rsidR="0084489F" w:rsidRDefault="00110FE6">
      <w:pPr>
        <w:pStyle w:val="BodyText"/>
      </w:pPr>
      <w:r>
        <w:t>E85(x) ⇒ E7(x)</w:t>
      </w:r>
    </w:p>
    <w:p w14:paraId="3F8819A4" w14:textId="77777777" w:rsidR="0084489F" w:rsidRDefault="00110FE6">
      <w:pPr>
        <w:pStyle w:val="BodyText"/>
      </w:pPr>
      <w:r>
        <w:rPr>
          <w:b/>
          <w:bCs/>
        </w:rPr>
        <w:t>Propriétés</w:t>
      </w:r>
    </w:p>
    <w:p w14:paraId="634C7EF8" w14:textId="77777777" w:rsidR="0084489F" w:rsidRDefault="00110FE6">
      <w:pPr>
        <w:pStyle w:val="BodyText"/>
      </w:pPr>
      <w:r w:rsidRPr="1B9E7434">
        <w:rPr>
          <w:rStyle w:val="VerbatimChar"/>
          <w:lang w:val="fr-FR"/>
        </w:rPr>
        <w:t>P143_a_fait_adhérer (a_adhéré_par)</w:t>
      </w:r>
      <w:r w:rsidRPr="1B9E7434">
        <w:rPr>
          <w:lang w:val="fr-FR"/>
        </w:rPr>
        <w:t xml:space="preserve"> : </w:t>
      </w:r>
      <w:r w:rsidRPr="1B9E7434">
        <w:rPr>
          <w:rStyle w:val="VerbatimChar"/>
          <w:lang w:val="fr-FR"/>
        </w:rPr>
        <w:t>E39_Actant</w:t>
      </w:r>
    </w:p>
    <w:p w14:paraId="08AFE5F6" w14:textId="77777777" w:rsidR="0084489F" w:rsidRDefault="00110FE6">
      <w:pPr>
        <w:pStyle w:val="BodyText"/>
      </w:pPr>
      <w:r w:rsidRPr="1B9E7434">
        <w:rPr>
          <w:rStyle w:val="VerbatimChar"/>
          <w:lang w:val="fr-FR"/>
        </w:rPr>
        <w:lastRenderedPageBreak/>
        <w:t>P144_a_fait_adhérer_à (a_accueilli_le_membre_par)</w:t>
      </w:r>
      <w:r w:rsidRPr="1B9E7434">
        <w:rPr>
          <w:lang w:val="fr-FR"/>
        </w:rPr>
        <w:t xml:space="preserve"> : </w:t>
      </w:r>
      <w:r w:rsidRPr="1B9E7434">
        <w:rPr>
          <w:rStyle w:val="VerbatimChar"/>
          <w:lang w:val="fr-FR"/>
        </w:rPr>
        <w:t>E74_Groupe</w:t>
      </w:r>
    </w:p>
    <w:p w14:paraId="5F15B720" w14:textId="77777777" w:rsidR="0084489F" w:rsidRDefault="00110FE6">
      <w:pPr>
        <w:pStyle w:val="BodyText"/>
      </w:pPr>
      <w:r>
        <w:t>(</w:t>
      </w:r>
      <w:r>
        <w:rPr>
          <w:rStyle w:val="VerbatimChar"/>
        </w:rPr>
        <w:t>P144.1_sorte_de_membre</w:t>
      </w:r>
      <w:r>
        <w:t xml:space="preserve"> : </w:t>
      </w:r>
      <w:r>
        <w:rPr>
          <w:rStyle w:val="VerbatimChar"/>
        </w:rPr>
        <w:t>E55_Type</w:t>
      </w:r>
      <w:r>
        <w:t>)</w:t>
      </w:r>
    </w:p>
    <w:p w14:paraId="5F1F3FA2" w14:textId="77777777" w:rsidR="0084489F" w:rsidRDefault="00110FE6">
      <w:pPr>
        <w:pStyle w:val="BlockText"/>
      </w:pPr>
      <w:r>
        <w:rPr>
          <w:b/>
          <w:bCs/>
          <w:i/>
          <w:iCs/>
        </w:rPr>
        <w:t>Note de traduction</w:t>
      </w:r>
    </w:p>
    <w:p w14:paraId="4CD9111A" w14:textId="77777777" w:rsidR="0084489F" w:rsidRDefault="00110FE6">
      <w:pPr>
        <w:pStyle w:val="BlockText"/>
      </w:pPr>
      <w:r>
        <w:rPr>
          <w:b/>
          <w:bCs/>
          <w:i/>
          <w:iCs/>
        </w:rPr>
        <w:t>Références</w:t>
      </w:r>
    </w:p>
    <w:p w14:paraId="3E71F7D3" w14:textId="77777777" w:rsidR="0084489F" w:rsidRDefault="0084489F">
      <w:pPr>
        <w:pStyle w:val="BlockText"/>
      </w:pPr>
    </w:p>
    <w:p w14:paraId="353D2A47" w14:textId="77777777" w:rsidR="0084489F" w:rsidRDefault="00110FE6">
      <w:pPr>
        <w:pStyle w:val="Heading2"/>
      </w:pPr>
      <w:bookmarkStart w:id="245" w:name="_Toc176864504"/>
      <w:bookmarkStart w:id="246" w:name="e86-depart"/>
      <w:bookmarkEnd w:id="244"/>
      <w:r>
        <w:t>E86 Départ</w:t>
      </w:r>
      <w:bookmarkEnd w:id="245"/>
    </w:p>
    <w:p w14:paraId="068BAA5B" w14:textId="77777777" w:rsidR="0084489F" w:rsidRDefault="00110FE6">
      <w:pPr>
        <w:pStyle w:val="FirstParagraph"/>
      </w:pPr>
      <w:r>
        <w:rPr>
          <w:b/>
          <w:bCs/>
        </w:rPr>
        <w:t>Sous-classe de</w:t>
      </w:r>
    </w:p>
    <w:p w14:paraId="37132041" w14:textId="77777777" w:rsidR="0084489F" w:rsidRDefault="00110FE6">
      <w:pPr>
        <w:pStyle w:val="BodyText"/>
      </w:pPr>
      <w:r>
        <w:rPr>
          <w:rStyle w:val="VerbatimChar"/>
        </w:rPr>
        <w:t>E7_Activité</w:t>
      </w:r>
    </w:p>
    <w:p w14:paraId="73C9241E" w14:textId="77777777" w:rsidR="0084489F" w:rsidRDefault="00110FE6">
      <w:pPr>
        <w:pStyle w:val="BodyText"/>
      </w:pPr>
      <w:r>
        <w:rPr>
          <w:b/>
          <w:bCs/>
        </w:rPr>
        <w:t>Super-classe de</w:t>
      </w:r>
    </w:p>
    <w:p w14:paraId="067B902F" w14:textId="77777777" w:rsidR="0084489F" w:rsidRDefault="00110FE6">
      <w:pPr>
        <w:pStyle w:val="BodyText"/>
      </w:pPr>
      <w:r>
        <w:rPr>
          <w:b/>
          <w:bCs/>
        </w:rPr>
        <w:t>Note d’application</w:t>
      </w:r>
    </w:p>
    <w:p w14:paraId="4D570329" w14:textId="77777777" w:rsidR="0084489F" w:rsidRDefault="00110FE6">
      <w:pPr>
        <w:pStyle w:val="BodyText"/>
      </w:pPr>
      <w:r>
        <w:t xml:space="preserve">Cette classe comprend les activités qui entraînent la dissociation d’une instance de </w:t>
      </w:r>
      <w:r>
        <w:rPr>
          <w:rStyle w:val="VerbatimChar"/>
        </w:rPr>
        <w:t>E39_Actant</w:t>
      </w:r>
      <w:r>
        <w:t xml:space="preserve"> d’une instance de </w:t>
      </w:r>
      <w:r>
        <w:rPr>
          <w:rStyle w:val="VerbatimChar"/>
        </w:rPr>
        <w:t>E74_Groupe</w:t>
      </w:r>
      <w:r>
        <w:t>. Cette classe n’implique pas une initiative de l’une ou l’autre des parties impliquées. Il peut s’agir de l’initiative d’une tierce partie.</w:t>
      </w:r>
    </w:p>
    <w:p w14:paraId="1E211C8E" w14:textId="77777777" w:rsidR="0084489F" w:rsidRDefault="00110FE6">
      <w:pPr>
        <w:pStyle w:val="BodyText"/>
      </w:pPr>
      <w:r>
        <w:t xml:space="preserve">Des exemples typiques d’instances de </w:t>
      </w:r>
      <w:r>
        <w:rPr>
          <w:rStyle w:val="VerbatimChar"/>
        </w:rPr>
        <w:t>E86_Départ</w:t>
      </w:r>
      <w:r>
        <w:t xml:space="preserve"> sont la fin de l’appartenance à une organisation sociale, la fin d’un emploi au sein d’une compagnie, un divorce, et la fin d’un mandat d’une personne dans un poste officiel.</w:t>
      </w:r>
    </w:p>
    <w:p w14:paraId="77513332" w14:textId="77777777" w:rsidR="0084489F" w:rsidRDefault="00110FE6">
      <w:pPr>
        <w:pStyle w:val="BodyText"/>
      </w:pPr>
      <w:r>
        <w:rPr>
          <w:b/>
          <w:bCs/>
        </w:rPr>
        <w:t>Exemples</w:t>
      </w:r>
    </w:p>
    <w:p w14:paraId="01260D8A" w14:textId="0B240F5F" w:rsidR="0084489F" w:rsidRDefault="00110FE6" w:rsidP="00806324">
      <w:pPr>
        <w:numPr>
          <w:ilvl w:val="0"/>
          <w:numId w:val="126"/>
        </w:numPr>
      </w:pPr>
      <w:r w:rsidRPr="1B9E7434">
        <w:rPr>
          <w:lang w:val="fr-FR"/>
        </w:rPr>
        <w:t>La fin du mandat de Sir Isaac Newton, en 1702, en tant que membre Parlement d’Angleterre pour l’Université de Cambridge à la convention du Parlement (Gleick, 2003)</w:t>
      </w:r>
    </w:p>
    <w:p w14:paraId="2BE20ABA" w14:textId="77777777" w:rsidR="0084489F" w:rsidRDefault="00110FE6" w:rsidP="00806324">
      <w:pPr>
        <w:numPr>
          <w:ilvl w:val="0"/>
          <w:numId w:val="126"/>
        </w:numPr>
      </w:pPr>
      <w:r>
        <w:t>George Washington quittant ses fonctions en 1797 (Jones, 1979)</w:t>
      </w:r>
    </w:p>
    <w:p w14:paraId="19C23FC4" w14:textId="47E924B5" w:rsidR="0084489F" w:rsidRDefault="00110FE6" w:rsidP="00806324">
      <w:pPr>
        <w:numPr>
          <w:ilvl w:val="0"/>
          <w:numId w:val="126"/>
        </w:numPr>
      </w:pPr>
      <w:r w:rsidRPr="1B9E7434">
        <w:rPr>
          <w:lang w:val="fr-FR"/>
        </w:rPr>
        <w:t>La mise en place [n.d.t. « Traité sur le Grœnland »] entre l’Union européenne, le Danemark et le Grœnland le 1er février 1985</w:t>
      </w:r>
    </w:p>
    <w:p w14:paraId="4C14F80A" w14:textId="77777777" w:rsidR="0084489F" w:rsidRDefault="00110FE6">
      <w:pPr>
        <w:pStyle w:val="FirstParagraph"/>
      </w:pPr>
      <w:r>
        <w:rPr>
          <w:b/>
          <w:bCs/>
        </w:rPr>
        <w:t>Logique</w:t>
      </w:r>
    </w:p>
    <w:p w14:paraId="5B7C71CF" w14:textId="77777777" w:rsidR="0084489F" w:rsidRDefault="00110FE6">
      <w:pPr>
        <w:pStyle w:val="BodyText"/>
      </w:pPr>
      <w:r>
        <w:t>E86(x) ⇒ E7(x)</w:t>
      </w:r>
    </w:p>
    <w:p w14:paraId="5026F002" w14:textId="77777777" w:rsidR="0084489F" w:rsidRDefault="00110FE6">
      <w:pPr>
        <w:pStyle w:val="BodyText"/>
      </w:pPr>
      <w:r>
        <w:rPr>
          <w:b/>
          <w:bCs/>
        </w:rPr>
        <w:t>Propriétés</w:t>
      </w:r>
    </w:p>
    <w:p w14:paraId="00D26674" w14:textId="77777777" w:rsidR="0084489F" w:rsidRDefault="00110FE6">
      <w:pPr>
        <w:pStyle w:val="BodyText"/>
      </w:pPr>
      <w:r w:rsidRPr="1B9E7434">
        <w:rPr>
          <w:rStyle w:val="VerbatimChar"/>
          <w:lang w:val="fr-FR"/>
        </w:rPr>
        <w:t>P145_a_dissocié (est_dissocié_par)</w:t>
      </w:r>
      <w:r w:rsidRPr="1B9E7434">
        <w:rPr>
          <w:lang w:val="fr-FR"/>
        </w:rPr>
        <w:t xml:space="preserve"> : </w:t>
      </w:r>
      <w:r w:rsidRPr="1B9E7434">
        <w:rPr>
          <w:rStyle w:val="VerbatimChar"/>
          <w:lang w:val="fr-FR"/>
        </w:rPr>
        <w:t>E39_Actant</w:t>
      </w:r>
    </w:p>
    <w:p w14:paraId="22B12EEF" w14:textId="77777777" w:rsidR="0084489F" w:rsidRDefault="00110FE6">
      <w:pPr>
        <w:pStyle w:val="BodyText"/>
      </w:pPr>
      <w:r w:rsidRPr="1B9E7434">
        <w:rPr>
          <w:rStyle w:val="VerbatimChar"/>
          <w:lang w:val="fr-FR"/>
        </w:rPr>
        <w:t>P146_a_dissocié_de (a_perdu_le_membre_par)</w:t>
      </w:r>
      <w:r w:rsidRPr="1B9E7434">
        <w:rPr>
          <w:lang w:val="fr-FR"/>
        </w:rPr>
        <w:t> : </w:t>
      </w:r>
      <w:r w:rsidRPr="1B9E7434">
        <w:rPr>
          <w:rStyle w:val="VerbatimChar"/>
          <w:lang w:val="fr-FR"/>
        </w:rPr>
        <w:t>E74_Groupe</w:t>
      </w:r>
    </w:p>
    <w:p w14:paraId="0262428C" w14:textId="77777777" w:rsidR="0084489F" w:rsidRDefault="00110FE6">
      <w:pPr>
        <w:pStyle w:val="BlockText"/>
      </w:pPr>
      <w:r>
        <w:rPr>
          <w:b/>
          <w:bCs/>
          <w:i/>
          <w:iCs/>
        </w:rPr>
        <w:t>Note de traduction</w:t>
      </w:r>
    </w:p>
    <w:p w14:paraId="0E9FAAEC" w14:textId="77777777" w:rsidR="0084489F" w:rsidRDefault="00110FE6">
      <w:pPr>
        <w:pStyle w:val="BlockText"/>
      </w:pPr>
      <w:r>
        <w:rPr>
          <w:b/>
          <w:bCs/>
          <w:i/>
          <w:iCs/>
        </w:rPr>
        <w:t>Références</w:t>
      </w:r>
    </w:p>
    <w:p w14:paraId="1E6CE875" w14:textId="77777777" w:rsidR="0084489F" w:rsidRDefault="0084489F">
      <w:pPr>
        <w:pStyle w:val="BlockText"/>
      </w:pPr>
    </w:p>
    <w:p w14:paraId="531E92A1" w14:textId="77777777" w:rsidR="0084489F" w:rsidRDefault="00110FE6">
      <w:pPr>
        <w:pStyle w:val="Heading2"/>
      </w:pPr>
      <w:bookmarkStart w:id="247" w:name="_Toc176864505"/>
      <w:bookmarkStart w:id="248" w:name="e87-activite-curatoriale"/>
      <w:bookmarkEnd w:id="246"/>
      <w:r w:rsidRPr="1B9E7434">
        <w:rPr>
          <w:lang w:val="fr-FR"/>
        </w:rPr>
        <w:t>E87 Activité curatoriale</w:t>
      </w:r>
      <w:bookmarkEnd w:id="247"/>
    </w:p>
    <w:p w14:paraId="56EBFC92" w14:textId="77777777" w:rsidR="0084489F" w:rsidRDefault="00110FE6">
      <w:pPr>
        <w:pStyle w:val="FirstParagraph"/>
      </w:pPr>
      <w:r>
        <w:rPr>
          <w:b/>
          <w:bCs/>
        </w:rPr>
        <w:t>Sous-classe de</w:t>
      </w:r>
    </w:p>
    <w:p w14:paraId="36455989" w14:textId="77777777" w:rsidR="0084489F" w:rsidRDefault="00110FE6">
      <w:pPr>
        <w:pStyle w:val="BodyText"/>
      </w:pPr>
      <w:r>
        <w:rPr>
          <w:rStyle w:val="VerbatimChar"/>
        </w:rPr>
        <w:t>E7_Activité</w:t>
      </w:r>
    </w:p>
    <w:p w14:paraId="1D88B736" w14:textId="77777777" w:rsidR="0084489F" w:rsidRDefault="00110FE6">
      <w:pPr>
        <w:pStyle w:val="BodyText"/>
      </w:pPr>
      <w:r>
        <w:rPr>
          <w:b/>
          <w:bCs/>
        </w:rPr>
        <w:t>Super-classe de</w:t>
      </w:r>
    </w:p>
    <w:p w14:paraId="20E94F50" w14:textId="77777777" w:rsidR="0084489F" w:rsidRDefault="00110FE6">
      <w:pPr>
        <w:pStyle w:val="BodyText"/>
      </w:pPr>
      <w:r>
        <w:rPr>
          <w:b/>
          <w:bCs/>
        </w:rPr>
        <w:lastRenderedPageBreak/>
        <w:t>Note d’application</w:t>
      </w:r>
    </w:p>
    <w:p w14:paraId="3194687C" w14:textId="77777777" w:rsidR="0084489F" w:rsidRDefault="00110FE6">
      <w:pPr>
        <w:pStyle w:val="BodyText"/>
      </w:pPr>
      <w:r>
        <w:t xml:space="preserve">Cette classe comprend les activités qui contribuent à la gestion, la préservation et l'évolution des instances de </w:t>
      </w:r>
      <w:r>
        <w:rPr>
          <w:rStyle w:val="VerbatimChar"/>
        </w:rPr>
        <w:t>E78_Collection</w:t>
      </w:r>
      <w:r>
        <w:t>, suivant un plan de conservation implicite ou explicite.</w:t>
      </w:r>
    </w:p>
    <w:p w14:paraId="25792E45" w14:textId="77777777" w:rsidR="0084489F" w:rsidRDefault="00110FE6">
      <w:pPr>
        <w:pStyle w:val="BodyText"/>
      </w:pPr>
      <w:r>
        <w:t>Elle précise la notion d'activité en celle de conservation d'une collection et permet d'enregistrer l'histoire de cette conservation.</w:t>
      </w:r>
    </w:p>
    <w:p w14:paraId="34F0E303" w14:textId="77777777" w:rsidR="0084489F" w:rsidRDefault="00110FE6">
      <w:pPr>
        <w:pStyle w:val="BodyText"/>
      </w:pPr>
      <w:r>
        <w:t xml:space="preserve">Les éléments d’une collection sont accumulés et organisés selon des critères tels que le sujet, la période chronologique, le type de matériau, le style artistique, etc. et peuvent être ajoutés ou retirés d'une instance de </w:t>
      </w:r>
      <w:r>
        <w:rPr>
          <w:rStyle w:val="VerbatimChar"/>
        </w:rPr>
        <w:t>E78_Collection</w:t>
      </w:r>
      <w:r>
        <w:t xml:space="preserve"> dans un but et/ou pour un public spécifique. L'agrégation initiale des éléments pour constituer une collection est considérée comme une instance de </w:t>
      </w:r>
      <w:r>
        <w:rPr>
          <w:rStyle w:val="VerbatimChar"/>
        </w:rPr>
        <w:t>E12_Production</w:t>
      </w:r>
      <w:r>
        <w:t xml:space="preserve">, tandis que les activités d'évolution, de préservation et de promotion d'une collection sont considérées comme des instances de </w:t>
      </w:r>
      <w:r>
        <w:rPr>
          <w:rStyle w:val="VerbatimChar"/>
        </w:rPr>
        <w:t>E87_Activité_curatoriale</w:t>
      </w:r>
      <w:r>
        <w:t>.</w:t>
      </w:r>
    </w:p>
    <w:p w14:paraId="1841AAAE" w14:textId="77777777" w:rsidR="0084489F" w:rsidRDefault="00110FE6">
      <w:pPr>
        <w:pStyle w:val="BodyText"/>
      </w:pPr>
      <w:r>
        <w:rPr>
          <w:b/>
          <w:bCs/>
        </w:rPr>
        <w:t>Exemples</w:t>
      </w:r>
    </w:p>
    <w:p w14:paraId="2A3D9EB8" w14:textId="648130EE" w:rsidR="0084489F" w:rsidRDefault="00110FE6" w:rsidP="00806324">
      <w:pPr>
        <w:numPr>
          <w:ilvl w:val="0"/>
          <w:numId w:val="127"/>
        </w:numPr>
      </w:pPr>
      <w:r w:rsidRPr="1B9E7434">
        <w:rPr>
          <w:lang w:val="fr-FR"/>
        </w:rPr>
        <w:t>La conservation de l'herbier d'algues rouges coralliennes de Mikæl Heggelund Foslie de 1876 à 1909 (année de la mort de Foslie), maintenant gérée par le Musée d'histoire naturelle et d'archéologie de Norvège (Wœlkerling &amp; al, 2005)</w:t>
      </w:r>
    </w:p>
    <w:p w14:paraId="18FEB397" w14:textId="77777777" w:rsidR="0084489F" w:rsidRDefault="00110FE6">
      <w:pPr>
        <w:pStyle w:val="FirstParagraph"/>
      </w:pPr>
      <w:r>
        <w:rPr>
          <w:b/>
          <w:bCs/>
        </w:rPr>
        <w:t>Logique</w:t>
      </w:r>
    </w:p>
    <w:p w14:paraId="7E3C6AEA" w14:textId="77777777" w:rsidR="0084489F" w:rsidRDefault="00110FE6">
      <w:pPr>
        <w:pStyle w:val="BodyText"/>
      </w:pPr>
      <w:r>
        <w:t>E87(x) ⇒ E7(x)</w:t>
      </w:r>
    </w:p>
    <w:p w14:paraId="6EDE82A6" w14:textId="77777777" w:rsidR="0084489F" w:rsidRDefault="00110FE6">
      <w:pPr>
        <w:pStyle w:val="BodyText"/>
      </w:pPr>
      <w:r>
        <w:rPr>
          <w:b/>
          <w:bCs/>
        </w:rPr>
        <w:t>Propriétés</w:t>
      </w:r>
    </w:p>
    <w:p w14:paraId="69470D05" w14:textId="77777777" w:rsidR="0084489F" w:rsidRDefault="00110FE6">
      <w:pPr>
        <w:pStyle w:val="BodyText"/>
      </w:pPr>
      <w:r w:rsidRPr="1B9E7434">
        <w:rPr>
          <w:rStyle w:val="VerbatimChar"/>
          <w:lang w:val="fr-FR"/>
        </w:rPr>
        <w:t>P147_a_géré (a_été_géré_par)</w:t>
      </w:r>
      <w:r w:rsidRPr="1B9E7434">
        <w:rPr>
          <w:lang w:val="fr-FR"/>
        </w:rPr>
        <w:t xml:space="preserve"> : </w:t>
      </w:r>
      <w:r w:rsidRPr="1B9E7434">
        <w:rPr>
          <w:rStyle w:val="VerbatimChar"/>
          <w:lang w:val="fr-FR"/>
        </w:rPr>
        <w:t>E78_Collection</w:t>
      </w:r>
    </w:p>
    <w:p w14:paraId="65CB5640" w14:textId="77777777" w:rsidR="0084489F" w:rsidRDefault="00110FE6">
      <w:pPr>
        <w:pStyle w:val="BlockText"/>
      </w:pPr>
      <w:r>
        <w:rPr>
          <w:b/>
          <w:bCs/>
          <w:i/>
          <w:iCs/>
        </w:rPr>
        <w:t>Note de traduction</w:t>
      </w:r>
    </w:p>
    <w:p w14:paraId="44B8C27F" w14:textId="77777777" w:rsidR="0084489F" w:rsidRDefault="00110FE6">
      <w:pPr>
        <w:pStyle w:val="BlockText"/>
      </w:pPr>
      <w:r>
        <w:rPr>
          <w:b/>
          <w:bCs/>
          <w:i/>
          <w:iCs/>
        </w:rPr>
        <w:t>Références</w:t>
      </w:r>
    </w:p>
    <w:p w14:paraId="7F0A5587" w14:textId="77777777" w:rsidR="0084489F" w:rsidRDefault="0084489F">
      <w:pPr>
        <w:pStyle w:val="BlockText"/>
      </w:pPr>
    </w:p>
    <w:p w14:paraId="4A80229D" w14:textId="77777777" w:rsidR="0084489F" w:rsidRDefault="00110FE6">
      <w:pPr>
        <w:pStyle w:val="Heading2"/>
      </w:pPr>
      <w:bookmarkStart w:id="249" w:name="_Toc176864506"/>
      <w:bookmarkStart w:id="250" w:name="e89-objet-propositionnel"/>
      <w:bookmarkEnd w:id="248"/>
      <w:r>
        <w:t>E89 Objet propositionnel</w:t>
      </w:r>
      <w:bookmarkEnd w:id="249"/>
    </w:p>
    <w:p w14:paraId="30BCC391" w14:textId="77777777" w:rsidR="0084489F" w:rsidRDefault="00110FE6">
      <w:pPr>
        <w:pStyle w:val="FirstParagraph"/>
      </w:pPr>
      <w:r>
        <w:rPr>
          <w:b/>
          <w:bCs/>
        </w:rPr>
        <w:t>Sous-classe de</w:t>
      </w:r>
    </w:p>
    <w:p w14:paraId="54A7660B" w14:textId="77777777" w:rsidR="0084489F" w:rsidRDefault="00110FE6">
      <w:pPr>
        <w:pStyle w:val="BodyText"/>
      </w:pPr>
      <w:r>
        <w:rPr>
          <w:rStyle w:val="VerbatimChar"/>
        </w:rPr>
        <w:t>E28_Objet_conceptuel</w:t>
      </w:r>
    </w:p>
    <w:p w14:paraId="3502A211" w14:textId="77777777" w:rsidR="0084489F" w:rsidRDefault="00110FE6">
      <w:pPr>
        <w:pStyle w:val="BodyText"/>
      </w:pPr>
      <w:r>
        <w:rPr>
          <w:b/>
          <w:bCs/>
        </w:rPr>
        <w:t>Super-classe de</w:t>
      </w:r>
    </w:p>
    <w:p w14:paraId="4110397F" w14:textId="77777777" w:rsidR="0084489F" w:rsidRDefault="00110FE6">
      <w:pPr>
        <w:pStyle w:val="BodyText"/>
      </w:pPr>
      <w:r>
        <w:rPr>
          <w:rStyle w:val="VerbatimChar"/>
        </w:rPr>
        <w:t>E30_Droit</w:t>
      </w:r>
    </w:p>
    <w:p w14:paraId="267A9661" w14:textId="77777777" w:rsidR="0084489F" w:rsidRDefault="00110FE6">
      <w:pPr>
        <w:pStyle w:val="BodyText"/>
      </w:pPr>
      <w:r>
        <w:rPr>
          <w:rStyle w:val="VerbatimChar"/>
        </w:rPr>
        <w:t>E73_Objet_informationnel</w:t>
      </w:r>
    </w:p>
    <w:p w14:paraId="47E7C787" w14:textId="77777777" w:rsidR="0084489F" w:rsidRDefault="00110FE6">
      <w:pPr>
        <w:pStyle w:val="BodyText"/>
      </w:pPr>
      <w:r>
        <w:rPr>
          <w:b/>
          <w:bCs/>
        </w:rPr>
        <w:t>Note d’application</w:t>
      </w:r>
    </w:p>
    <w:p w14:paraId="21DE5A0A" w14:textId="77777777" w:rsidR="0084489F" w:rsidRDefault="00110FE6">
      <w:pPr>
        <w:pStyle w:val="BodyText"/>
      </w:pPr>
      <w:r>
        <w:t>Cette classe comprend des entités immatérielles, incluant, sans s'y limiter, des histoires, des intrigues, des prescriptions procédurales, des algorithmes, des lois de la physique ou des images qui sont ou représentent, d’une certaine manière, des ensembles de propositions concernant des choses réelles ou imaginaires et qui sont documentés en tant qu’éléments uniques ou servent de sujet de discours.</w:t>
      </w:r>
    </w:p>
    <w:p w14:paraId="6A30FCDC" w14:textId="77777777" w:rsidR="0084489F" w:rsidRDefault="00110FE6">
      <w:pPr>
        <w:pStyle w:val="BodyText"/>
      </w:pPr>
      <w:r>
        <w:t xml:space="preserve">Cette classe comprend également des entités qui « concernent » quelque chose dans le sens où elles en représentent le sujet. Au sens large, cette classe inclut les expressions de valeur psychologique telles que l'art non figuratif et les thèmes musicaux. Cependant, les entités conceptuelles telles que les types et les classes ne sont pas des instances de </w:t>
      </w:r>
      <w:r>
        <w:rPr>
          <w:rStyle w:val="VerbatimChar"/>
        </w:rPr>
        <w:t>E89_Objet_propositionnel</w:t>
      </w:r>
      <w:r>
        <w:t xml:space="preserve">. Cela ne doit pas être confondu avec la définition d'un type, qui est en effet une instance de </w:t>
      </w:r>
      <w:r>
        <w:rPr>
          <w:rStyle w:val="VerbatimChar"/>
        </w:rPr>
        <w:t>E89_Objet_propositionnel</w:t>
      </w:r>
      <w:r>
        <w:t>.</w:t>
      </w:r>
    </w:p>
    <w:p w14:paraId="74616BD8" w14:textId="77777777" w:rsidR="0084489F" w:rsidRDefault="00110FE6">
      <w:pPr>
        <w:pStyle w:val="BodyText"/>
      </w:pPr>
      <w:r>
        <w:rPr>
          <w:b/>
          <w:bCs/>
        </w:rPr>
        <w:lastRenderedPageBreak/>
        <w:t>Exemples</w:t>
      </w:r>
    </w:p>
    <w:p w14:paraId="58733B33" w14:textId="77777777" w:rsidR="0084489F" w:rsidRDefault="00110FE6" w:rsidP="00806324">
      <w:pPr>
        <w:numPr>
          <w:ilvl w:val="0"/>
          <w:numId w:val="128"/>
        </w:numPr>
      </w:pPr>
      <w:r>
        <w:t>Les équations de Maxwell (Ball, 1962)</w:t>
      </w:r>
    </w:p>
    <w:p w14:paraId="57B2E593" w14:textId="422CF85F" w:rsidR="0084489F" w:rsidRDefault="00110FE6" w:rsidP="00806324">
      <w:pPr>
        <w:numPr>
          <w:ilvl w:val="0"/>
          <w:numId w:val="128"/>
        </w:numPr>
      </w:pPr>
      <w:r w:rsidRPr="1B9E7434">
        <w:rPr>
          <w:lang w:val="fr-FR"/>
        </w:rPr>
        <w:t xml:space="preserve">Les contenus représentatifs du livre d'Aristote intitulé </w:t>
      </w:r>
      <w:r w:rsidRPr="1B9E7434">
        <w:rPr>
          <w:i/>
          <w:iCs/>
          <w:lang w:val="fr-FR"/>
        </w:rPr>
        <w:t>Métaphysique</w:t>
      </w:r>
      <w:r w:rsidRPr="1B9E7434">
        <w:rPr>
          <w:lang w:val="fr-FR"/>
        </w:rPr>
        <w:t xml:space="preserve"> (τὰ μετὰ τὰ φυσικά) tel que rendus dans les textes grecs traduits dans l'édition d'Oxford</w:t>
      </w:r>
    </w:p>
    <w:p w14:paraId="051E0E46" w14:textId="77777777" w:rsidR="0084489F" w:rsidRDefault="00110FE6" w:rsidP="00806324">
      <w:pPr>
        <w:numPr>
          <w:ilvl w:val="0"/>
          <w:numId w:val="128"/>
        </w:numPr>
      </w:pPr>
      <w:r>
        <w:t>Le prototype sous-jacent de tout panneau « non-fumeur » (</w:t>
      </w:r>
      <w:r>
        <w:rPr>
          <w:rStyle w:val="VerbatimChar"/>
        </w:rPr>
        <w:t>E36_Entité_visuelle</w:t>
      </w:r>
      <w:r>
        <w:t>)</w:t>
      </w:r>
    </w:p>
    <w:p w14:paraId="6D164D0C" w14:textId="77777777" w:rsidR="0084489F" w:rsidRDefault="00110FE6" w:rsidP="00806324">
      <w:pPr>
        <w:numPr>
          <w:ilvl w:val="0"/>
          <w:numId w:val="128"/>
        </w:numPr>
      </w:pPr>
      <w:r>
        <w:t xml:space="preserve">Les idées communes des intrigues des films </w:t>
      </w:r>
      <w:r>
        <w:rPr>
          <w:i/>
          <w:iCs/>
        </w:rPr>
        <w:t>Les Sept Samouraïs</w:t>
      </w:r>
      <w:r>
        <w:t xml:space="preserve"> (</w:t>
      </w:r>
      <w:r>
        <w:rPr>
          <w:i/>
          <w:iCs/>
        </w:rPr>
        <w:t>七人の侍</w:t>
      </w:r>
      <w:r>
        <w:t xml:space="preserve">) d'Akira Kurosawa et </w:t>
      </w:r>
      <w:r>
        <w:rPr>
          <w:i/>
          <w:iCs/>
        </w:rPr>
        <w:t>Les Sept Mercenaires</w:t>
      </w:r>
      <w:r>
        <w:t xml:space="preserve"> (</w:t>
      </w:r>
      <w:r>
        <w:rPr>
          <w:i/>
          <w:iCs/>
        </w:rPr>
        <w:t>The Magnificent Seven</w:t>
      </w:r>
      <w:r>
        <w:t>) de John Sturges (Mellen, 2002)</w:t>
      </w:r>
    </w:p>
    <w:p w14:paraId="0B96B95A" w14:textId="77777777" w:rsidR="0084489F" w:rsidRDefault="00110FE6" w:rsidP="00806324">
      <w:pPr>
        <w:numPr>
          <w:ilvl w:val="0"/>
          <w:numId w:val="128"/>
        </w:numPr>
      </w:pPr>
      <w:r>
        <w:t>Le contenu de l'image de la photo des chefs alliés à Yalta publiée par UPI, 1945 (</w:t>
      </w:r>
      <w:r>
        <w:rPr>
          <w:rStyle w:val="VerbatimChar"/>
        </w:rPr>
        <w:t>E36_Entité_visuelle</w:t>
      </w:r>
      <w:r>
        <w:t>)</w:t>
      </w:r>
    </w:p>
    <w:p w14:paraId="30516C11" w14:textId="45B44127" w:rsidR="0084489F" w:rsidRDefault="00110FE6" w:rsidP="00806324">
      <w:pPr>
        <w:numPr>
          <w:ilvl w:val="0"/>
          <w:numId w:val="128"/>
        </w:numPr>
      </w:pPr>
      <w:r w:rsidRPr="1B9E7434">
        <w:rPr>
          <w:lang w:val="fr-FR"/>
        </w:rPr>
        <w:t xml:space="preserve">Le personnage du « Petit Chaperon rouge », dont des variantes apparaissent, entre autres, dans </w:t>
      </w:r>
      <w:r w:rsidRPr="1B9E7434">
        <w:rPr>
          <w:i/>
          <w:iCs/>
          <w:lang w:val="fr-FR"/>
        </w:rPr>
        <w:t>La Capuche rouge</w:t>
      </w:r>
      <w:r w:rsidRPr="1B9E7434">
        <w:rPr>
          <w:lang w:val="fr-FR"/>
        </w:rPr>
        <w:t xml:space="preserve"> (</w:t>
      </w:r>
      <w:r w:rsidRPr="1B9E7434">
        <w:rPr>
          <w:i/>
          <w:iCs/>
          <w:lang w:val="fr-FR"/>
        </w:rPr>
        <w:t>Rotkäppchen</w:t>
      </w:r>
      <w:r w:rsidRPr="1B9E7434">
        <w:rPr>
          <w:lang w:val="fr-FR"/>
        </w:rPr>
        <w:t xml:space="preserve">) des frères Grimm, d'autres contes oraux et le film </w:t>
      </w:r>
      <w:r w:rsidRPr="1B9E7434">
        <w:rPr>
          <w:i/>
          <w:iCs/>
          <w:lang w:val="fr-FR"/>
        </w:rPr>
        <w:t>La Véritable Histoire du Petit Chaperon rouge</w:t>
      </w:r>
      <w:r w:rsidRPr="1B9E7434">
        <w:rPr>
          <w:lang w:val="fr-FR"/>
        </w:rPr>
        <w:t xml:space="preserve"> (</w:t>
      </w:r>
      <w:r w:rsidRPr="1B9E7434">
        <w:rPr>
          <w:i/>
          <w:iCs/>
          <w:lang w:val="fr-FR"/>
        </w:rPr>
        <w:t>Hoodwinked!</w:t>
      </w:r>
      <w:r w:rsidRPr="1B9E7434">
        <w:rPr>
          <w:lang w:val="fr-FR"/>
        </w:rPr>
        <w:t>)</w:t>
      </w:r>
    </w:p>
    <w:p w14:paraId="3EAB8EC2" w14:textId="58E24608" w:rsidR="0084489F" w:rsidRDefault="00110FE6" w:rsidP="00806324">
      <w:pPr>
        <w:numPr>
          <w:ilvl w:val="0"/>
          <w:numId w:val="128"/>
        </w:numPr>
      </w:pPr>
      <w:r w:rsidRPr="1B9E7434">
        <w:rPr>
          <w:lang w:val="fr-FR"/>
        </w:rPr>
        <w:t xml:space="preserve">Le lieu « Havnor » inventé par Ursula K. Le Guin pour sa série de livres </w:t>
      </w:r>
      <w:r w:rsidRPr="1B9E7434">
        <w:rPr>
          <w:i/>
          <w:iCs/>
          <w:lang w:val="fr-FR"/>
        </w:rPr>
        <w:t>Cycle de Terremer</w:t>
      </w:r>
      <w:r w:rsidRPr="1B9E7434">
        <w:rPr>
          <w:lang w:val="fr-FR"/>
        </w:rPr>
        <w:t xml:space="preserve"> (</w:t>
      </w:r>
      <w:r w:rsidRPr="1B9E7434">
        <w:rPr>
          <w:i/>
          <w:iCs/>
          <w:lang w:val="fr-FR"/>
        </w:rPr>
        <w:t>Earthsea</w:t>
      </w:r>
      <w:r w:rsidRPr="1B9E7434">
        <w:rPr>
          <w:lang w:val="fr-FR"/>
        </w:rPr>
        <w:t>) qui apparaît dans les cartes associées et les œuvres dérivées basées sur ces romans</w:t>
      </w:r>
    </w:p>
    <w:p w14:paraId="5690865C" w14:textId="77777777" w:rsidR="0084489F" w:rsidRDefault="00110FE6">
      <w:pPr>
        <w:pStyle w:val="FirstParagraph"/>
      </w:pPr>
      <w:r>
        <w:rPr>
          <w:b/>
          <w:bCs/>
        </w:rPr>
        <w:t>Logique</w:t>
      </w:r>
    </w:p>
    <w:p w14:paraId="017F681E" w14:textId="77777777" w:rsidR="0084489F" w:rsidRDefault="00110FE6">
      <w:pPr>
        <w:pStyle w:val="BodyText"/>
      </w:pPr>
      <w:r>
        <w:t>E89(x) ⇒ E28(x)</w:t>
      </w:r>
    </w:p>
    <w:p w14:paraId="0FCA0192" w14:textId="77777777" w:rsidR="0084489F" w:rsidRDefault="00110FE6">
      <w:pPr>
        <w:pStyle w:val="BodyText"/>
      </w:pPr>
      <w:r>
        <w:rPr>
          <w:b/>
          <w:bCs/>
        </w:rPr>
        <w:t>Propriétés</w:t>
      </w:r>
    </w:p>
    <w:p w14:paraId="53AAFA22" w14:textId="77777777" w:rsidR="0084489F" w:rsidRDefault="00110FE6">
      <w:pPr>
        <w:pStyle w:val="BodyText"/>
      </w:pPr>
      <w:r w:rsidRPr="1B9E7434">
        <w:rPr>
          <w:rStyle w:val="VerbatimChar"/>
          <w:lang w:val="fr-FR"/>
        </w:rPr>
        <w:t>P67_renvoie_à (fait_l’objet_d’un_renvoi_par)</w:t>
      </w:r>
      <w:r w:rsidRPr="1B9E7434">
        <w:rPr>
          <w:lang w:val="fr-FR"/>
        </w:rPr>
        <w:t xml:space="preserve"> : </w:t>
      </w:r>
      <w:r w:rsidRPr="1B9E7434">
        <w:rPr>
          <w:rStyle w:val="VerbatimChar"/>
          <w:lang w:val="fr-FR"/>
        </w:rPr>
        <w:t>E1_Entité_CRM</w:t>
      </w:r>
    </w:p>
    <w:p w14:paraId="614AC341" w14:textId="77777777" w:rsidR="0084489F" w:rsidRDefault="00110FE6">
      <w:pPr>
        <w:pStyle w:val="BodyText"/>
      </w:pPr>
      <w:r w:rsidRPr="1B9E7434">
        <w:rPr>
          <w:rStyle w:val="VerbatimChar"/>
          <w:lang w:val="fr-FR"/>
        </w:rPr>
        <w:t>P129_a_pour_sujet (est_sujet_de)</w:t>
      </w:r>
      <w:r w:rsidRPr="1B9E7434">
        <w:rPr>
          <w:lang w:val="fr-FR"/>
        </w:rPr>
        <w:t xml:space="preserve"> : </w:t>
      </w:r>
      <w:r w:rsidRPr="1B9E7434">
        <w:rPr>
          <w:rStyle w:val="VerbatimChar"/>
          <w:lang w:val="fr-FR"/>
        </w:rPr>
        <w:t>E1_Entité_CRM</w:t>
      </w:r>
    </w:p>
    <w:p w14:paraId="0C316F21" w14:textId="77777777" w:rsidR="0084489F" w:rsidRDefault="00110FE6">
      <w:pPr>
        <w:pStyle w:val="BodyText"/>
      </w:pPr>
      <w:r w:rsidRPr="1B9E7434">
        <w:rPr>
          <w:rStyle w:val="VerbatimChar"/>
          <w:lang w:val="fr-FR"/>
        </w:rPr>
        <w:t>P148_a_pour_composant (est_le_composant_de)</w:t>
      </w:r>
      <w:r w:rsidRPr="1B9E7434">
        <w:rPr>
          <w:lang w:val="fr-FR"/>
        </w:rPr>
        <w:t xml:space="preserve"> : </w:t>
      </w:r>
      <w:r w:rsidRPr="1B9E7434">
        <w:rPr>
          <w:rStyle w:val="VerbatimChar"/>
          <w:lang w:val="fr-FR"/>
        </w:rPr>
        <w:t>E89_Objet_propositionnel</w:t>
      </w:r>
    </w:p>
    <w:p w14:paraId="5F8108A6" w14:textId="77777777" w:rsidR="0084489F" w:rsidRDefault="00110FE6">
      <w:pPr>
        <w:pStyle w:val="BlockText"/>
      </w:pPr>
      <w:r>
        <w:rPr>
          <w:b/>
          <w:bCs/>
          <w:i/>
          <w:iCs/>
        </w:rPr>
        <w:t>Note de traduction</w:t>
      </w:r>
    </w:p>
    <w:p w14:paraId="7435A2F7" w14:textId="77777777" w:rsidR="0084489F" w:rsidRDefault="00110FE6">
      <w:pPr>
        <w:pStyle w:val="BlockText"/>
      </w:pPr>
      <w:r w:rsidRPr="1B9E7434">
        <w:rPr>
          <w:lang w:val="fr-FR"/>
        </w:rPr>
        <w:t>« Ideational contents » a été traduit par « contenus représentatifs » en adéquation avec la traduction de Termium Plus.</w:t>
      </w:r>
    </w:p>
    <w:p w14:paraId="48B9D5B1" w14:textId="77777777" w:rsidR="0084489F" w:rsidRDefault="00110FE6">
      <w:pPr>
        <w:pStyle w:val="BlockText"/>
      </w:pPr>
      <w:r>
        <w:rPr>
          <w:b/>
          <w:bCs/>
          <w:i/>
          <w:iCs/>
        </w:rPr>
        <w:t>Références</w:t>
      </w:r>
    </w:p>
    <w:p w14:paraId="1C47B9CD" w14:textId="77777777" w:rsidR="0084489F" w:rsidRDefault="00110FE6">
      <w:pPr>
        <w:pStyle w:val="BlockText"/>
      </w:pPr>
      <w:r w:rsidRPr="1B9E7434">
        <w:rPr>
          <w:lang w:val="fr-FR"/>
        </w:rPr>
        <w:t xml:space="preserve">Termium. « ideational content ». Dans </w:t>
      </w:r>
      <w:r w:rsidRPr="1B9E7434">
        <w:rPr>
          <w:i/>
          <w:iCs/>
          <w:lang w:val="fr-FR"/>
        </w:rPr>
        <w:t>Termium Plus</w:t>
      </w:r>
      <w:r w:rsidRPr="1B9E7434">
        <w:rPr>
          <w:lang w:val="fr-FR"/>
        </w:rPr>
        <w:t>. Ottawa, CA-ON: Gouvernement du Canada, 8 octobre 2009.</w:t>
      </w:r>
      <w:hyperlink r:id="rId225">
        <w:r w:rsidRPr="1B9E7434">
          <w:rPr>
            <w:rStyle w:val="Hyperlink"/>
            <w:lang w:val="fr-FR"/>
          </w:rPr>
          <w:t xml:space="preserve"> </w:t>
        </w:r>
      </w:hyperlink>
      <w:hyperlink r:id="rId226">
        <w:r w:rsidRPr="1B9E7434">
          <w:rPr>
            <w:rStyle w:val="Hyperlink"/>
            <w:lang w:val="fr-FR"/>
          </w:rPr>
          <w:t>https://www.btb.termiumplus.gc.ca/tpv2alpha/alpha-fra.html?lang=fra&amp;srchtxt=IDEATIONAL+CONTENT</w:t>
        </w:r>
      </w:hyperlink>
      <w:r w:rsidRPr="1B9E7434">
        <w:rPr>
          <w:lang w:val="fr-FR"/>
        </w:rPr>
        <w:t>.</w:t>
      </w:r>
    </w:p>
    <w:p w14:paraId="1AC40D2C" w14:textId="77777777" w:rsidR="00110FE6" w:rsidRPr="00110FE6" w:rsidRDefault="00110FE6" w:rsidP="00110FE6">
      <w:pPr>
        <w:pStyle w:val="BodyText"/>
      </w:pPr>
    </w:p>
    <w:p w14:paraId="06AFA06D" w14:textId="77777777" w:rsidR="0084489F" w:rsidRDefault="00110FE6">
      <w:pPr>
        <w:pStyle w:val="Heading2"/>
      </w:pPr>
      <w:bookmarkStart w:id="251" w:name="_Toc176864507"/>
      <w:bookmarkStart w:id="252" w:name="e90-objet-symbolique"/>
      <w:bookmarkEnd w:id="250"/>
      <w:r>
        <w:t>E90 Objet symbolique</w:t>
      </w:r>
      <w:bookmarkEnd w:id="251"/>
    </w:p>
    <w:p w14:paraId="1AAA3CDB" w14:textId="77777777" w:rsidR="0084489F" w:rsidRDefault="00110FE6">
      <w:pPr>
        <w:pStyle w:val="FirstParagraph"/>
      </w:pPr>
      <w:r>
        <w:rPr>
          <w:b/>
          <w:bCs/>
        </w:rPr>
        <w:t>Sous-classe de</w:t>
      </w:r>
    </w:p>
    <w:p w14:paraId="0FED6D6F" w14:textId="77777777" w:rsidR="0084489F" w:rsidRDefault="00110FE6">
      <w:pPr>
        <w:pStyle w:val="BodyText"/>
      </w:pPr>
      <w:r>
        <w:rPr>
          <w:rStyle w:val="VerbatimChar"/>
        </w:rPr>
        <w:t>E28_Objet_conceptuel</w:t>
      </w:r>
    </w:p>
    <w:p w14:paraId="228C06EE" w14:textId="77777777" w:rsidR="0084489F" w:rsidRDefault="00110FE6">
      <w:pPr>
        <w:pStyle w:val="BodyText"/>
      </w:pPr>
      <w:r>
        <w:rPr>
          <w:rStyle w:val="VerbatimChar"/>
        </w:rPr>
        <w:t>E72_Objet_juridique</w:t>
      </w:r>
    </w:p>
    <w:p w14:paraId="70F29680" w14:textId="77777777" w:rsidR="0084489F" w:rsidRDefault="00110FE6">
      <w:pPr>
        <w:pStyle w:val="BodyText"/>
      </w:pPr>
      <w:r>
        <w:rPr>
          <w:b/>
          <w:bCs/>
        </w:rPr>
        <w:t>Super-classe de</w:t>
      </w:r>
    </w:p>
    <w:p w14:paraId="258495A0" w14:textId="77777777" w:rsidR="0084489F" w:rsidRDefault="00110FE6">
      <w:pPr>
        <w:pStyle w:val="BodyText"/>
      </w:pPr>
      <w:r>
        <w:rPr>
          <w:rStyle w:val="VerbatimChar"/>
        </w:rPr>
        <w:t>E41_Appellation</w:t>
      </w:r>
      <w:r>
        <w:t xml:space="preserve"> </w:t>
      </w:r>
    </w:p>
    <w:p w14:paraId="6A6CEEF8" w14:textId="77777777" w:rsidR="0084489F" w:rsidRDefault="00110FE6">
      <w:pPr>
        <w:pStyle w:val="BodyText"/>
      </w:pPr>
      <w:r>
        <w:rPr>
          <w:rStyle w:val="VerbatimChar"/>
        </w:rPr>
        <w:t>E73_Objet_informationnel</w:t>
      </w:r>
    </w:p>
    <w:p w14:paraId="701883BF" w14:textId="77777777" w:rsidR="0084489F" w:rsidRDefault="00110FE6">
      <w:pPr>
        <w:pStyle w:val="BodyText"/>
      </w:pPr>
      <w:r>
        <w:rPr>
          <w:b/>
          <w:bCs/>
        </w:rPr>
        <w:lastRenderedPageBreak/>
        <w:t>Note d’application</w:t>
      </w:r>
    </w:p>
    <w:p w14:paraId="7783268D" w14:textId="77777777" w:rsidR="0084489F" w:rsidRDefault="00110FE6">
      <w:pPr>
        <w:pStyle w:val="BodyText"/>
      </w:pPr>
      <w:r>
        <w:t>Cette classe comprend des symboles identifiables et toute agrégation de symboles, tels que des caractères, des identifiants, des panneaux de signalisation, des emblèmes, des textes, des jeux de données, des images, des partitions musicales, des objets multimédias, des codes de programmation informatiques ou des formules mathématiques qui ont une structure objectivement reconnaissable et qui sont documentés en tant qu’éléments uniques.</w:t>
      </w:r>
    </w:p>
    <w:p w14:paraId="7D6AEC46" w14:textId="77777777" w:rsidR="0084489F" w:rsidRDefault="00110FE6">
      <w:pPr>
        <w:pStyle w:val="BodyText"/>
      </w:pPr>
      <w:r>
        <w:t xml:space="preserve">Cette classe inclut des ensembles de signes de toute nature, qui peuvent servir à désigner quelque chose ou à communiquer un contenu propositionnel. Une instance de </w:t>
      </w:r>
      <w:r>
        <w:rPr>
          <w:rStyle w:val="VerbatimChar"/>
        </w:rPr>
        <w:t>E90_Objet_symbolique</w:t>
      </w:r>
      <w:r>
        <w:t xml:space="preserve"> peut avoir ou non une signification spécifique, par exemple une chaîne arbitraire de caractères.</w:t>
      </w:r>
    </w:p>
    <w:p w14:paraId="09F73FC8" w14:textId="77777777" w:rsidR="0084489F" w:rsidRDefault="00110FE6">
      <w:pPr>
        <w:pStyle w:val="BodyText"/>
      </w:pPr>
      <w:r>
        <w:t xml:space="preserve">Dans certains cas, le contenu d'une instance de </w:t>
      </w:r>
      <w:r>
        <w:rPr>
          <w:rStyle w:val="VerbatimChar"/>
        </w:rPr>
        <w:t>E90_Objet_symbolique</w:t>
      </w:r>
      <w:r>
        <w:t xml:space="preserve"> peut être complètement représenté par un modèle de contenu numérique sérialisé, tel qu'une séquence de caractères codés en ASCII, un document XML ou HTML, ou une image au format TIFF. La propriété </w:t>
      </w:r>
      <w:r>
        <w:rPr>
          <w:rStyle w:val="VerbatimChar"/>
        </w:rPr>
        <w:t>P3_a_pour_note</w:t>
      </w:r>
      <w:r>
        <w:t xml:space="preserve"> et sa sous-propriété </w:t>
      </w:r>
      <w:r>
        <w:rPr>
          <w:rStyle w:val="VerbatimChar"/>
        </w:rPr>
        <w:t>P190_a_pour_contenu_symbolique</w:t>
      </w:r>
      <w:r>
        <w:t xml:space="preserve"> permettent la description de ce modèle de contenu. Afin de lever l'ambiguïté sur le niveau symbolique qui est porteur du sens, la propriété </w:t>
      </w:r>
      <w:r>
        <w:rPr>
          <w:rStyle w:val="VerbatimChar"/>
        </w:rPr>
        <w:t>P3.1_a_pour_type</w:t>
      </w:r>
      <w:r>
        <w:t xml:space="preserve"> peut être utilisée pour spécifier l'encodage (p. ex. « bit », « caractère latin », pixel RVB).</w:t>
      </w:r>
    </w:p>
    <w:p w14:paraId="6D5682FE" w14:textId="77777777" w:rsidR="0084489F" w:rsidRDefault="00110FE6">
      <w:pPr>
        <w:pStyle w:val="BodyText"/>
      </w:pPr>
      <w:r>
        <w:rPr>
          <w:b/>
          <w:bCs/>
        </w:rPr>
        <w:t>Exemples</w:t>
      </w:r>
    </w:p>
    <w:p w14:paraId="2AEC31FA" w14:textId="22226647" w:rsidR="0084489F" w:rsidRDefault="00110FE6" w:rsidP="00806324">
      <w:pPr>
        <w:numPr>
          <w:ilvl w:val="0"/>
          <w:numId w:val="129"/>
        </w:numPr>
      </w:pPr>
      <w:r w:rsidRPr="1B9E7434">
        <w:rPr>
          <w:lang w:val="fr-FR"/>
        </w:rPr>
        <w:t>« econnaissabl »</w:t>
      </w:r>
    </w:p>
    <w:p w14:paraId="42460648" w14:textId="753E7B84" w:rsidR="0084489F" w:rsidRDefault="00110FE6" w:rsidP="00806324">
      <w:pPr>
        <w:numPr>
          <w:ilvl w:val="0"/>
          <w:numId w:val="129"/>
        </w:numPr>
      </w:pPr>
      <w:r w:rsidRPr="1B9E7434">
        <w:rPr>
          <w:lang w:val="fr-FR"/>
        </w:rPr>
        <w:t>Le panneau « non fumeur » (</w:t>
      </w:r>
      <w:r w:rsidRPr="1B9E7434">
        <w:rPr>
          <w:rStyle w:val="VerbatimChar"/>
          <w:lang w:val="fr-FR"/>
        </w:rPr>
        <w:t>E36_Entité_visuelle</w:t>
      </w:r>
      <w:r w:rsidRPr="1B9E7434">
        <w:rPr>
          <w:lang w:val="fr-FR"/>
        </w:rPr>
        <w:t>)</w:t>
      </w:r>
    </w:p>
    <w:p w14:paraId="136BD66B" w14:textId="4C80D7C2" w:rsidR="0084489F" w:rsidRDefault="00110FE6" w:rsidP="00806324">
      <w:pPr>
        <w:numPr>
          <w:ilvl w:val="0"/>
          <w:numId w:val="129"/>
        </w:numPr>
      </w:pPr>
      <w:r w:rsidRPr="1B9E7434">
        <w:rPr>
          <w:lang w:val="fr-FR"/>
        </w:rPr>
        <w:t>« BM000038850.JPG » (</w:t>
      </w:r>
      <w:r w:rsidRPr="1B9E7434">
        <w:rPr>
          <w:rStyle w:val="VerbatimChar"/>
          <w:lang w:val="fr-FR"/>
        </w:rPr>
        <w:t>E41_Appellation</w:t>
      </w:r>
      <w:r w:rsidRPr="1B9E7434">
        <w:rPr>
          <w:lang w:val="fr-FR"/>
        </w:rPr>
        <w:t>) [identifie une image numérique] (Natural History Museum, 2021)</w:t>
      </w:r>
    </w:p>
    <w:p w14:paraId="2B0D8DAE" w14:textId="224EA416" w:rsidR="0084489F" w:rsidRDefault="00110FE6" w:rsidP="00806324">
      <w:pPr>
        <w:numPr>
          <w:ilvl w:val="0"/>
          <w:numId w:val="129"/>
        </w:numPr>
      </w:pPr>
      <w:r w:rsidRPr="1B9E7434">
        <w:rPr>
          <w:lang w:val="fr-FR"/>
        </w:rPr>
        <w:t>L’image BM000038850.JPG du Clayton Herbarium de Londres (</w:t>
      </w:r>
      <w:r w:rsidRPr="1B9E7434">
        <w:rPr>
          <w:rStyle w:val="VerbatimChar"/>
          <w:lang w:val="fr-FR"/>
        </w:rPr>
        <w:t>E36_Entité_visuelle</w:t>
      </w:r>
      <w:r w:rsidRPr="1B9E7434">
        <w:rPr>
          <w:lang w:val="fr-FR"/>
        </w:rPr>
        <w:t xml:space="preserve">) [illustre un spécimen de </w:t>
      </w:r>
      <w:r w:rsidRPr="1B9E7434">
        <w:rPr>
          <w:i/>
          <w:iCs/>
          <w:lang w:val="fr-FR"/>
        </w:rPr>
        <w:t>Verbesina virgica</w:t>
      </w:r>
      <w:r w:rsidRPr="1B9E7434">
        <w:rPr>
          <w:lang w:val="fr-FR"/>
        </w:rPr>
        <w:t>] (Natural History Museum, 2021)</w:t>
      </w:r>
    </w:p>
    <w:p w14:paraId="420118A3" w14:textId="4EFAE131" w:rsidR="0084489F" w:rsidRDefault="00110FE6" w:rsidP="00806324">
      <w:pPr>
        <w:numPr>
          <w:ilvl w:val="0"/>
          <w:numId w:val="129"/>
        </w:numPr>
      </w:pPr>
      <w:r w:rsidRPr="1B9E7434">
        <w:rPr>
          <w:lang w:val="fr-FR"/>
        </w:rPr>
        <w:t xml:space="preserve">La distribution de la forme, du ton et de la couleur à la lumière du jour sur l’œuvre peinte </w:t>
      </w:r>
      <w:r w:rsidRPr="1B9E7434">
        <w:rPr>
          <w:i/>
          <w:iCs/>
          <w:lang w:val="fr-FR"/>
        </w:rPr>
        <w:t>Monna Lisa</w:t>
      </w:r>
      <w:r w:rsidRPr="1B9E7434">
        <w:rPr>
          <w:lang w:val="fr-FR"/>
        </w:rPr>
        <w:t xml:space="preserve"> de Léonard de Vinci (</w:t>
      </w:r>
      <w:r w:rsidRPr="1B9E7434">
        <w:rPr>
          <w:rStyle w:val="VerbatimChar"/>
          <w:lang w:val="fr-FR"/>
        </w:rPr>
        <w:t>E36_Entité_visuelle</w:t>
      </w:r>
      <w:r w:rsidRPr="1B9E7434">
        <w:rPr>
          <w:lang w:val="fr-FR"/>
        </w:rPr>
        <w:t>)</w:t>
      </w:r>
    </w:p>
    <w:p w14:paraId="3F1B098B" w14:textId="3435426F" w:rsidR="0084489F" w:rsidRDefault="00110FE6" w:rsidP="00806324">
      <w:pPr>
        <w:numPr>
          <w:ilvl w:val="0"/>
          <w:numId w:val="129"/>
        </w:numPr>
      </w:pPr>
      <w:r w:rsidRPr="1B9E7434">
        <w:rPr>
          <w:lang w:val="fr-FR"/>
        </w:rPr>
        <w:t xml:space="preserve">Le texte italien de la </w:t>
      </w:r>
      <w:r w:rsidRPr="1B9E7434">
        <w:rPr>
          <w:i/>
          <w:iCs/>
          <w:lang w:val="fr-FR"/>
        </w:rPr>
        <w:t>Divine Comédie</w:t>
      </w:r>
      <w:r w:rsidRPr="1B9E7434">
        <w:rPr>
          <w:lang w:val="fr-FR"/>
        </w:rPr>
        <w:t xml:space="preserve"> (</w:t>
      </w:r>
      <w:r w:rsidRPr="1B9E7434">
        <w:rPr>
          <w:i/>
          <w:iCs/>
          <w:lang w:val="fr-FR"/>
        </w:rPr>
        <w:t>Divina Commedia</w:t>
      </w:r>
      <w:r w:rsidRPr="1B9E7434">
        <w:rPr>
          <w:lang w:val="fr-FR"/>
        </w:rPr>
        <w:t xml:space="preserve">) de Dante, tel qu'il se trouve dans l'édition critique faisant autorité </w:t>
      </w:r>
      <w:r w:rsidRPr="1B9E7434">
        <w:rPr>
          <w:i/>
          <w:iCs/>
          <w:lang w:val="fr-FR"/>
        </w:rPr>
        <w:t>La Commedia secondo l'antica vulgata a cura di Giorgio Petrocchi</w:t>
      </w:r>
      <w:r w:rsidRPr="1B9E7434">
        <w:rPr>
          <w:lang w:val="fr-FR"/>
        </w:rPr>
        <w:t xml:space="preserve">  (</w:t>
      </w:r>
      <w:r w:rsidRPr="1B9E7434">
        <w:rPr>
          <w:rStyle w:val="VerbatimChar"/>
          <w:lang w:val="fr-FR"/>
        </w:rPr>
        <w:t>E33_Objet_linguistique</w:t>
      </w:r>
      <w:r w:rsidRPr="1B9E7434">
        <w:rPr>
          <w:lang w:val="fr-FR"/>
        </w:rPr>
        <w:t>) (Petrocchi, 1967)</w:t>
      </w:r>
    </w:p>
    <w:p w14:paraId="0B49FBA8" w14:textId="77777777" w:rsidR="0084489F" w:rsidRDefault="00110FE6">
      <w:pPr>
        <w:pStyle w:val="FirstParagraph"/>
      </w:pPr>
      <w:r>
        <w:rPr>
          <w:b/>
          <w:bCs/>
        </w:rPr>
        <w:t>Logique</w:t>
      </w:r>
    </w:p>
    <w:p w14:paraId="30480D8F" w14:textId="77777777" w:rsidR="0084489F" w:rsidRDefault="00110FE6">
      <w:pPr>
        <w:pStyle w:val="BodyText"/>
      </w:pPr>
      <w:r>
        <w:t>E90(x) ⇒ E28(x)</w:t>
      </w:r>
    </w:p>
    <w:p w14:paraId="573D0343" w14:textId="77777777" w:rsidR="0084489F" w:rsidRDefault="00110FE6">
      <w:pPr>
        <w:pStyle w:val="BodyText"/>
      </w:pPr>
      <w:r>
        <w:t>E90(x) ⇒ E72(x)</w:t>
      </w:r>
    </w:p>
    <w:p w14:paraId="5AB2F2C9" w14:textId="77777777" w:rsidR="0084489F" w:rsidRDefault="00110FE6">
      <w:pPr>
        <w:pStyle w:val="BodyText"/>
      </w:pPr>
      <w:r>
        <w:rPr>
          <w:b/>
          <w:bCs/>
        </w:rPr>
        <w:t>Propriétés</w:t>
      </w:r>
    </w:p>
    <w:p w14:paraId="1E18F3DF" w14:textId="77777777" w:rsidR="0084489F" w:rsidRDefault="00110FE6">
      <w:pPr>
        <w:pStyle w:val="BodyText"/>
      </w:pPr>
      <w:r w:rsidRPr="1B9E7434">
        <w:rPr>
          <w:rStyle w:val="VerbatimChar"/>
          <w:lang w:val="fr-FR"/>
        </w:rPr>
        <w:t>P106_est_composé_de (fait_partie_de)</w:t>
      </w:r>
      <w:r w:rsidRPr="1B9E7434">
        <w:rPr>
          <w:lang w:val="fr-FR"/>
        </w:rPr>
        <w:t xml:space="preserve"> : </w:t>
      </w:r>
      <w:r w:rsidRPr="1B9E7434">
        <w:rPr>
          <w:rStyle w:val="VerbatimChar"/>
          <w:lang w:val="fr-FR"/>
        </w:rPr>
        <w:t>E90_Objet_symbolique</w:t>
      </w:r>
    </w:p>
    <w:p w14:paraId="3E50663D" w14:textId="77777777" w:rsidR="0084489F" w:rsidRDefault="00110FE6">
      <w:pPr>
        <w:pStyle w:val="BodyText"/>
      </w:pPr>
      <w:r>
        <w:rPr>
          <w:rStyle w:val="VerbatimChar"/>
        </w:rPr>
        <w:t>P190_a_pour_contenu_symbolique</w:t>
      </w:r>
      <w:r>
        <w:t xml:space="preserve"> : </w:t>
      </w:r>
      <w:r>
        <w:rPr>
          <w:rStyle w:val="VerbatimChar"/>
        </w:rPr>
        <w:t>E62_Chaîne_de_caractères</w:t>
      </w:r>
    </w:p>
    <w:p w14:paraId="2D6EFCCA" w14:textId="77777777" w:rsidR="0084489F" w:rsidRDefault="00110FE6">
      <w:pPr>
        <w:pStyle w:val="BlockText"/>
      </w:pPr>
      <w:r>
        <w:rPr>
          <w:b/>
          <w:bCs/>
          <w:i/>
          <w:iCs/>
        </w:rPr>
        <w:t>Note de traduction</w:t>
      </w:r>
    </w:p>
    <w:p w14:paraId="15E4A7EE" w14:textId="77777777" w:rsidR="0084489F" w:rsidRDefault="00110FE6">
      <w:pPr>
        <w:pStyle w:val="BlockText"/>
      </w:pPr>
      <w:r>
        <w:rPr>
          <w:b/>
          <w:bCs/>
          <w:i/>
          <w:iCs/>
        </w:rPr>
        <w:t>Références</w:t>
      </w:r>
    </w:p>
    <w:p w14:paraId="000B0113" w14:textId="77777777" w:rsidR="0084489F" w:rsidRDefault="0084489F">
      <w:pPr>
        <w:pStyle w:val="BlockText"/>
      </w:pPr>
    </w:p>
    <w:p w14:paraId="4134DE70" w14:textId="77777777" w:rsidR="0084489F" w:rsidRDefault="00110FE6">
      <w:pPr>
        <w:pStyle w:val="Heading2"/>
      </w:pPr>
      <w:bookmarkStart w:id="253" w:name="_Toc176864508"/>
      <w:bookmarkStart w:id="254" w:name="e92-volume-spatio-temporel"/>
      <w:bookmarkEnd w:id="252"/>
      <w:r>
        <w:lastRenderedPageBreak/>
        <w:t>E92 Volume spatio-temporel</w:t>
      </w:r>
      <w:bookmarkEnd w:id="253"/>
    </w:p>
    <w:p w14:paraId="244652CC" w14:textId="77777777" w:rsidR="0084489F" w:rsidRDefault="00110FE6">
      <w:pPr>
        <w:pStyle w:val="FirstParagraph"/>
      </w:pPr>
      <w:r>
        <w:rPr>
          <w:b/>
          <w:bCs/>
        </w:rPr>
        <w:t>Sous-classe de</w:t>
      </w:r>
    </w:p>
    <w:p w14:paraId="38E310A3" w14:textId="77777777" w:rsidR="0084489F" w:rsidRDefault="00110FE6">
      <w:pPr>
        <w:pStyle w:val="BodyText"/>
      </w:pPr>
      <w:r>
        <w:rPr>
          <w:rStyle w:val="VerbatimChar"/>
        </w:rPr>
        <w:t>E1_Entité_CRM</w:t>
      </w:r>
    </w:p>
    <w:p w14:paraId="7A01FD5A" w14:textId="77777777" w:rsidR="0084489F" w:rsidRDefault="00110FE6">
      <w:pPr>
        <w:pStyle w:val="BodyText"/>
      </w:pPr>
      <w:r>
        <w:rPr>
          <w:b/>
          <w:bCs/>
        </w:rPr>
        <w:t>Super-classe de</w:t>
      </w:r>
    </w:p>
    <w:p w14:paraId="3961521E" w14:textId="77777777" w:rsidR="0084489F" w:rsidRDefault="00110FE6">
      <w:pPr>
        <w:pStyle w:val="BodyText"/>
      </w:pPr>
      <w:r>
        <w:rPr>
          <w:rStyle w:val="VerbatimChar"/>
        </w:rPr>
        <w:t>E4_Période</w:t>
      </w:r>
    </w:p>
    <w:p w14:paraId="65981C71" w14:textId="77777777" w:rsidR="0084489F" w:rsidRDefault="00110FE6">
      <w:pPr>
        <w:pStyle w:val="BodyText"/>
      </w:pPr>
      <w:r>
        <w:rPr>
          <w:rStyle w:val="VerbatimChar"/>
        </w:rPr>
        <w:t>E93_Présence</w:t>
      </w:r>
    </w:p>
    <w:p w14:paraId="17880933" w14:textId="77777777" w:rsidR="0084489F" w:rsidRDefault="00110FE6">
      <w:pPr>
        <w:pStyle w:val="BodyText"/>
      </w:pPr>
      <w:r>
        <w:rPr>
          <w:b/>
          <w:bCs/>
        </w:rPr>
        <w:t>Note d’application</w:t>
      </w:r>
    </w:p>
    <w:p w14:paraId="58D59D74" w14:textId="77777777" w:rsidR="0084489F" w:rsidRDefault="00110FE6">
      <w:pPr>
        <w:pStyle w:val="BodyText"/>
      </w:pPr>
      <w:r>
        <w:t xml:space="preserve">Cette classe comprend les séries de points en quatre dimensions (volumes) dans un espace-temps physique (au contraire des modèles mathématiques de ce dernier), quelles que soient leurs formes géométriques réelles. Ces points peuvent dériver leur identité du fait d’être l’étendue d’un phénomène matériel ou d’être l’interprétation d’une expression définissant une étendue dans l’espace-temps. Les intersections des instances de </w:t>
      </w:r>
      <w:r>
        <w:rPr>
          <w:rStyle w:val="VerbatimChar"/>
        </w:rPr>
        <w:t>E92_Volume_spatio-temporel</w:t>
      </w:r>
      <w:r>
        <w:t xml:space="preserve">, </w:t>
      </w:r>
      <w:r>
        <w:rPr>
          <w:rStyle w:val="VerbatimChar"/>
        </w:rPr>
        <w:t>E53_Lieu</w:t>
      </w:r>
      <w:r>
        <w:t xml:space="preserve"> et </w:t>
      </w:r>
      <w:r>
        <w:rPr>
          <w:rStyle w:val="VerbatimChar"/>
        </w:rPr>
        <w:t>E52_Intervalle_temporel</w:t>
      </w:r>
      <w:r>
        <w:t xml:space="preserve"> sont aussi considérées comme des instances de </w:t>
      </w:r>
      <w:r>
        <w:rPr>
          <w:rStyle w:val="VerbatimChar"/>
        </w:rPr>
        <w:t>E92_Volume_spatio-temporel</w:t>
      </w:r>
      <w:r>
        <w:t xml:space="preserve">. Une instance de </w:t>
      </w:r>
      <w:r>
        <w:rPr>
          <w:rStyle w:val="VerbatimChar"/>
        </w:rPr>
        <w:t>E92_Volume_spatio-temporel</w:t>
      </w:r>
      <w:r>
        <w:t xml:space="preserve"> est soit continue, soit composée d’un nombre fini de sous-ensembles continus. Ses limites peuvent être floues à cause des propriétés du phénomène duquel il est dérivé ou à cause de la précision limitée à laquelle l’expression le définissant peut être identifiée au travers d’une étendue réelle dans l’espace-temps. La durée de l’existence d’une instance de </w:t>
      </w:r>
      <w:r>
        <w:rPr>
          <w:rStyle w:val="VerbatimChar"/>
        </w:rPr>
        <w:t>E92_Volume_spatio-temporel</w:t>
      </w:r>
      <w:r>
        <w:t xml:space="preserve"> est sa projection dans le temps.</w:t>
      </w:r>
    </w:p>
    <w:p w14:paraId="16064043" w14:textId="77777777" w:rsidR="0084489F" w:rsidRDefault="00110FE6">
      <w:pPr>
        <w:pStyle w:val="BodyText"/>
      </w:pPr>
      <w:r>
        <w:rPr>
          <w:b/>
          <w:bCs/>
        </w:rPr>
        <w:t>Exemples</w:t>
      </w:r>
    </w:p>
    <w:p w14:paraId="08DC0B02" w14:textId="77777777" w:rsidR="0084489F" w:rsidRDefault="00110FE6" w:rsidP="00806324">
      <w:pPr>
        <w:numPr>
          <w:ilvl w:val="0"/>
          <w:numId w:val="130"/>
        </w:numPr>
      </w:pPr>
      <w:r>
        <w:t>L’étendue dans l’espace et dans le temps de l’évènement du meurtre de César (Irwin, 1935)</w:t>
      </w:r>
    </w:p>
    <w:p w14:paraId="7C9EF5D5" w14:textId="402A3E31" w:rsidR="0084489F" w:rsidRDefault="00110FE6" w:rsidP="00806324">
      <w:pPr>
        <w:numPr>
          <w:ilvl w:val="0"/>
          <w:numId w:val="130"/>
        </w:numPr>
      </w:pPr>
      <w:r w:rsidRPr="1B9E7434">
        <w:rPr>
          <w:lang w:val="fr-FR"/>
        </w:rPr>
        <w:t>Le lieu et l’instant où la datation au carbon 14 de la Lance Schœninger II en 1996 a eu lieu (Kouwenhoven, 1997)</w:t>
      </w:r>
    </w:p>
    <w:p w14:paraId="7949EFBA" w14:textId="77777777" w:rsidR="0084489F" w:rsidRDefault="00110FE6" w:rsidP="00806324">
      <w:pPr>
        <w:numPr>
          <w:ilvl w:val="0"/>
          <w:numId w:val="130"/>
        </w:numPr>
      </w:pPr>
      <w:r>
        <w:t>La trajectoire spatio-temporelle du HMS Victory de sa construction à sa localisation actuelle (Goodwin, 2015)</w:t>
      </w:r>
    </w:p>
    <w:p w14:paraId="247E9C72" w14:textId="77777777" w:rsidR="0084489F" w:rsidRDefault="00110FE6" w:rsidP="00806324">
      <w:pPr>
        <w:numPr>
          <w:ilvl w:val="0"/>
          <w:numId w:val="130"/>
        </w:numPr>
      </w:pPr>
      <w:r>
        <w:t>L’étendue dans l’espace et dans le temps définie par un polygone s’approchant de l’étendue de l'inondation du Danube en Autriche entre le 6 et le 9 août 2002</w:t>
      </w:r>
    </w:p>
    <w:p w14:paraId="28448E38" w14:textId="77777777" w:rsidR="0084489F" w:rsidRDefault="00110FE6">
      <w:pPr>
        <w:pStyle w:val="FirstParagraph"/>
      </w:pPr>
      <w:r>
        <w:rPr>
          <w:b/>
          <w:bCs/>
        </w:rPr>
        <w:t>Logique</w:t>
      </w:r>
    </w:p>
    <w:p w14:paraId="6910B4C9" w14:textId="77777777" w:rsidR="0084489F" w:rsidRDefault="00110FE6">
      <w:pPr>
        <w:pStyle w:val="BodyText"/>
      </w:pPr>
      <w:r>
        <w:t>E92(x) ⇒ E1(x)</w:t>
      </w:r>
    </w:p>
    <w:p w14:paraId="40F476EF" w14:textId="77777777" w:rsidR="0084489F" w:rsidRDefault="00110FE6">
      <w:pPr>
        <w:pStyle w:val="BodyText"/>
      </w:pPr>
      <w:r>
        <w:rPr>
          <w:b/>
          <w:bCs/>
        </w:rPr>
        <w:t>Propriétés</w:t>
      </w:r>
    </w:p>
    <w:p w14:paraId="7D838896" w14:textId="77777777" w:rsidR="0084489F" w:rsidRDefault="00110FE6">
      <w:pPr>
        <w:pStyle w:val="BodyText"/>
      </w:pPr>
      <w:r>
        <w:rPr>
          <w:rStyle w:val="VerbatimChar"/>
        </w:rPr>
        <w:t>P10_s’insère_dans (contient)</w:t>
      </w:r>
      <w:r>
        <w:t xml:space="preserve"> : </w:t>
      </w:r>
      <w:r>
        <w:rPr>
          <w:rStyle w:val="VerbatimChar"/>
        </w:rPr>
        <w:t>E92_Volume_spatio-temporel</w:t>
      </w:r>
    </w:p>
    <w:p w14:paraId="3A1BD38F" w14:textId="77777777" w:rsidR="0084489F" w:rsidRDefault="00110FE6">
      <w:pPr>
        <w:pStyle w:val="BodyText"/>
      </w:pPr>
      <w:r>
        <w:rPr>
          <w:rStyle w:val="VerbatimChar"/>
        </w:rPr>
        <w:t>P132_recoupe_spatio-temporellement</w:t>
      </w:r>
      <w:r>
        <w:t xml:space="preserve"> : </w:t>
      </w:r>
      <w:r>
        <w:rPr>
          <w:rStyle w:val="VerbatimChar"/>
        </w:rPr>
        <w:t>E92_Volume_spatio-temporel</w:t>
      </w:r>
    </w:p>
    <w:p w14:paraId="588FF289" w14:textId="77777777" w:rsidR="0084489F" w:rsidRDefault="00110FE6">
      <w:pPr>
        <w:pStyle w:val="BodyText"/>
      </w:pPr>
      <w:r>
        <w:rPr>
          <w:rStyle w:val="VerbatimChar"/>
        </w:rPr>
        <w:t>P133_est_distinct_spatio-temporellement_de</w:t>
      </w:r>
      <w:r>
        <w:t xml:space="preserve"> : </w:t>
      </w:r>
      <w:r>
        <w:rPr>
          <w:rStyle w:val="VerbatimChar"/>
        </w:rPr>
        <w:t>E92_Volume_spatio-temporel</w:t>
      </w:r>
    </w:p>
    <w:p w14:paraId="25584697" w14:textId="77777777" w:rsidR="0084489F" w:rsidRDefault="00110FE6">
      <w:pPr>
        <w:pStyle w:val="BodyText"/>
      </w:pPr>
      <w:r w:rsidRPr="1B9E7434">
        <w:rPr>
          <w:rStyle w:val="VerbatimChar"/>
          <w:lang w:val="fr-FR"/>
        </w:rPr>
        <w:t>P160_a_pour_projection_temporelle (est_la_projection_temporelle_de)</w:t>
      </w:r>
      <w:r w:rsidRPr="1B9E7434">
        <w:rPr>
          <w:lang w:val="fr-FR"/>
        </w:rPr>
        <w:t xml:space="preserve"> : </w:t>
      </w:r>
      <w:r w:rsidRPr="1B9E7434">
        <w:rPr>
          <w:rStyle w:val="VerbatimChar"/>
          <w:lang w:val="fr-FR"/>
        </w:rPr>
        <w:t>E52_Intervalle_temporel</w:t>
      </w:r>
    </w:p>
    <w:p w14:paraId="4698DA02" w14:textId="77777777" w:rsidR="0084489F" w:rsidRDefault="00110FE6">
      <w:pPr>
        <w:pStyle w:val="BodyText"/>
      </w:pPr>
      <w:r w:rsidRPr="1B9E7434">
        <w:rPr>
          <w:rStyle w:val="VerbatimChar"/>
          <w:lang w:val="fr-FR"/>
        </w:rPr>
        <w:t>P161_a_pour_projection_spatiale (est_la_projection_spatiale_de)</w:t>
      </w:r>
      <w:r w:rsidRPr="1B9E7434">
        <w:rPr>
          <w:lang w:val="fr-FR"/>
        </w:rPr>
        <w:t xml:space="preserve"> : </w:t>
      </w:r>
      <w:r w:rsidRPr="1B9E7434">
        <w:rPr>
          <w:rStyle w:val="VerbatimChar"/>
          <w:lang w:val="fr-FR"/>
        </w:rPr>
        <w:t>E53_Lieu</w:t>
      </w:r>
    </w:p>
    <w:p w14:paraId="70F05FAE" w14:textId="77777777" w:rsidR="0084489F" w:rsidRDefault="00110FE6">
      <w:pPr>
        <w:pStyle w:val="BlockText"/>
      </w:pPr>
      <w:r>
        <w:rPr>
          <w:b/>
          <w:bCs/>
          <w:i/>
          <w:iCs/>
        </w:rPr>
        <w:t>Note de traduction</w:t>
      </w:r>
    </w:p>
    <w:p w14:paraId="50939810" w14:textId="77777777" w:rsidR="0084489F" w:rsidRDefault="00110FE6">
      <w:pPr>
        <w:pStyle w:val="BlockText"/>
      </w:pPr>
      <w:r>
        <w:rPr>
          <w:b/>
          <w:bCs/>
          <w:i/>
          <w:iCs/>
        </w:rPr>
        <w:t>Références</w:t>
      </w:r>
    </w:p>
    <w:p w14:paraId="493D6F69" w14:textId="77777777" w:rsidR="0084489F" w:rsidRDefault="00110FE6">
      <w:pPr>
        <w:pStyle w:val="BlockText"/>
      </w:pPr>
      <w:r>
        <w:lastRenderedPageBreak/>
        <w:t xml:space="preserve">Wikipédia. </w:t>
      </w:r>
      <w:r w:rsidRPr="008C0D99">
        <w:rPr>
          <w:lang w:val="en-CA"/>
        </w:rPr>
        <w:t xml:space="preserve">« Schöningen Spears ». Dans </w:t>
      </w:r>
      <w:r w:rsidRPr="008C0D99">
        <w:rPr>
          <w:i/>
          <w:iCs/>
          <w:lang w:val="en-CA"/>
        </w:rPr>
        <w:t>Wikipédia</w:t>
      </w:r>
      <w:r w:rsidRPr="008C0D99">
        <w:rPr>
          <w:lang w:val="en-CA"/>
        </w:rPr>
        <w:t>. San Francisco, US-CA: Wikipédia, 6 mars 2023.</w:t>
      </w:r>
      <w:hyperlink r:id="rId227">
        <w:r w:rsidRPr="008C0D99">
          <w:rPr>
            <w:rStyle w:val="Hyperlink"/>
            <w:lang w:val="en-CA"/>
          </w:rPr>
          <w:t xml:space="preserve"> </w:t>
        </w:r>
      </w:hyperlink>
      <w:hyperlink r:id="rId228">
        <w:r>
          <w:rPr>
            <w:rStyle w:val="Hyperlink"/>
          </w:rPr>
          <w:t>https://en.wikipedia.org/w/index.php?title=Sch%C3%B6ningen_spears&amp;oldid=1143301875</w:t>
        </w:r>
      </w:hyperlink>
      <w:r>
        <w:t>.</w:t>
      </w:r>
    </w:p>
    <w:p w14:paraId="44F4BB94" w14:textId="77777777" w:rsidR="00110FE6" w:rsidRPr="00110FE6" w:rsidRDefault="00110FE6" w:rsidP="00110FE6">
      <w:pPr>
        <w:pStyle w:val="BodyText"/>
      </w:pPr>
    </w:p>
    <w:p w14:paraId="54E7E191" w14:textId="77777777" w:rsidR="0084489F" w:rsidRDefault="00110FE6">
      <w:pPr>
        <w:pStyle w:val="Heading2"/>
      </w:pPr>
      <w:bookmarkStart w:id="255" w:name="_Toc176864509"/>
      <w:bookmarkStart w:id="256" w:name="e93-presence"/>
      <w:bookmarkEnd w:id="254"/>
      <w:r>
        <w:t>E93 Présence</w:t>
      </w:r>
      <w:bookmarkEnd w:id="255"/>
    </w:p>
    <w:p w14:paraId="5EC54A05" w14:textId="77777777" w:rsidR="0084489F" w:rsidRDefault="00110FE6">
      <w:pPr>
        <w:pStyle w:val="FirstParagraph"/>
      </w:pPr>
      <w:r>
        <w:rPr>
          <w:b/>
          <w:bCs/>
        </w:rPr>
        <w:t>Sous-classe de</w:t>
      </w:r>
    </w:p>
    <w:p w14:paraId="51B5938F" w14:textId="77777777" w:rsidR="0084489F" w:rsidRDefault="00110FE6">
      <w:pPr>
        <w:pStyle w:val="BodyText"/>
      </w:pPr>
      <w:r>
        <w:rPr>
          <w:rStyle w:val="VerbatimChar"/>
        </w:rPr>
        <w:t>E92_Volume_spatio-temporel</w:t>
      </w:r>
    </w:p>
    <w:p w14:paraId="3DEAA473" w14:textId="77777777" w:rsidR="0084489F" w:rsidRDefault="00110FE6">
      <w:pPr>
        <w:pStyle w:val="BodyText"/>
      </w:pPr>
      <w:r>
        <w:rPr>
          <w:b/>
          <w:bCs/>
        </w:rPr>
        <w:t>Super-classe de</w:t>
      </w:r>
    </w:p>
    <w:p w14:paraId="6DB39EE6" w14:textId="77777777" w:rsidR="0084489F" w:rsidRDefault="0084489F">
      <w:pPr>
        <w:pStyle w:val="BodyText"/>
      </w:pPr>
    </w:p>
    <w:p w14:paraId="1EE3D691" w14:textId="77777777" w:rsidR="0084489F" w:rsidRDefault="00110FE6">
      <w:pPr>
        <w:pStyle w:val="BodyText"/>
      </w:pPr>
      <w:r>
        <w:rPr>
          <w:b/>
          <w:bCs/>
        </w:rPr>
        <w:t>Note d’application</w:t>
      </w:r>
    </w:p>
    <w:p w14:paraId="25AB39A4" w14:textId="77777777" w:rsidR="0084489F" w:rsidRDefault="00110FE6">
      <w:pPr>
        <w:pStyle w:val="BodyText"/>
      </w:pPr>
      <w:r>
        <w:t xml:space="preserve">Cette classe comprend les instances de </w:t>
      </w:r>
      <w:r>
        <w:rPr>
          <w:rStyle w:val="VerbatimChar"/>
        </w:rPr>
        <w:t>E92_Volume_spatio-temporel</w:t>
      </w:r>
      <w:r>
        <w:t xml:space="preserve"> dont l'étendue temporelle a été choisie pour déterminer l'étendue spatiale d'un phénomène au cours d'un intervalle de temps choisi. Les phénomènes concernés peuvent, par exemple, être des évènements ou des périodes historiques, mais peuvent aussi être l'étendue et l'existence diachroniques de choses physiques. En d'autres termes, les instances de cette classe fixent une autre tranche d'une instance de </w:t>
      </w:r>
      <w:r>
        <w:rPr>
          <w:rStyle w:val="VerbatimChar"/>
        </w:rPr>
        <w:t>E92_Volume_spatio-temporel</w:t>
      </w:r>
      <w:r>
        <w:t xml:space="preserve"> dans le temps.</w:t>
      </w:r>
    </w:p>
    <w:p w14:paraId="34CF0E90" w14:textId="77777777" w:rsidR="0084489F" w:rsidRDefault="00110FE6">
      <w:pPr>
        <w:pStyle w:val="BodyText"/>
      </w:pPr>
      <w:r w:rsidRPr="1B9E7434">
        <w:rPr>
          <w:lang w:val="fr-FR"/>
        </w:rPr>
        <w:t xml:space="preserve">L'étendue temporelle d'une instance de </w:t>
      </w:r>
      <w:r w:rsidRPr="1B9E7434">
        <w:rPr>
          <w:rStyle w:val="VerbatimChar"/>
          <w:lang w:val="fr-FR"/>
        </w:rPr>
        <w:t>E93_Présence</w:t>
      </w:r>
      <w:r w:rsidRPr="1B9E7434">
        <w:rPr>
          <w:lang w:val="fr-FR"/>
        </w:rPr>
        <w:t xml:space="preserve"> est généralement prédéterminée par le ou la chercheur·se afin de concentrer son enquête sur la recherche de l'étendue spatiale du phénomène en testant ses caractéristiques. Il y a au moins deux directions de base que de telles enquêtes peuvent prendre. Elles peuvent servir à déterminer où se trouvait quelque chose pendant un certain temps ou à reconstruire le passage total du volume spatio-temporel d’un phénomène à travers un examen de présences distinctes. L'observation et le mesurage des caractéristiques indiquant la présence ou l'absence d'un phénomène dans un espace donné permettent l'approximation progressive des étendues spatiales à travers une argumentation généralement basée sur l'inclusion, l'exclusion et divers chevauchements.</w:t>
      </w:r>
    </w:p>
    <w:p w14:paraId="066E76D1" w14:textId="77777777" w:rsidR="0084489F" w:rsidRDefault="00110FE6">
      <w:pPr>
        <w:pStyle w:val="BodyText"/>
      </w:pPr>
      <w:r>
        <w:rPr>
          <w:b/>
          <w:bCs/>
        </w:rPr>
        <w:t>Exemples</w:t>
      </w:r>
    </w:p>
    <w:p w14:paraId="56D0F4DC" w14:textId="2D1B4E9D" w:rsidR="0084489F" w:rsidRDefault="00110FE6" w:rsidP="00806324">
      <w:pPr>
        <w:numPr>
          <w:ilvl w:val="0"/>
          <w:numId w:val="131"/>
        </w:numPr>
      </w:pPr>
      <w:r w:rsidRPr="1B9E7434">
        <w:rPr>
          <w:lang w:val="fr-FR"/>
        </w:rPr>
        <w:t>L'Empire romain le 19 août 14 EC (Clare &amp; Edwards, 1992)</w:t>
      </w:r>
    </w:p>
    <w:p w14:paraId="294E79F5" w14:textId="3A061B51" w:rsidR="0084489F" w:rsidRDefault="00110FE6" w:rsidP="00806324">
      <w:pPr>
        <w:numPr>
          <w:ilvl w:val="0"/>
          <w:numId w:val="131"/>
        </w:numPr>
      </w:pPr>
      <w:r w:rsidRPr="1B9E7434">
        <w:rPr>
          <w:lang w:val="fr-FR"/>
        </w:rPr>
        <w:t>La localisation de Johann Joachim Winckelmann en décembre 1775 (Leppmann, 1970)</w:t>
      </w:r>
    </w:p>
    <w:p w14:paraId="42A98445" w14:textId="677E43F5" w:rsidR="0084489F" w:rsidRDefault="00110FE6" w:rsidP="00806324">
      <w:pPr>
        <w:numPr>
          <w:ilvl w:val="0"/>
          <w:numId w:val="131"/>
        </w:numPr>
      </w:pPr>
      <w:r w:rsidRPr="1B9E7434">
        <w:rPr>
          <w:lang w:val="fr-FR"/>
        </w:rPr>
        <w:t>La localisation de Johann Joachim Winckelmann entre le 19 novembre 1755 et le 9 avril 1768 (Leppmann, 1970)</w:t>
      </w:r>
    </w:p>
    <w:p w14:paraId="7C4423DA" w14:textId="77777777" w:rsidR="0084489F" w:rsidRDefault="00110FE6">
      <w:pPr>
        <w:pStyle w:val="FirstParagraph"/>
      </w:pPr>
      <w:r>
        <w:rPr>
          <w:b/>
          <w:bCs/>
        </w:rPr>
        <w:t>Logique</w:t>
      </w:r>
    </w:p>
    <w:p w14:paraId="5D206BC3" w14:textId="77777777" w:rsidR="0084489F" w:rsidRDefault="00110FE6">
      <w:pPr>
        <w:pStyle w:val="BodyText"/>
      </w:pPr>
      <w:r>
        <w:t>E93(x) ⇒ E92(x)</w:t>
      </w:r>
    </w:p>
    <w:p w14:paraId="3FD30490" w14:textId="77777777" w:rsidR="0084489F" w:rsidRDefault="00110FE6">
      <w:pPr>
        <w:pStyle w:val="BodyText"/>
      </w:pPr>
      <w:r>
        <w:rPr>
          <w:b/>
          <w:bCs/>
        </w:rPr>
        <w:t>Propriétés</w:t>
      </w:r>
    </w:p>
    <w:p w14:paraId="1D62D14C" w14:textId="77777777" w:rsidR="0084489F" w:rsidRDefault="00110FE6">
      <w:pPr>
        <w:pStyle w:val="BodyText"/>
      </w:pPr>
      <w:r>
        <w:rPr>
          <w:rStyle w:val="VerbatimChar"/>
        </w:rPr>
        <w:t>P164_est_temporellement_spécifié_par (spécifie temporellement)</w:t>
      </w:r>
      <w:r>
        <w:t xml:space="preserve"> : </w:t>
      </w:r>
      <w:r>
        <w:rPr>
          <w:rStyle w:val="VerbatimChar"/>
        </w:rPr>
        <w:t>E52_Intervalle_temporel</w:t>
      </w:r>
    </w:p>
    <w:p w14:paraId="730400EF" w14:textId="77777777" w:rsidR="0084489F" w:rsidRDefault="00110FE6">
      <w:pPr>
        <w:pStyle w:val="BodyText"/>
      </w:pPr>
      <w:r w:rsidRPr="1B9E7434">
        <w:rPr>
          <w:rStyle w:val="VerbatimChar"/>
          <w:lang w:val="fr-FR"/>
        </w:rPr>
        <w:t>P166_a_été_une_présence_de (a_eu_pour_présence)</w:t>
      </w:r>
      <w:r w:rsidRPr="1B9E7434">
        <w:rPr>
          <w:lang w:val="fr-FR"/>
        </w:rPr>
        <w:t xml:space="preserve"> : </w:t>
      </w:r>
      <w:r w:rsidRPr="1B9E7434">
        <w:rPr>
          <w:rStyle w:val="VerbatimChar"/>
          <w:lang w:val="fr-FR"/>
        </w:rPr>
        <w:t>E92_Volume_spatio-temporel</w:t>
      </w:r>
    </w:p>
    <w:p w14:paraId="7BA4D718" w14:textId="77777777" w:rsidR="0084489F" w:rsidRDefault="00110FE6">
      <w:pPr>
        <w:pStyle w:val="BodyText"/>
      </w:pPr>
      <w:r>
        <w:rPr>
          <w:rStyle w:val="VerbatimChar"/>
        </w:rPr>
        <w:t>P167_s'inscrivait_dans (comporte)</w:t>
      </w:r>
      <w:r>
        <w:t xml:space="preserve"> : </w:t>
      </w:r>
      <w:r>
        <w:rPr>
          <w:rStyle w:val="VerbatimChar"/>
        </w:rPr>
        <w:t>E53_Lieu</w:t>
      </w:r>
    </w:p>
    <w:p w14:paraId="7DDCA0BC" w14:textId="77777777" w:rsidR="0084489F" w:rsidRDefault="00110FE6">
      <w:pPr>
        <w:pStyle w:val="BodyText"/>
      </w:pPr>
      <w:r w:rsidRPr="1B9E7434">
        <w:rPr>
          <w:rStyle w:val="VerbatimChar"/>
          <w:lang w:val="fr-FR"/>
        </w:rPr>
        <w:t>P195_a_été_une_présence_de (a_eu_pour_présence)</w:t>
      </w:r>
      <w:r w:rsidRPr="1B9E7434">
        <w:rPr>
          <w:lang w:val="fr-FR"/>
        </w:rPr>
        <w:t xml:space="preserve"> : </w:t>
      </w:r>
      <w:r w:rsidRPr="1B9E7434">
        <w:rPr>
          <w:rStyle w:val="VerbatimChar"/>
          <w:lang w:val="fr-FR"/>
        </w:rPr>
        <w:t>E18_Chose_matérielle</w:t>
      </w:r>
    </w:p>
    <w:p w14:paraId="140F5797" w14:textId="77777777" w:rsidR="0084489F" w:rsidRDefault="00110FE6">
      <w:pPr>
        <w:pStyle w:val="BodyText"/>
      </w:pPr>
      <w:r w:rsidRPr="1B9E7434">
        <w:rPr>
          <w:rStyle w:val="VerbatimChar"/>
          <w:lang w:val="fr-FR"/>
        </w:rPr>
        <w:t>P197_a_couvert_des_parties_de (a_été_partiellement_couvert_par)</w:t>
      </w:r>
      <w:r w:rsidRPr="1B9E7434">
        <w:rPr>
          <w:lang w:val="fr-FR"/>
        </w:rPr>
        <w:t xml:space="preserve"> : </w:t>
      </w:r>
      <w:r w:rsidRPr="1B9E7434">
        <w:rPr>
          <w:rStyle w:val="VerbatimChar"/>
          <w:lang w:val="fr-FR"/>
        </w:rPr>
        <w:t>E53_Lieu</w:t>
      </w:r>
    </w:p>
    <w:p w14:paraId="2BA0091C" w14:textId="77777777" w:rsidR="0084489F" w:rsidRDefault="00110FE6">
      <w:pPr>
        <w:pStyle w:val="BlockText"/>
      </w:pPr>
      <w:r>
        <w:rPr>
          <w:b/>
          <w:bCs/>
          <w:i/>
          <w:iCs/>
        </w:rPr>
        <w:lastRenderedPageBreak/>
        <w:t>Note de traduction</w:t>
      </w:r>
    </w:p>
    <w:p w14:paraId="358A3510" w14:textId="77777777" w:rsidR="0084489F" w:rsidRDefault="00110FE6">
      <w:pPr>
        <w:pStyle w:val="BlockText"/>
      </w:pPr>
      <w:r>
        <w:rPr>
          <w:b/>
          <w:bCs/>
          <w:i/>
          <w:iCs/>
        </w:rPr>
        <w:t>Références</w:t>
      </w:r>
    </w:p>
    <w:p w14:paraId="12228201" w14:textId="77777777" w:rsidR="0084489F" w:rsidRDefault="00110FE6">
      <w:pPr>
        <w:pStyle w:val="Heading2"/>
      </w:pPr>
      <w:bookmarkStart w:id="257" w:name="_Toc176864510"/>
      <w:bookmarkStart w:id="258" w:name="e94-primitive-spatiale"/>
      <w:bookmarkEnd w:id="256"/>
      <w:r>
        <w:t>E94 Primitive spatiale</w:t>
      </w:r>
      <w:bookmarkEnd w:id="257"/>
    </w:p>
    <w:p w14:paraId="50E21603" w14:textId="77777777" w:rsidR="0084489F" w:rsidRDefault="00110FE6">
      <w:pPr>
        <w:pStyle w:val="FirstParagraph"/>
      </w:pPr>
      <w:r>
        <w:rPr>
          <w:b/>
          <w:bCs/>
        </w:rPr>
        <w:t>Sous-classe de</w:t>
      </w:r>
    </w:p>
    <w:p w14:paraId="0C734D08" w14:textId="77777777" w:rsidR="0084489F" w:rsidRDefault="00110FE6">
      <w:pPr>
        <w:pStyle w:val="BodyText"/>
      </w:pPr>
      <w:r>
        <w:rPr>
          <w:rStyle w:val="VerbatimChar"/>
        </w:rPr>
        <w:t>E41_AppellationE59_Valeur_primitive</w:t>
      </w:r>
    </w:p>
    <w:p w14:paraId="3E5EDA83" w14:textId="77777777" w:rsidR="0084489F" w:rsidRDefault="00110FE6">
      <w:pPr>
        <w:pStyle w:val="BodyText"/>
      </w:pPr>
      <w:r>
        <w:rPr>
          <w:b/>
          <w:bCs/>
        </w:rPr>
        <w:t>Super-classe de</w:t>
      </w:r>
    </w:p>
    <w:p w14:paraId="57F1ACAE" w14:textId="77777777" w:rsidR="0084489F" w:rsidRDefault="00110FE6">
      <w:pPr>
        <w:pStyle w:val="BodyText"/>
      </w:pPr>
      <w:r>
        <w:rPr>
          <w:b/>
          <w:bCs/>
        </w:rPr>
        <w:t>Note d’application</w:t>
      </w:r>
    </w:p>
    <w:p w14:paraId="6D7A67EC" w14:textId="77777777" w:rsidR="0084489F" w:rsidRDefault="00110FE6">
      <w:pPr>
        <w:pStyle w:val="BodyText"/>
      </w:pPr>
      <w:r>
        <w:t xml:space="preserve">Cette classe comprend des instances de </w:t>
      </w:r>
      <w:r>
        <w:rPr>
          <w:rStyle w:val="VerbatimChar"/>
        </w:rPr>
        <w:t>E59_Valeur_primitive</w:t>
      </w:r>
      <w:r>
        <w:t xml:space="preserve"> pour un espace qui doivent être implémentées avec les validations, précisions et références appropriées aux systèmes de coordonnées spatiales afin d'exprimer des géométries sur ou relatives à la Terre, ou tout autre regroupement stable de matière pertinentes pour la documentation culturelle et scientifique.</w:t>
      </w:r>
    </w:p>
    <w:p w14:paraId="0BF1CB57" w14:textId="77777777" w:rsidR="0084489F" w:rsidRDefault="00110FE6">
      <w:pPr>
        <w:pStyle w:val="BodyText"/>
      </w:pPr>
      <w:r w:rsidRPr="1B9E7434">
        <w:rPr>
          <w:lang w:val="fr-FR"/>
        </w:rPr>
        <w:t xml:space="preserve">Une instance de </w:t>
      </w:r>
      <w:r w:rsidRPr="1B9E7434">
        <w:rPr>
          <w:rStyle w:val="VerbatimChar"/>
          <w:lang w:val="fr-FR"/>
        </w:rPr>
        <w:t>E94_Primitive_spatiale</w:t>
      </w:r>
      <w:r w:rsidRPr="1B9E7434">
        <w:rPr>
          <w:lang w:val="fr-FR"/>
        </w:rPr>
        <w:t xml:space="preserve"> définit une instance de </w:t>
      </w:r>
      <w:r w:rsidRPr="1B9E7434">
        <w:rPr>
          <w:rStyle w:val="VerbatimChar"/>
          <w:lang w:val="fr-FR"/>
        </w:rPr>
        <w:t>E53_Lieu</w:t>
      </w:r>
      <w:r w:rsidRPr="1B9E7434">
        <w:rPr>
          <w:lang w:val="fr-FR"/>
        </w:rPr>
        <w:t xml:space="preserve"> au sens d'un lieu déclaratif tel qu'élaboré dans CRMgeo (Doerr &amp; Hiebel, 2013), ce qui signifie que l'identité du lieu est dérivée de sa définition géométrique. Un tel lieu déclaratif peut permettre l'approximation d'instances de </w:t>
      </w:r>
      <w:r w:rsidRPr="1B9E7434">
        <w:rPr>
          <w:rStyle w:val="VerbatimChar"/>
          <w:lang w:val="fr-FR"/>
        </w:rPr>
        <w:t>E53_Lieu</w:t>
      </w:r>
      <w:r w:rsidRPr="1B9E7434">
        <w:rPr>
          <w:lang w:val="fr-FR"/>
        </w:rPr>
        <w:t xml:space="preserve"> définies par l'étendue réelle d'un phénomène, comme l'occupation d'un lieu ou un lit de rivière, ou d'autres formes d'identification plutôt que par une instance de </w:t>
      </w:r>
      <w:r w:rsidRPr="1B9E7434">
        <w:rPr>
          <w:rStyle w:val="VerbatimChar"/>
          <w:lang w:val="fr-FR"/>
        </w:rPr>
        <w:t>E94_Primitive_spatiale</w:t>
      </w:r>
      <w:r w:rsidRPr="1B9E7434">
        <w:rPr>
          <w:lang w:val="fr-FR"/>
        </w:rPr>
        <w:t xml:space="preserve">. Il est à souligner que l'utilisation d'une instance de </w:t>
      </w:r>
      <w:r w:rsidRPr="1B9E7434">
        <w:rPr>
          <w:rStyle w:val="VerbatimChar"/>
          <w:lang w:val="fr-FR"/>
        </w:rPr>
        <w:t>E94_Primitive_spatiale</w:t>
      </w:r>
      <w:r w:rsidRPr="1B9E7434">
        <w:rPr>
          <w:lang w:val="fr-FR"/>
        </w:rPr>
        <w:t xml:space="preserve"> pour estimer l'étendue réelle d'un lieu définit toujours une instance (déclarative) à part entière de </w:t>
      </w:r>
      <w:r w:rsidRPr="1B9E7434">
        <w:rPr>
          <w:rStyle w:val="VerbatimChar"/>
          <w:lang w:val="fr-FR"/>
        </w:rPr>
        <w:t>E53_Lieu</w:t>
      </w:r>
      <w:r w:rsidRPr="1B9E7434">
        <w:rPr>
          <w:lang w:val="fr-FR"/>
        </w:rPr>
        <w:t>.</w:t>
      </w:r>
    </w:p>
    <w:p w14:paraId="56126CCB" w14:textId="77777777" w:rsidR="0084489F" w:rsidRDefault="00110FE6">
      <w:pPr>
        <w:pStyle w:val="BodyText"/>
      </w:pPr>
      <w:r>
        <w:t xml:space="preserve">Les définitions d'instances de </w:t>
      </w:r>
      <w:r>
        <w:rPr>
          <w:rStyle w:val="VerbatimChar"/>
        </w:rPr>
        <w:t>E53_Lieu</w:t>
      </w:r>
      <w:r>
        <w:t xml:space="preserve"> utilisant différents systèmes de référence spatiale sont toujours des définitions d'instances différentes de </w:t>
      </w:r>
      <w:r>
        <w:rPr>
          <w:rStyle w:val="VerbatimChar"/>
        </w:rPr>
        <w:t>E53_Lieu</w:t>
      </w:r>
      <w:r>
        <w:t>.</w:t>
      </w:r>
    </w:p>
    <w:p w14:paraId="1BE49DB0" w14:textId="77777777" w:rsidR="0084489F" w:rsidRDefault="00110FE6">
      <w:pPr>
        <w:pStyle w:val="BodyText"/>
      </w:pPr>
      <w:r w:rsidRPr="1B9E7434">
        <w:rPr>
          <w:lang w:val="fr-FR"/>
        </w:rPr>
        <w:t xml:space="preserve">Les instances de </w:t>
      </w:r>
      <w:r w:rsidRPr="1B9E7434">
        <w:rPr>
          <w:rStyle w:val="VerbatimChar"/>
          <w:lang w:val="fr-FR"/>
        </w:rPr>
        <w:t>E94_Primitive_spatiale</w:t>
      </w:r>
      <w:r w:rsidRPr="1B9E7434">
        <w:rPr>
          <w:lang w:val="fr-FR"/>
        </w:rPr>
        <w:t xml:space="preserve"> offrent la possibilité de lier les données codées du CIDOC CRM aux types de géométries utilisées dans les cartes ou les systèmes de géoinformation. Elles peuvent être utilisées pour visualiser les instances de </w:t>
      </w:r>
      <w:r w:rsidRPr="1B9E7434">
        <w:rPr>
          <w:rStyle w:val="VerbatimChar"/>
          <w:lang w:val="fr-FR"/>
        </w:rPr>
        <w:t>E53_Lieu</w:t>
      </w:r>
      <w:r w:rsidRPr="1B9E7434">
        <w:rPr>
          <w:lang w:val="fr-FR"/>
        </w:rPr>
        <w:t xml:space="preserve"> qu'elles définissent, dans leur contexte géographique et pour calculer les relations topologiques entre les lieux à partir de ces géométries. La classe </w:t>
      </w:r>
      <w:r w:rsidRPr="1B9E7434">
        <w:rPr>
          <w:rStyle w:val="VerbatimChar"/>
          <w:lang w:val="fr-FR"/>
        </w:rPr>
        <w:t>E94_Primitive_spatiale</w:t>
      </w:r>
      <w:r w:rsidRPr="1B9E7434">
        <w:rPr>
          <w:lang w:val="fr-FR"/>
        </w:rPr>
        <w:t xml:space="preserve"> n'est pas développée davantage dans ce modèle. Il est considéré comme une bonne pratique de maintenir la compatibilité avec les standards du Open Geospatial Consortium (OGC).</w:t>
      </w:r>
    </w:p>
    <w:p w14:paraId="2C8218AB" w14:textId="77777777" w:rsidR="0084489F" w:rsidRDefault="00110FE6">
      <w:pPr>
        <w:pStyle w:val="BodyText"/>
      </w:pPr>
      <w:r>
        <w:rPr>
          <w:b/>
          <w:bCs/>
        </w:rPr>
        <w:t>Exemples</w:t>
      </w:r>
    </w:p>
    <w:p w14:paraId="18C326D1" w14:textId="1997943F" w:rsidR="00BC2FCD" w:rsidRDefault="00BC2FCD" w:rsidP="00806324">
      <w:pPr>
        <w:numPr>
          <w:ilvl w:val="0"/>
          <w:numId w:val="132"/>
        </w:numPr>
      </w:pPr>
      <w:r w:rsidRPr="1B9E7434">
        <w:rPr>
          <w:lang w:val="fr-FR"/>
        </w:rPr>
        <w:t>&lt;gml:Point gml:id="p21" srsName="</w:t>
      </w:r>
      <w:hyperlink r:id="rId229">
        <w:r w:rsidRPr="1B9E7434">
          <w:rPr>
            <w:rStyle w:val="Hyperlink"/>
            <w:lang w:val="fr-FR"/>
          </w:rPr>
          <w:t>http://www.opengis.net/def/crs/EPSG/0/4326</w:t>
        </w:r>
      </w:hyperlink>
      <w:r w:rsidRPr="1B9E7434">
        <w:rPr>
          <w:lang w:val="fr-FR"/>
        </w:rPr>
        <w:t xml:space="preserve">"&gt; &lt;gml:coordinates&gt;45.67, 88.56&lt;/gml:coordinates&gt; &lt;/gml:Point&gt; [Information sur les coordonnées en Geography Markup Language (GML)] </w:t>
      </w:r>
    </w:p>
    <w:p w14:paraId="124C6F92" w14:textId="4F520629" w:rsidR="0084489F" w:rsidRDefault="00110FE6" w:rsidP="00806324">
      <w:pPr>
        <w:numPr>
          <w:ilvl w:val="0"/>
          <w:numId w:val="132"/>
        </w:numPr>
      </w:pPr>
      <w:r>
        <w:t>« 40°31'17.9"N 21°15'48.3"E » [Un point unique pour l'approximation du centre de la ville de Kastoria en Grèce]</w:t>
      </w:r>
    </w:p>
    <w:p w14:paraId="1960EF89" w14:textId="77777777" w:rsidR="0084489F" w:rsidRPr="008C0D99" w:rsidRDefault="00110FE6" w:rsidP="00806324">
      <w:pPr>
        <w:numPr>
          <w:ilvl w:val="0"/>
          <w:numId w:val="132"/>
        </w:numPr>
        <w:rPr>
          <w:lang w:val="en-CA"/>
        </w:rPr>
      </w:pPr>
      <w:r w:rsidRPr="008C0D99">
        <w:rPr>
          <w:lang w:val="en-CA"/>
        </w:rPr>
        <w:t>POLYGON ((30 10, 40 40, 20 40, 10 20, 30 10)) [Well-known text (WKT)]</w:t>
      </w:r>
    </w:p>
    <w:p w14:paraId="36D216CA" w14:textId="77777777" w:rsidR="0084489F" w:rsidRDefault="00110FE6">
      <w:pPr>
        <w:pStyle w:val="FirstParagraph"/>
      </w:pPr>
      <w:r>
        <w:rPr>
          <w:b/>
          <w:bCs/>
        </w:rPr>
        <w:t>Logique</w:t>
      </w:r>
    </w:p>
    <w:p w14:paraId="34C109D1" w14:textId="77777777" w:rsidR="0084489F" w:rsidRDefault="00110FE6">
      <w:pPr>
        <w:pStyle w:val="BodyText"/>
      </w:pPr>
      <w:r>
        <w:t>E94(x) ⇒ E41(x)</w:t>
      </w:r>
    </w:p>
    <w:p w14:paraId="6CA266DF" w14:textId="77777777" w:rsidR="0084489F" w:rsidRDefault="00110FE6">
      <w:pPr>
        <w:pStyle w:val="BodyText"/>
      </w:pPr>
      <w:r>
        <w:t>E94(x) ⇒ E59(x)</w:t>
      </w:r>
    </w:p>
    <w:p w14:paraId="2D5171F3" w14:textId="77777777" w:rsidR="0084489F" w:rsidRDefault="00110FE6">
      <w:pPr>
        <w:pStyle w:val="BodyText"/>
      </w:pPr>
      <w:r>
        <w:rPr>
          <w:b/>
          <w:bCs/>
        </w:rPr>
        <w:t>Propriétés</w:t>
      </w:r>
    </w:p>
    <w:p w14:paraId="288D3159" w14:textId="77777777" w:rsidR="0084489F" w:rsidRDefault="00110FE6" w:rsidP="00F361B3">
      <w:pPr>
        <w:pStyle w:val="BlockText"/>
        <w:keepNext/>
        <w:ind w:left="475" w:right="475"/>
      </w:pPr>
      <w:r>
        <w:rPr>
          <w:b/>
          <w:bCs/>
          <w:i/>
          <w:iCs/>
        </w:rPr>
        <w:lastRenderedPageBreak/>
        <w:t>Note de traduction</w:t>
      </w:r>
    </w:p>
    <w:p w14:paraId="4BAAF467" w14:textId="77777777" w:rsidR="0084489F" w:rsidRDefault="00110FE6" w:rsidP="00F361B3">
      <w:pPr>
        <w:pStyle w:val="BlockText"/>
        <w:keepNext/>
        <w:ind w:left="475" w:right="475"/>
      </w:pPr>
      <w:r w:rsidRPr="1B9E7434">
        <w:rPr>
          <w:lang w:val="fr-FR"/>
        </w:rPr>
        <w:t>Le langage de balisage « Well-known text » s'écrit de différentes façons. Dans cette traduction, la forme « Well-known text » utilisée par Wikipédia a été préconisée.</w:t>
      </w:r>
    </w:p>
    <w:p w14:paraId="786F01C9" w14:textId="77777777" w:rsidR="0084489F" w:rsidRPr="008C0D99" w:rsidRDefault="00110FE6" w:rsidP="00110FE6">
      <w:pPr>
        <w:pStyle w:val="BlockText"/>
        <w:keepNext/>
        <w:ind w:left="475" w:right="475"/>
        <w:rPr>
          <w:lang w:val="en-CA"/>
        </w:rPr>
      </w:pPr>
      <w:r w:rsidRPr="008C0D99">
        <w:rPr>
          <w:b/>
          <w:bCs/>
          <w:i/>
          <w:iCs/>
          <w:lang w:val="en-CA"/>
        </w:rPr>
        <w:t>Références</w:t>
      </w:r>
    </w:p>
    <w:p w14:paraId="55A46B36" w14:textId="77777777" w:rsidR="0084489F" w:rsidRDefault="00110FE6" w:rsidP="00110FE6">
      <w:pPr>
        <w:pStyle w:val="BlockText"/>
        <w:keepNext/>
        <w:ind w:left="475" w:right="475"/>
      </w:pPr>
      <w:r w:rsidRPr="008C0D99">
        <w:rPr>
          <w:lang w:val="en-CA"/>
        </w:rPr>
        <w:t xml:space="preserve">Wikipédia. « Well-Known Text Representation of Geometry ». Dans </w:t>
      </w:r>
      <w:r w:rsidRPr="008C0D99">
        <w:rPr>
          <w:i/>
          <w:iCs/>
          <w:lang w:val="en-CA"/>
        </w:rPr>
        <w:t>Wikipédia</w:t>
      </w:r>
      <w:r w:rsidRPr="008C0D99">
        <w:rPr>
          <w:lang w:val="en-CA"/>
        </w:rPr>
        <w:t>. San Francisco, US-CA: Wikipédia, 20 août 2022.</w:t>
      </w:r>
      <w:hyperlink r:id="rId230">
        <w:r w:rsidRPr="008C0D99">
          <w:rPr>
            <w:rStyle w:val="Hyperlink"/>
            <w:lang w:val="en-CA"/>
          </w:rPr>
          <w:t xml:space="preserve"> </w:t>
        </w:r>
      </w:hyperlink>
      <w:hyperlink r:id="rId231">
        <w:r>
          <w:rPr>
            <w:rStyle w:val="Hyperlink"/>
          </w:rPr>
          <w:t>https://en.wikipedia.org/w/index.php?title=Well-known_text_representation_of_geometry&amp;oldid=1105540049</w:t>
        </w:r>
      </w:hyperlink>
      <w:r>
        <w:t>.</w:t>
      </w:r>
    </w:p>
    <w:p w14:paraId="0298D8EA" w14:textId="77777777" w:rsidR="00110FE6" w:rsidRPr="00110FE6" w:rsidRDefault="00110FE6" w:rsidP="00110FE6">
      <w:pPr>
        <w:pStyle w:val="BodyText"/>
      </w:pPr>
    </w:p>
    <w:p w14:paraId="1FB1E5BD" w14:textId="77777777" w:rsidR="0084489F" w:rsidRDefault="00110FE6">
      <w:pPr>
        <w:pStyle w:val="Heading2"/>
      </w:pPr>
      <w:bookmarkStart w:id="259" w:name="_Toc176864511"/>
      <w:bookmarkStart w:id="260" w:name="e95-primitive-spatio-temporelle"/>
      <w:bookmarkEnd w:id="258"/>
      <w:r>
        <w:t>E95 Primitive spatio-temporelle</w:t>
      </w:r>
      <w:bookmarkEnd w:id="259"/>
    </w:p>
    <w:p w14:paraId="06C74573" w14:textId="77777777" w:rsidR="0084489F" w:rsidRDefault="00110FE6">
      <w:pPr>
        <w:pStyle w:val="FirstParagraph"/>
      </w:pPr>
      <w:r>
        <w:rPr>
          <w:b/>
          <w:bCs/>
        </w:rPr>
        <w:t>Sous-classe de</w:t>
      </w:r>
    </w:p>
    <w:p w14:paraId="25C012B0" w14:textId="77777777" w:rsidR="0084489F" w:rsidRDefault="00110FE6">
      <w:pPr>
        <w:pStyle w:val="BodyText"/>
      </w:pPr>
      <w:r>
        <w:rPr>
          <w:rStyle w:val="VerbatimChar"/>
        </w:rPr>
        <w:t>E41_Appellation</w:t>
      </w:r>
    </w:p>
    <w:p w14:paraId="5499AF78" w14:textId="77777777" w:rsidR="0084489F" w:rsidRDefault="00110FE6">
      <w:pPr>
        <w:pStyle w:val="BodyText"/>
      </w:pPr>
      <w:r>
        <w:rPr>
          <w:rStyle w:val="VerbatimChar"/>
        </w:rPr>
        <w:t>E59_Valeur_primitive</w:t>
      </w:r>
    </w:p>
    <w:p w14:paraId="26ED7E04" w14:textId="77777777" w:rsidR="0084489F" w:rsidRDefault="00110FE6">
      <w:pPr>
        <w:pStyle w:val="BodyText"/>
      </w:pPr>
      <w:r>
        <w:rPr>
          <w:b/>
          <w:bCs/>
        </w:rPr>
        <w:t>Super-classe de</w:t>
      </w:r>
    </w:p>
    <w:p w14:paraId="000816C1" w14:textId="77777777" w:rsidR="0084489F" w:rsidRDefault="00110FE6">
      <w:pPr>
        <w:pStyle w:val="BodyText"/>
      </w:pPr>
      <w:r>
        <w:rPr>
          <w:b/>
          <w:bCs/>
        </w:rPr>
        <w:t>Note d’application</w:t>
      </w:r>
    </w:p>
    <w:p w14:paraId="515D9F89" w14:textId="77777777" w:rsidR="0084489F" w:rsidRDefault="00110FE6">
      <w:pPr>
        <w:pStyle w:val="BodyText"/>
      </w:pPr>
      <w:r>
        <w:t xml:space="preserve">Cette classe comprend les instances de </w:t>
      </w:r>
      <w:r>
        <w:rPr>
          <w:rStyle w:val="VerbatimChar"/>
        </w:rPr>
        <w:t>E59_Valeur_primitive</w:t>
      </w:r>
      <w:r>
        <w:t xml:space="preserve"> pour les volumes spatio-temporels qui doivent être implémentées avec les validations, précisions et références appropriées pour exprimer des géométries limitées et variables dans le temps sur ou relatives à la Terre ou tout autre regroupement stable de matière et pertinentes pour la documentation culturelle et scientifique</w:t>
      </w:r>
    </w:p>
    <w:p w14:paraId="0FBE382B" w14:textId="77777777" w:rsidR="0084489F" w:rsidRDefault="00110FE6">
      <w:pPr>
        <w:pStyle w:val="BodyText"/>
      </w:pPr>
      <w:r w:rsidRPr="1B9E7434">
        <w:rPr>
          <w:lang w:val="fr-FR"/>
        </w:rPr>
        <w:t xml:space="preserve">Une instance de </w:t>
      </w:r>
      <w:r w:rsidRPr="1B9E7434">
        <w:rPr>
          <w:rStyle w:val="VerbatimChar"/>
          <w:lang w:val="fr-FR"/>
        </w:rPr>
        <w:t>E95_Primitive_spatio-temporelle</w:t>
      </w:r>
      <w:r w:rsidRPr="1B9E7434">
        <w:rPr>
          <w:lang w:val="fr-FR"/>
        </w:rPr>
        <w:t xml:space="preserve"> peut être constituée d’une unique expression incluant des informations spatiales et temporelles, comme pour le langage Geography Markup Language (GML) , ou d’une différente forme pour exprimer l’espace-temps de manière intégrée, comme dans une formule contenant les quatre dimensions.</w:t>
      </w:r>
    </w:p>
    <w:p w14:paraId="0F7D923B" w14:textId="77777777" w:rsidR="0084489F" w:rsidRDefault="00110FE6">
      <w:pPr>
        <w:pStyle w:val="BodyText"/>
      </w:pPr>
      <w:r w:rsidRPr="1B9E7434">
        <w:rPr>
          <w:lang w:val="fr-FR"/>
        </w:rPr>
        <w:t xml:space="preserve">Une instance de </w:t>
      </w:r>
      <w:r w:rsidRPr="1B9E7434">
        <w:rPr>
          <w:rStyle w:val="VerbatimChar"/>
          <w:lang w:val="fr-FR"/>
        </w:rPr>
        <w:t>E95_Primitive_spatio-temporelle</w:t>
      </w:r>
      <w:r w:rsidRPr="1B9E7434">
        <w:rPr>
          <w:lang w:val="fr-FR"/>
        </w:rPr>
        <w:t xml:space="preserve"> définit une instance de </w:t>
      </w:r>
      <w:r w:rsidRPr="1B9E7434">
        <w:rPr>
          <w:rStyle w:val="VerbatimChar"/>
          <w:lang w:val="fr-FR"/>
        </w:rPr>
        <w:t>E92_Volume_spatio-temporel</w:t>
      </w:r>
      <w:r w:rsidRPr="1B9E7434">
        <w:rPr>
          <w:lang w:val="fr-FR"/>
        </w:rPr>
        <w:t xml:space="preserve"> dans le sens d’un volume spatio-temporel déclaratif, comme défini dans CRMgeo (Doerr &amp; Hiebel, 2013), ce qui signifie que l’identité de l’instance de </w:t>
      </w:r>
      <w:r w:rsidRPr="1B9E7434">
        <w:rPr>
          <w:rStyle w:val="VerbatimChar"/>
          <w:lang w:val="fr-FR"/>
        </w:rPr>
        <w:t>E92_Volume_spatio-temporel</w:t>
      </w:r>
      <w:r w:rsidRPr="1B9E7434">
        <w:rPr>
          <w:lang w:val="fr-FR"/>
        </w:rPr>
        <w:t xml:space="preserve"> est dérivée de ses définitions géométriques et temporelles. Ce volume spatio-temporel déclaratif permet l’application de toutes les propriétés de </w:t>
      </w:r>
      <w:r w:rsidRPr="1B9E7434">
        <w:rPr>
          <w:rStyle w:val="VerbatimChar"/>
          <w:lang w:val="fr-FR"/>
        </w:rPr>
        <w:t>E92_Volume_spatio-temporel</w:t>
      </w:r>
      <w:r w:rsidRPr="1B9E7434">
        <w:rPr>
          <w:lang w:val="fr-FR"/>
        </w:rPr>
        <w:t xml:space="preserve"> pour relier les volumes spatio-temporels phénoménals des périodes et choses physiques aux propositions concernant leurs étendues spatiales et temporelles.</w:t>
      </w:r>
    </w:p>
    <w:p w14:paraId="5F5F9548" w14:textId="77777777" w:rsidR="0084489F" w:rsidRDefault="00110FE6">
      <w:pPr>
        <w:pStyle w:val="BodyText"/>
      </w:pPr>
      <w:r w:rsidRPr="1B9E7434">
        <w:rPr>
          <w:lang w:val="fr-FR"/>
        </w:rPr>
        <w:t xml:space="preserve">Les instances de </w:t>
      </w:r>
      <w:r w:rsidRPr="1B9E7434">
        <w:rPr>
          <w:rStyle w:val="VerbatimChar"/>
          <w:lang w:val="fr-FR"/>
        </w:rPr>
        <w:t>E92_Volume_spatio-temporel</w:t>
      </w:r>
      <w:r w:rsidRPr="1B9E7434">
        <w:rPr>
          <w:lang w:val="fr-FR"/>
        </w:rPr>
        <w:t xml:space="preserve"> définies par la propriété </w:t>
      </w:r>
      <w:r w:rsidRPr="1B9E7434">
        <w:rPr>
          <w:rStyle w:val="VerbatimChar"/>
          <w:lang w:val="fr-FR"/>
        </w:rPr>
        <w:t>P169_définit_le_volume_spatio-temporel (volume_spatio-temporel_défini_par)</w:t>
      </w:r>
      <w:r w:rsidRPr="1B9E7434">
        <w:rPr>
          <w:lang w:val="fr-FR"/>
        </w:rPr>
        <w:t xml:space="preserve"> et utilisant des systèmes de référence spatio-temporels différents sont toujours considérées comme des instances différentes de </w:t>
      </w:r>
      <w:r w:rsidRPr="1B9E7434">
        <w:rPr>
          <w:rStyle w:val="VerbatimChar"/>
          <w:lang w:val="fr-FR"/>
        </w:rPr>
        <w:t>E92_Volume_spatio-temporel</w:t>
      </w:r>
      <w:r w:rsidRPr="1B9E7434">
        <w:rPr>
          <w:lang w:val="fr-FR"/>
        </w:rPr>
        <w:t>.</w:t>
      </w:r>
    </w:p>
    <w:p w14:paraId="70EEDFAB" w14:textId="77777777" w:rsidR="0084489F" w:rsidRDefault="00110FE6">
      <w:pPr>
        <w:pStyle w:val="BodyText"/>
      </w:pPr>
      <w:r>
        <w:t xml:space="preserve">Il est possible pour un volume spatio-temporel d’être défini par des phénomènes l’ayant causé, comme l’expansion ou en rétraction d’un royaume, une structure d’occupation, une bataille ou tout autre forme d’identification qui ne mobilisent pas une instance de </w:t>
      </w:r>
      <w:r>
        <w:rPr>
          <w:rStyle w:val="VerbatimChar"/>
        </w:rPr>
        <w:t>E95_Primitive_spatio-temporelle</w:t>
      </w:r>
      <w:r>
        <w:t xml:space="preserve">. Toute approximation spatio-temporelle d’un tel phénomène par une instance de </w:t>
      </w:r>
      <w:r>
        <w:rPr>
          <w:rStyle w:val="VerbatimChar"/>
        </w:rPr>
        <w:t>E95_Primitive_spatio-temporelle</w:t>
      </w:r>
      <w:r>
        <w:t xml:space="preserve"> constitue une instance de </w:t>
      </w:r>
      <w:r>
        <w:rPr>
          <w:rStyle w:val="VerbatimChar"/>
        </w:rPr>
        <w:t>E92_Volume_spatio-temporel</w:t>
      </w:r>
      <w:r>
        <w:t xml:space="preserve"> à part entière.</w:t>
      </w:r>
    </w:p>
    <w:p w14:paraId="17078E45" w14:textId="77777777" w:rsidR="0084489F" w:rsidRDefault="00110FE6">
      <w:pPr>
        <w:pStyle w:val="BodyText"/>
      </w:pPr>
      <w:r w:rsidRPr="1B9E7434">
        <w:rPr>
          <w:lang w:val="fr-FR"/>
        </w:rPr>
        <w:t xml:space="preserve">La classe </w:t>
      </w:r>
      <w:r w:rsidRPr="1B9E7434">
        <w:rPr>
          <w:rStyle w:val="VerbatimChar"/>
          <w:lang w:val="fr-FR"/>
        </w:rPr>
        <w:t>E95_Primitive_spatio-temporelle</w:t>
      </w:r>
      <w:r w:rsidRPr="1B9E7434">
        <w:rPr>
          <w:lang w:val="fr-FR"/>
        </w:rPr>
        <w:t xml:space="preserve"> n’est pas davantage élaborée au sein de ce modèle. Une compatibilité avec les standards du Open Geospatial Consortium (OGC) est recommandée.</w:t>
      </w:r>
    </w:p>
    <w:p w14:paraId="17E9BD51" w14:textId="77777777" w:rsidR="0084489F" w:rsidRDefault="00110FE6">
      <w:pPr>
        <w:pStyle w:val="BodyText"/>
        <w:rPr>
          <w:b/>
          <w:bCs/>
        </w:rPr>
      </w:pPr>
      <w:r>
        <w:rPr>
          <w:b/>
          <w:bCs/>
        </w:rPr>
        <w:t>Exemples</w:t>
      </w:r>
    </w:p>
    <w:p w14:paraId="0143CA81" w14:textId="30441DBE" w:rsidR="00167806" w:rsidRPr="00167806" w:rsidRDefault="00167806" w:rsidP="00806324">
      <w:pPr>
        <w:numPr>
          <w:ilvl w:val="0"/>
          <w:numId w:val="132"/>
        </w:numPr>
        <w:rPr>
          <w:lang w:val="en-US"/>
        </w:rPr>
      </w:pPr>
      <w:r w:rsidRPr="410C0BEF">
        <w:rPr>
          <w:lang w:val="en-US"/>
        </w:rPr>
        <w:lastRenderedPageBreak/>
        <w:t>&lt;Placemark&gt;</w:t>
      </w:r>
      <w:r w:rsidRPr="0090744B">
        <w:rPr>
          <w:lang w:val="en-US"/>
        </w:rPr>
        <w:br/>
      </w:r>
      <w:r w:rsidRPr="410C0BEF">
        <w:rPr>
          <w:lang w:val="en-US"/>
        </w:rPr>
        <w:t>  &lt;name&gt; Byzantine Empire &lt;/name&gt;</w:t>
      </w:r>
      <w:r w:rsidRPr="0090744B">
        <w:rPr>
          <w:lang w:val="en-US"/>
        </w:rPr>
        <w:br/>
      </w:r>
      <w:r w:rsidRPr="410C0BEF">
        <w:rPr>
          <w:lang w:val="en-US"/>
        </w:rPr>
        <w:t>  &lt;TimeSpan&gt;</w:t>
      </w:r>
      <w:r w:rsidRPr="0090744B">
        <w:rPr>
          <w:lang w:val="en-US"/>
        </w:rPr>
        <w:br/>
      </w:r>
      <w:r w:rsidRPr="410C0BEF">
        <w:rPr>
          <w:lang w:val="en-US"/>
        </w:rPr>
        <w:t>    &lt;begin&gt;330&lt;/begin&gt;</w:t>
      </w:r>
      <w:r w:rsidRPr="0090744B">
        <w:rPr>
          <w:lang w:val="en-US"/>
        </w:rPr>
        <w:br/>
      </w:r>
      <w:r w:rsidRPr="410C0BEF">
        <w:rPr>
          <w:lang w:val="en-US"/>
        </w:rPr>
        <w:t>    &lt;end&gt;1453&lt;/end&gt;</w:t>
      </w:r>
      <w:r w:rsidRPr="0090744B">
        <w:rPr>
          <w:lang w:val="en-US"/>
        </w:rPr>
        <w:br/>
      </w:r>
      <w:r w:rsidRPr="410C0BEF">
        <w:rPr>
          <w:lang w:val="en-US"/>
        </w:rPr>
        <w:t>  &lt;/TimeSpan&gt;</w:t>
      </w:r>
      <w:r w:rsidRPr="0090744B">
        <w:rPr>
          <w:lang w:val="en-US"/>
        </w:rPr>
        <w:br/>
      </w:r>
      <w:r w:rsidRPr="410C0BEF">
        <w:rPr>
          <w:lang w:val="en-US"/>
        </w:rPr>
        <w:t>  &lt;Polygon&gt;</w:t>
      </w:r>
      <w:r w:rsidRPr="0090744B">
        <w:rPr>
          <w:lang w:val="en-US"/>
        </w:rPr>
        <w:br/>
      </w:r>
      <w:r w:rsidRPr="410C0BEF">
        <w:rPr>
          <w:lang w:val="en-US"/>
        </w:rPr>
        <w:t>    &lt;altitudeMode&gt;clampToGround&lt;/altitudeMode&gt;</w:t>
      </w:r>
      <w:r w:rsidRPr="0090744B">
        <w:rPr>
          <w:lang w:val="en-US"/>
        </w:rPr>
        <w:br/>
      </w:r>
      <w:r w:rsidRPr="410C0BEF">
        <w:rPr>
          <w:lang w:val="en-US"/>
        </w:rPr>
        <w:t>    &lt;outerBoundaryIs&gt;</w:t>
      </w:r>
      <w:r w:rsidRPr="0090744B">
        <w:rPr>
          <w:lang w:val="en-US"/>
        </w:rPr>
        <w:br/>
      </w:r>
      <w:r w:rsidRPr="410C0BEF">
        <w:rPr>
          <w:lang w:val="en-US"/>
        </w:rPr>
        <w:t>      &lt;LinearRing&gt;</w:t>
      </w:r>
      <w:r w:rsidRPr="0090744B">
        <w:rPr>
          <w:lang w:val="en-US"/>
        </w:rPr>
        <w:br/>
      </w:r>
      <w:r w:rsidRPr="410C0BEF">
        <w:rPr>
          <w:lang w:val="en-US"/>
        </w:rPr>
        <w:t>        </w:t>
      </w:r>
      <w:commentRangeStart w:id="261"/>
      <w:commentRangeStart w:id="262"/>
      <w:commentRangeStart w:id="263"/>
      <w:r w:rsidRPr="410C0BEF">
        <w:rPr>
          <w:lang w:val="en-US"/>
        </w:rPr>
        <w:t>&lt;coordinates&gt;18.452787460,40.85553626,0    17.2223187,40.589098,....0 17.2223,39.783&lt;/coordinates&gt;</w:t>
      </w:r>
      <w:commentRangeEnd w:id="261"/>
      <w:r>
        <w:rPr>
          <w:rStyle w:val="CommentReference"/>
        </w:rPr>
        <w:commentReference w:id="261"/>
      </w:r>
      <w:commentRangeEnd w:id="262"/>
      <w:r>
        <w:rPr>
          <w:rStyle w:val="CommentReference"/>
        </w:rPr>
        <w:commentReference w:id="262"/>
      </w:r>
      <w:commentRangeEnd w:id="263"/>
      <w:r>
        <w:rPr>
          <w:rStyle w:val="CommentReference"/>
        </w:rPr>
        <w:commentReference w:id="263"/>
      </w:r>
      <w:r w:rsidRPr="0090744B">
        <w:rPr>
          <w:lang w:val="en-US"/>
        </w:rPr>
        <w:br/>
      </w:r>
      <w:r w:rsidRPr="410C0BEF">
        <w:rPr>
          <w:lang w:val="en-US"/>
        </w:rPr>
        <w:t>      &lt;/LinearRing&gt;</w:t>
      </w:r>
      <w:r w:rsidRPr="0090744B">
        <w:rPr>
          <w:lang w:val="en-US"/>
        </w:rPr>
        <w:br/>
      </w:r>
      <w:r w:rsidRPr="410C0BEF">
        <w:rPr>
          <w:lang w:val="en-US"/>
        </w:rPr>
        <w:t>    &lt;/outerBoundaryIs&gt;</w:t>
      </w:r>
      <w:r w:rsidRPr="0090744B">
        <w:rPr>
          <w:lang w:val="en-US"/>
        </w:rPr>
        <w:br/>
      </w:r>
      <w:r w:rsidRPr="410C0BEF">
        <w:rPr>
          <w:lang w:val="en-US"/>
        </w:rPr>
        <w:t>  &lt;/Polygon&gt;</w:t>
      </w:r>
      <w:r w:rsidRPr="0090744B">
        <w:rPr>
          <w:lang w:val="en-US"/>
        </w:rPr>
        <w:br/>
      </w:r>
      <w:r w:rsidRPr="410C0BEF">
        <w:rPr>
          <w:lang w:val="en-US"/>
        </w:rPr>
        <w:t>&lt;/Placemark&gt;</w:t>
      </w:r>
    </w:p>
    <w:p w14:paraId="61AAC65D" w14:textId="644C9796" w:rsidR="00123962" w:rsidRDefault="00167806" w:rsidP="001C103C">
      <w:pPr>
        <w:ind w:left="720"/>
      </w:pPr>
      <w:r w:rsidRPr="1B9E7434">
        <w:rPr>
          <w:lang w:val="fr-FR"/>
        </w:rPr>
        <w:t>[Les informations spatiales et temporelles dans le langage Keyhole Markup Language (KML) pour l’étendue maximum de l’empire Byzantin]</w:t>
      </w:r>
    </w:p>
    <w:p w14:paraId="7D109481" w14:textId="77777777" w:rsidR="0084489F" w:rsidRDefault="00110FE6">
      <w:pPr>
        <w:pStyle w:val="FirstParagraph"/>
      </w:pPr>
      <w:r>
        <w:rPr>
          <w:b/>
          <w:bCs/>
        </w:rPr>
        <w:t>Logique</w:t>
      </w:r>
    </w:p>
    <w:p w14:paraId="001E0F08" w14:textId="77777777" w:rsidR="0084489F" w:rsidRDefault="00110FE6">
      <w:pPr>
        <w:pStyle w:val="BodyText"/>
      </w:pPr>
      <w:r>
        <w:t>E95(x) ⇒ E41(x)</w:t>
      </w:r>
    </w:p>
    <w:p w14:paraId="1C334441" w14:textId="77777777" w:rsidR="0084489F" w:rsidRDefault="00110FE6">
      <w:pPr>
        <w:pStyle w:val="BodyText"/>
      </w:pPr>
      <w:r>
        <w:t>E95(x) ⇒ E59(x)</w:t>
      </w:r>
    </w:p>
    <w:p w14:paraId="75CE3ABE" w14:textId="77777777" w:rsidR="0084489F" w:rsidRDefault="00110FE6">
      <w:pPr>
        <w:pStyle w:val="BodyText"/>
      </w:pPr>
      <w:r>
        <w:rPr>
          <w:b/>
          <w:bCs/>
        </w:rPr>
        <w:t>Propriétés</w:t>
      </w:r>
    </w:p>
    <w:p w14:paraId="03B07E0B" w14:textId="77777777" w:rsidR="0084489F" w:rsidRDefault="00110FE6">
      <w:pPr>
        <w:pStyle w:val="BodyText"/>
      </w:pPr>
      <w:r w:rsidRPr="1B9E7434">
        <w:rPr>
          <w:rStyle w:val="VerbatimChar"/>
          <w:lang w:val="fr-FR"/>
        </w:rPr>
        <w:t>P169_définit_le_volume_spatio-temporel (volume_spatio-temporel_défini_par)</w:t>
      </w:r>
      <w:r w:rsidRPr="1B9E7434">
        <w:rPr>
          <w:lang w:val="fr-FR"/>
        </w:rPr>
        <w:t xml:space="preserve"> : </w:t>
      </w:r>
      <w:r w:rsidRPr="1B9E7434">
        <w:rPr>
          <w:rStyle w:val="VerbatimChar"/>
          <w:lang w:val="fr-FR"/>
        </w:rPr>
        <w:t>E92_Volume_spatio-temporel</w:t>
      </w:r>
    </w:p>
    <w:p w14:paraId="24E01895" w14:textId="77777777" w:rsidR="0084489F" w:rsidRDefault="00110FE6">
      <w:pPr>
        <w:pStyle w:val="BlockText"/>
      </w:pPr>
      <w:r>
        <w:rPr>
          <w:b/>
          <w:bCs/>
          <w:i/>
          <w:iCs/>
        </w:rPr>
        <w:t>Note de traduction</w:t>
      </w:r>
    </w:p>
    <w:p w14:paraId="441BC287" w14:textId="77777777" w:rsidR="0084489F" w:rsidRDefault="00110FE6">
      <w:pPr>
        <w:pStyle w:val="BlockText"/>
      </w:pPr>
      <w:r>
        <w:rPr>
          <w:b/>
          <w:bCs/>
          <w:i/>
          <w:iCs/>
        </w:rPr>
        <w:t>Références</w:t>
      </w:r>
    </w:p>
    <w:p w14:paraId="780289EF" w14:textId="77777777" w:rsidR="0084489F" w:rsidRDefault="0084489F">
      <w:pPr>
        <w:pStyle w:val="BlockText"/>
      </w:pPr>
    </w:p>
    <w:p w14:paraId="14728E50" w14:textId="77777777" w:rsidR="0084489F" w:rsidRDefault="00110FE6">
      <w:pPr>
        <w:pStyle w:val="Heading2"/>
      </w:pPr>
      <w:bookmarkStart w:id="264" w:name="_Toc176864512"/>
      <w:bookmarkStart w:id="265" w:name="e96-achat"/>
      <w:bookmarkEnd w:id="260"/>
      <w:r>
        <w:t>E96 Achat</w:t>
      </w:r>
      <w:bookmarkEnd w:id="264"/>
    </w:p>
    <w:p w14:paraId="09CA498A" w14:textId="77777777" w:rsidR="0084489F" w:rsidRDefault="00110FE6">
      <w:pPr>
        <w:pStyle w:val="FirstParagraph"/>
      </w:pPr>
      <w:r>
        <w:rPr>
          <w:b/>
          <w:bCs/>
        </w:rPr>
        <w:t>Sous-classe de</w:t>
      </w:r>
    </w:p>
    <w:p w14:paraId="3073E8A2" w14:textId="77777777" w:rsidR="0084489F" w:rsidRDefault="00110FE6">
      <w:pPr>
        <w:pStyle w:val="BodyText"/>
      </w:pPr>
      <w:r>
        <w:rPr>
          <w:rStyle w:val="VerbatimChar"/>
        </w:rPr>
        <w:t>E8_Acquisition</w:t>
      </w:r>
    </w:p>
    <w:p w14:paraId="69B05CDA" w14:textId="77777777" w:rsidR="0084489F" w:rsidRDefault="00110FE6">
      <w:pPr>
        <w:pStyle w:val="BodyText"/>
      </w:pPr>
      <w:r>
        <w:rPr>
          <w:b/>
          <w:bCs/>
        </w:rPr>
        <w:t>Super-classe de</w:t>
      </w:r>
    </w:p>
    <w:p w14:paraId="2DE6F468" w14:textId="77777777" w:rsidR="0084489F" w:rsidRDefault="00110FE6">
      <w:pPr>
        <w:pStyle w:val="BodyText"/>
      </w:pPr>
      <w:r>
        <w:rPr>
          <w:b/>
          <w:bCs/>
        </w:rPr>
        <w:t>Note d’application</w:t>
      </w:r>
    </w:p>
    <w:p w14:paraId="103B1220" w14:textId="77777777" w:rsidR="0084489F" w:rsidRDefault="00110FE6">
      <w:pPr>
        <w:pStyle w:val="BodyText"/>
      </w:pPr>
      <w:r>
        <w:t xml:space="preserve">Cette classe comprend les transferts de propriété légale d’une ou de plusieurs instances de </w:t>
      </w:r>
      <w:r>
        <w:rPr>
          <w:rStyle w:val="VerbatimChar"/>
        </w:rPr>
        <w:t>E39_Actant</w:t>
      </w:r>
      <w:r>
        <w:t xml:space="preserve"> à une ou plusieurs instances différentes de </w:t>
      </w:r>
      <w:r>
        <w:rPr>
          <w:rStyle w:val="VerbatimChar"/>
        </w:rPr>
        <w:t>E39_Actant</w:t>
      </w:r>
      <w:r>
        <w:t xml:space="preserve">, lorsque la partie cédante est entièrement indemnisée par une valeur monétaire. Plus précisément, une entente d’achat établit dès le départ l’obligation monétaire de la partie destinataire à la partie cédante. Une instance de </w:t>
      </w:r>
      <w:r>
        <w:rPr>
          <w:rStyle w:val="VerbatimChar"/>
        </w:rPr>
        <w:t>E96_Achat</w:t>
      </w:r>
      <w:r>
        <w:t xml:space="preserve"> débute avec la mise en place d’un contrat ou d’une entente d’achat équivalente et se termine par la réalisation de toutes les obligations contractuelles. Dans le cas où l’activité est abandonnée avant que les deux parties n’aient rempli leurs obligations, celle-ci n’est pas considérée comme une instance de </w:t>
      </w:r>
      <w:r>
        <w:rPr>
          <w:rStyle w:val="VerbatimChar"/>
        </w:rPr>
        <w:t>E96_Achat</w:t>
      </w:r>
      <w:r>
        <w:t>.</w:t>
      </w:r>
    </w:p>
    <w:p w14:paraId="45330F05" w14:textId="77777777" w:rsidR="0084489F" w:rsidRDefault="00110FE6">
      <w:pPr>
        <w:pStyle w:val="BodyText"/>
      </w:pPr>
      <w:r>
        <w:t xml:space="preserve">Cette classe est un cas très spécifique des pratiques sociales commerciales beaucoup plus complexes d’échanges de biens et de la création et satisfaction d’obligations sociales connexes. Les activités d’achat </w:t>
      </w:r>
      <w:r>
        <w:lastRenderedPageBreak/>
        <w:t xml:space="preserve">définissant des prix de vente par objet peuvent être modélisées en créant des instances de </w:t>
      </w:r>
      <w:r>
        <w:rPr>
          <w:rStyle w:val="VerbatimChar"/>
        </w:rPr>
        <w:t>E96_Achat</w:t>
      </w:r>
      <w:r>
        <w:t xml:space="preserve"> pour chaque objet acheté, puis une instance de </w:t>
      </w:r>
      <w:r>
        <w:rPr>
          <w:rStyle w:val="VerbatimChar"/>
        </w:rPr>
        <w:t>E96_Achat</w:t>
      </w:r>
      <w:r>
        <w:t xml:space="preserve"> pour la transaction globale.</w:t>
      </w:r>
    </w:p>
    <w:p w14:paraId="52D411E6" w14:textId="77777777" w:rsidR="0084489F" w:rsidRDefault="00110FE6">
      <w:pPr>
        <w:pStyle w:val="BodyText"/>
      </w:pPr>
      <w:r>
        <w:rPr>
          <w:b/>
          <w:bCs/>
        </w:rPr>
        <w:t>Exemples</w:t>
      </w:r>
    </w:p>
    <w:p w14:paraId="2CBF91A7" w14:textId="6DBF0B43" w:rsidR="0084489F" w:rsidRDefault="00110FE6" w:rsidP="00806324">
      <w:pPr>
        <w:numPr>
          <w:ilvl w:val="0"/>
          <w:numId w:val="133"/>
        </w:numPr>
      </w:pPr>
      <w:r w:rsidRPr="1B9E7434">
        <w:rPr>
          <w:lang w:val="fr-FR"/>
        </w:rPr>
        <w:t>L’achat de 10 oques de clous par le capitaine A. Syrmas le 18 septembre 1895 à Thessalonique (Syrmas, 1896)</w:t>
      </w:r>
    </w:p>
    <w:p w14:paraId="4C437920" w14:textId="77777777" w:rsidR="0084489F" w:rsidRDefault="00110FE6">
      <w:pPr>
        <w:pStyle w:val="FirstParagraph"/>
      </w:pPr>
      <w:r>
        <w:rPr>
          <w:b/>
          <w:bCs/>
        </w:rPr>
        <w:t>Logique</w:t>
      </w:r>
    </w:p>
    <w:p w14:paraId="538AA913" w14:textId="77777777" w:rsidR="0084489F" w:rsidRDefault="00110FE6">
      <w:pPr>
        <w:pStyle w:val="BodyText"/>
      </w:pPr>
      <w:r>
        <w:t>E96(x) ⇒ E8(x)</w:t>
      </w:r>
    </w:p>
    <w:p w14:paraId="09851FB0" w14:textId="77777777" w:rsidR="0084489F" w:rsidRDefault="00110FE6">
      <w:pPr>
        <w:pStyle w:val="BodyText"/>
      </w:pPr>
      <w:r>
        <w:rPr>
          <w:b/>
          <w:bCs/>
        </w:rPr>
        <w:t>Propriétés</w:t>
      </w:r>
    </w:p>
    <w:p w14:paraId="531D57FC" w14:textId="77777777" w:rsidR="0084489F" w:rsidRDefault="00110FE6">
      <w:pPr>
        <w:pStyle w:val="BodyText"/>
      </w:pPr>
      <w:r w:rsidRPr="1B9E7434">
        <w:rPr>
          <w:rStyle w:val="VerbatimChar"/>
          <w:lang w:val="fr-FR"/>
        </w:rPr>
        <w:t>P179_a_eu_pour_prix_de_vente (a_été_le_prix_de_vente_de)</w:t>
      </w:r>
      <w:r w:rsidRPr="1B9E7434">
        <w:rPr>
          <w:lang w:val="fr-FR"/>
        </w:rPr>
        <w:t xml:space="preserve"> : </w:t>
      </w:r>
      <w:r w:rsidRPr="1B9E7434">
        <w:rPr>
          <w:rStyle w:val="VerbatimChar"/>
          <w:lang w:val="fr-FR"/>
        </w:rPr>
        <w:t>E97_Valeur_monétaire</w:t>
      </w:r>
    </w:p>
    <w:p w14:paraId="27C54F77" w14:textId="77777777" w:rsidR="0084489F" w:rsidRDefault="00110FE6">
      <w:pPr>
        <w:pStyle w:val="BlockText"/>
      </w:pPr>
      <w:r>
        <w:rPr>
          <w:b/>
          <w:bCs/>
          <w:i/>
          <w:iCs/>
        </w:rPr>
        <w:t>Note de traduction</w:t>
      </w:r>
    </w:p>
    <w:p w14:paraId="578657CE" w14:textId="77777777" w:rsidR="0084489F" w:rsidRDefault="00110FE6">
      <w:pPr>
        <w:pStyle w:val="BlockText"/>
      </w:pPr>
      <w:r>
        <w:rPr>
          <w:b/>
          <w:bCs/>
          <w:i/>
          <w:iCs/>
        </w:rPr>
        <w:t>Références</w:t>
      </w:r>
    </w:p>
    <w:p w14:paraId="57E34FED" w14:textId="77777777" w:rsidR="0084489F" w:rsidRDefault="0084489F">
      <w:pPr>
        <w:pStyle w:val="BlockText"/>
      </w:pPr>
    </w:p>
    <w:p w14:paraId="467E2BFC" w14:textId="77777777" w:rsidR="0084489F" w:rsidRDefault="00110FE6">
      <w:pPr>
        <w:pStyle w:val="Heading2"/>
      </w:pPr>
      <w:bookmarkStart w:id="266" w:name="_Toc176864513"/>
      <w:bookmarkStart w:id="267" w:name="e97-valeur-monetaire"/>
      <w:bookmarkEnd w:id="265"/>
      <w:r>
        <w:t>E97 Valeur monétaire</w:t>
      </w:r>
      <w:bookmarkEnd w:id="266"/>
    </w:p>
    <w:p w14:paraId="716A4A2C" w14:textId="77777777" w:rsidR="0084489F" w:rsidRDefault="00110FE6">
      <w:pPr>
        <w:pStyle w:val="FirstParagraph"/>
      </w:pPr>
      <w:r>
        <w:rPr>
          <w:b/>
          <w:bCs/>
        </w:rPr>
        <w:t>Sous-classe de</w:t>
      </w:r>
    </w:p>
    <w:p w14:paraId="15AC5BD8" w14:textId="77777777" w:rsidR="0084489F" w:rsidRDefault="00110FE6">
      <w:pPr>
        <w:pStyle w:val="BodyText"/>
      </w:pPr>
      <w:r>
        <w:rPr>
          <w:rStyle w:val="VerbatimChar"/>
        </w:rPr>
        <w:t>E54_Dimension</w:t>
      </w:r>
    </w:p>
    <w:p w14:paraId="104C29A4" w14:textId="77777777" w:rsidR="0084489F" w:rsidRDefault="00110FE6">
      <w:pPr>
        <w:pStyle w:val="BodyText"/>
      </w:pPr>
      <w:r>
        <w:rPr>
          <w:b/>
          <w:bCs/>
        </w:rPr>
        <w:t>Super-classe de</w:t>
      </w:r>
    </w:p>
    <w:p w14:paraId="54E62695" w14:textId="77777777" w:rsidR="0084489F" w:rsidRDefault="00110FE6">
      <w:pPr>
        <w:pStyle w:val="BodyText"/>
      </w:pPr>
      <w:r>
        <w:rPr>
          <w:b/>
          <w:bCs/>
        </w:rPr>
        <w:t>Note d’application</w:t>
      </w:r>
    </w:p>
    <w:p w14:paraId="1C631033" w14:textId="77777777" w:rsidR="0084489F" w:rsidRDefault="00110FE6">
      <w:pPr>
        <w:pStyle w:val="BodyText"/>
      </w:pPr>
      <w:r>
        <w:t>Cette classe comprend la valeur nominale, exprimée dans une devise spécifique, d’une quantité de possessions monétaires ou d’obligations. Ces quantités peuvent être des unités comptables abstraites, la valeur nominale d’une pile de pièces de monnaie ou de billets de banque durant la période de leur validité dans une devise spécifique, la valeur nominale d’une lettre de change ou tout autre document attestant de créances monétaires ou d’obligations. Cette classe exclut spécifiquement les montants exprimés en termes de poids de biens de valeur, comme l’or ou les diamants, ou tout autre quantité de biens non monétaires, comme des chèvres ou des actions et obligations.</w:t>
      </w:r>
    </w:p>
    <w:p w14:paraId="1F7147DA" w14:textId="77777777" w:rsidR="0084489F" w:rsidRDefault="00110FE6">
      <w:pPr>
        <w:pStyle w:val="BodyText"/>
      </w:pPr>
      <w:r>
        <w:rPr>
          <w:b/>
          <w:bCs/>
        </w:rPr>
        <w:t>Exemples</w:t>
      </w:r>
    </w:p>
    <w:p w14:paraId="57DE2912" w14:textId="77777777" w:rsidR="0084489F" w:rsidRDefault="00110FE6" w:rsidP="00806324">
      <w:pPr>
        <w:numPr>
          <w:ilvl w:val="0"/>
          <w:numId w:val="134"/>
        </w:numPr>
      </w:pPr>
      <w:r>
        <w:t xml:space="preserve">Le prix d’adjudication par Christie's à Londres le 30 mars 1987 de l’œuvre peinte </w:t>
      </w:r>
      <w:r>
        <w:rPr>
          <w:i/>
          <w:iCs/>
        </w:rPr>
        <w:t>Vase avec quinze tournesols</w:t>
      </w:r>
      <w:r>
        <w:t xml:space="preserve"> (</w:t>
      </w:r>
      <w:r>
        <w:rPr>
          <w:rStyle w:val="VerbatimChar"/>
        </w:rPr>
        <w:t>E97_Valeur_monétaire</w:t>
      </w:r>
      <w:r>
        <w:t>) a pour unité monétaire (</w:t>
      </w:r>
      <w:r>
        <w:rPr>
          <w:rStyle w:val="VerbatimChar"/>
        </w:rPr>
        <w:t>P180_a_pour_unité_monétaire</w:t>
      </w:r>
      <w:r>
        <w:t>) livre sterling (</w:t>
      </w:r>
      <w:r>
        <w:rPr>
          <w:rStyle w:val="VerbatimChar"/>
        </w:rPr>
        <w:t>E98_Unité_monétaire</w:t>
      </w:r>
      <w:r>
        <w:t>)</w:t>
      </w:r>
    </w:p>
    <w:p w14:paraId="00DA7E32" w14:textId="77777777" w:rsidR="0084489F" w:rsidRDefault="00110FE6">
      <w:pPr>
        <w:pStyle w:val="FirstParagraph"/>
      </w:pPr>
      <w:r>
        <w:rPr>
          <w:b/>
          <w:bCs/>
        </w:rPr>
        <w:t>Logique</w:t>
      </w:r>
    </w:p>
    <w:p w14:paraId="5927F1CB" w14:textId="77777777" w:rsidR="0084489F" w:rsidRDefault="00110FE6">
      <w:pPr>
        <w:pStyle w:val="BodyText"/>
      </w:pPr>
      <w:r>
        <w:t>E97(x) ⇒ E54(x)</w:t>
      </w:r>
    </w:p>
    <w:p w14:paraId="6C73EA56" w14:textId="77777777" w:rsidR="0084489F" w:rsidRDefault="00110FE6">
      <w:pPr>
        <w:pStyle w:val="BodyText"/>
      </w:pPr>
      <w:r>
        <w:rPr>
          <w:b/>
          <w:bCs/>
        </w:rPr>
        <w:t>Propriétés</w:t>
      </w:r>
    </w:p>
    <w:p w14:paraId="35F1D8A2" w14:textId="77777777" w:rsidR="0084489F" w:rsidRDefault="00110FE6">
      <w:pPr>
        <w:pStyle w:val="BodyText"/>
      </w:pPr>
      <w:r w:rsidRPr="1B9E7434">
        <w:rPr>
          <w:rStyle w:val="VerbatimChar"/>
          <w:lang w:val="fr-FR"/>
        </w:rPr>
        <w:t>P180_a_pour_unité_monétaire (était_l’unité_monétaire_de)</w:t>
      </w:r>
      <w:r w:rsidRPr="1B9E7434">
        <w:rPr>
          <w:lang w:val="fr-FR"/>
        </w:rPr>
        <w:t xml:space="preserve"> : </w:t>
      </w:r>
      <w:r w:rsidRPr="1B9E7434">
        <w:rPr>
          <w:rStyle w:val="VerbatimChar"/>
          <w:lang w:val="fr-FR"/>
        </w:rPr>
        <w:t>E98_Unité_monétaire</w:t>
      </w:r>
    </w:p>
    <w:p w14:paraId="1A108E34" w14:textId="77777777" w:rsidR="0084489F" w:rsidRDefault="00110FE6">
      <w:pPr>
        <w:pStyle w:val="BlockText"/>
      </w:pPr>
      <w:r>
        <w:rPr>
          <w:b/>
          <w:bCs/>
          <w:i/>
          <w:iCs/>
        </w:rPr>
        <w:t>Note de traduction</w:t>
      </w:r>
    </w:p>
    <w:p w14:paraId="082C2215" w14:textId="77777777" w:rsidR="0084489F" w:rsidRDefault="00110FE6">
      <w:pPr>
        <w:pStyle w:val="BlockText"/>
      </w:pPr>
      <w:r>
        <w:rPr>
          <w:b/>
          <w:bCs/>
          <w:i/>
          <w:iCs/>
        </w:rPr>
        <w:t>Références</w:t>
      </w:r>
    </w:p>
    <w:p w14:paraId="20243428" w14:textId="77777777" w:rsidR="0084489F" w:rsidRDefault="0084489F">
      <w:pPr>
        <w:pStyle w:val="BlockText"/>
      </w:pPr>
    </w:p>
    <w:p w14:paraId="27F1A2AC" w14:textId="77777777" w:rsidR="0084489F" w:rsidRDefault="00110FE6">
      <w:pPr>
        <w:pStyle w:val="Heading2"/>
      </w:pPr>
      <w:bookmarkStart w:id="268" w:name="_Toc176864514"/>
      <w:bookmarkStart w:id="269" w:name="e98-unite-monetaire"/>
      <w:bookmarkEnd w:id="267"/>
      <w:r>
        <w:lastRenderedPageBreak/>
        <w:t>E98 Unité monétaire</w:t>
      </w:r>
      <w:bookmarkEnd w:id="268"/>
    </w:p>
    <w:p w14:paraId="7BFA668A" w14:textId="77777777" w:rsidR="0084489F" w:rsidRDefault="00110FE6">
      <w:pPr>
        <w:pStyle w:val="FirstParagraph"/>
      </w:pPr>
      <w:r>
        <w:rPr>
          <w:b/>
          <w:bCs/>
        </w:rPr>
        <w:t>Sous-classe de</w:t>
      </w:r>
    </w:p>
    <w:p w14:paraId="503CB5F7" w14:textId="77777777" w:rsidR="0084489F" w:rsidRDefault="00110FE6">
      <w:pPr>
        <w:pStyle w:val="BodyText"/>
      </w:pPr>
      <w:r>
        <w:rPr>
          <w:rStyle w:val="VerbatimChar"/>
        </w:rPr>
        <w:t>E58_Unité_de_mesure</w:t>
      </w:r>
    </w:p>
    <w:p w14:paraId="441DAC0F" w14:textId="77777777" w:rsidR="0084489F" w:rsidRDefault="00110FE6">
      <w:pPr>
        <w:pStyle w:val="BodyText"/>
      </w:pPr>
      <w:r>
        <w:rPr>
          <w:b/>
          <w:bCs/>
        </w:rPr>
        <w:t>Super-classe de</w:t>
      </w:r>
    </w:p>
    <w:p w14:paraId="415E816F" w14:textId="77777777" w:rsidR="0084489F" w:rsidRDefault="00110FE6">
      <w:pPr>
        <w:pStyle w:val="BodyText"/>
      </w:pPr>
      <w:r>
        <w:rPr>
          <w:b/>
          <w:bCs/>
        </w:rPr>
        <w:t>Note d’application</w:t>
      </w:r>
    </w:p>
    <w:p w14:paraId="61984BD3" w14:textId="77777777" w:rsidR="0084489F" w:rsidRDefault="00110FE6">
      <w:pPr>
        <w:pStyle w:val="BodyText"/>
      </w:pPr>
      <w:r>
        <w:t>Cette classe comprend les unités avec lesquelles un système monétaire, soutenu par une autorité administrative ou d’autres communautés, quantifie et compare arithmétiquement toutes les valeurs monétaires déclarées dans l’unité. L’unité d’un système monétaire doit décrire une valeur nominale qui est maintenue constante par son autorité administrative et un système bancaire associé, s’il existe, et non par sa valeur sur le marché. Par exemple, il est possible d’acheter un bien avec des grammes d’or, mais la valeur monétaire de ce bien aurait été convenue comme le prix de l’or en dollars américains le jour du paiement. Selon cette définition, des livres sterling, des dollars américains et des euros sont des exemples d’unité monétaire, mais « des grammes d’or » ne le sont pas. Un système monétaire a une seule et unique unité monétaire.</w:t>
      </w:r>
    </w:p>
    <w:p w14:paraId="2AA1C8F4" w14:textId="77777777" w:rsidR="0084489F" w:rsidRDefault="00110FE6">
      <w:pPr>
        <w:pStyle w:val="BodyText"/>
      </w:pPr>
      <w:r>
        <w:t>Les instances de cette classe ne doivent pas être confondues avec les dénominations de pièces, comme les « centimes » ou les « sesterces ». Les valeurs d’échanges monétaires exprimées en quantités d’un type particulier de bien, comme des vaches, ne constituent pas des unités monétaires.</w:t>
      </w:r>
    </w:p>
    <w:p w14:paraId="1BA6F051" w14:textId="77777777" w:rsidR="0084489F" w:rsidRDefault="00110FE6">
      <w:pPr>
        <w:pStyle w:val="BodyText"/>
      </w:pPr>
      <w:r>
        <w:rPr>
          <w:b/>
          <w:bCs/>
        </w:rPr>
        <w:t>Exemples</w:t>
      </w:r>
    </w:p>
    <w:p w14:paraId="6E5E0553" w14:textId="77777777" w:rsidR="0084489F" w:rsidRDefault="00110FE6" w:rsidP="00806324">
      <w:pPr>
        <w:numPr>
          <w:ilvl w:val="0"/>
          <w:numId w:val="135"/>
        </w:numPr>
      </w:pPr>
      <w:r>
        <w:t>« As » [unité monétaire de l’époque romaine républicaine]</w:t>
      </w:r>
    </w:p>
    <w:p w14:paraId="27FF404F" w14:textId="06E0DC8F" w:rsidR="0084489F" w:rsidRDefault="00110FE6" w:rsidP="00806324">
      <w:pPr>
        <w:numPr>
          <w:ilvl w:val="0"/>
          <w:numId w:val="135"/>
        </w:numPr>
      </w:pPr>
      <w:r w:rsidRPr="1B9E7434">
        <w:rPr>
          <w:lang w:val="fr-FR"/>
        </w:rPr>
        <w:t>« Euro » (Temperton, 1997)</w:t>
      </w:r>
    </w:p>
    <w:p w14:paraId="0652D39F" w14:textId="77777777" w:rsidR="0084489F" w:rsidRDefault="00110FE6" w:rsidP="00806324">
      <w:pPr>
        <w:numPr>
          <w:ilvl w:val="0"/>
          <w:numId w:val="135"/>
        </w:numPr>
      </w:pPr>
      <w:r>
        <w:t>« Dollar américain » (Rose, 1978)</w:t>
      </w:r>
    </w:p>
    <w:p w14:paraId="328D21BA" w14:textId="77777777" w:rsidR="0084489F" w:rsidRDefault="00110FE6">
      <w:pPr>
        <w:pStyle w:val="FirstParagraph"/>
      </w:pPr>
      <w:r>
        <w:rPr>
          <w:b/>
          <w:bCs/>
        </w:rPr>
        <w:t>Logique</w:t>
      </w:r>
    </w:p>
    <w:p w14:paraId="6B53A16D" w14:textId="77777777" w:rsidR="0084489F" w:rsidRDefault="00110FE6">
      <w:pPr>
        <w:pStyle w:val="BodyText"/>
      </w:pPr>
      <w:r>
        <w:t>E98(x) ⇒ E58(x)</w:t>
      </w:r>
    </w:p>
    <w:p w14:paraId="0264D008" w14:textId="77777777" w:rsidR="0084489F" w:rsidRDefault="00110FE6">
      <w:pPr>
        <w:pStyle w:val="BodyText"/>
      </w:pPr>
      <w:r>
        <w:rPr>
          <w:b/>
          <w:bCs/>
        </w:rPr>
        <w:t>Propriétés</w:t>
      </w:r>
    </w:p>
    <w:p w14:paraId="708D7914" w14:textId="77777777" w:rsidR="0084489F" w:rsidRDefault="00110FE6">
      <w:pPr>
        <w:pStyle w:val="BlockText"/>
      </w:pPr>
      <w:r>
        <w:rPr>
          <w:b/>
          <w:bCs/>
          <w:i/>
          <w:iCs/>
        </w:rPr>
        <w:t>Note de traduction</w:t>
      </w:r>
    </w:p>
    <w:p w14:paraId="7E6ADA9E" w14:textId="77777777" w:rsidR="0084489F" w:rsidRDefault="00110FE6">
      <w:pPr>
        <w:pStyle w:val="BlockText"/>
      </w:pPr>
      <w:r>
        <w:rPr>
          <w:b/>
          <w:bCs/>
          <w:i/>
          <w:iCs/>
        </w:rPr>
        <w:t>Références</w:t>
      </w:r>
    </w:p>
    <w:p w14:paraId="6451D4F6" w14:textId="77777777" w:rsidR="0084489F" w:rsidRDefault="0084489F">
      <w:pPr>
        <w:pStyle w:val="BlockText"/>
      </w:pPr>
    </w:p>
    <w:p w14:paraId="3263BB0F" w14:textId="77777777" w:rsidR="0084489F" w:rsidRDefault="00110FE6">
      <w:pPr>
        <w:pStyle w:val="Heading2"/>
      </w:pPr>
      <w:bookmarkStart w:id="270" w:name="_Toc176864515"/>
      <w:bookmarkStart w:id="271" w:name="e99-modele-de-produit"/>
      <w:bookmarkEnd w:id="269"/>
      <w:r>
        <w:t>E99 Modèle de produit</w:t>
      </w:r>
      <w:bookmarkEnd w:id="270"/>
    </w:p>
    <w:p w14:paraId="370BF22F" w14:textId="77777777" w:rsidR="0084489F" w:rsidRDefault="00110FE6">
      <w:pPr>
        <w:pStyle w:val="FirstParagraph"/>
      </w:pPr>
      <w:r>
        <w:rPr>
          <w:b/>
          <w:bCs/>
        </w:rPr>
        <w:t>Sous-classe de</w:t>
      </w:r>
    </w:p>
    <w:p w14:paraId="6056D6B4" w14:textId="77777777" w:rsidR="0084489F" w:rsidRDefault="00110FE6">
      <w:pPr>
        <w:pStyle w:val="BodyText"/>
      </w:pPr>
      <w:r>
        <w:rPr>
          <w:rStyle w:val="VerbatimChar"/>
        </w:rPr>
        <w:t>E55_Type</w:t>
      </w:r>
    </w:p>
    <w:p w14:paraId="7E77AB3A" w14:textId="77777777" w:rsidR="0084489F" w:rsidRDefault="00110FE6">
      <w:pPr>
        <w:pStyle w:val="BodyText"/>
      </w:pPr>
      <w:r>
        <w:rPr>
          <w:b/>
          <w:bCs/>
        </w:rPr>
        <w:t>Super-classe de</w:t>
      </w:r>
    </w:p>
    <w:p w14:paraId="4FF0C93B" w14:textId="77777777" w:rsidR="0084489F" w:rsidRDefault="00110FE6">
      <w:pPr>
        <w:pStyle w:val="BodyText"/>
      </w:pPr>
      <w:r>
        <w:rPr>
          <w:b/>
          <w:bCs/>
        </w:rPr>
        <w:t>Note d’application</w:t>
      </w:r>
    </w:p>
    <w:p w14:paraId="6364AB55" w14:textId="77777777" w:rsidR="0084489F" w:rsidRDefault="00110FE6">
      <w:pPr>
        <w:pStyle w:val="BodyText"/>
      </w:pPr>
      <w:r>
        <w:t xml:space="preserve">Cette classe comprend les types servant de modèles pour les instances de </w:t>
      </w:r>
      <w:r>
        <w:rPr>
          <w:rStyle w:val="VerbatimChar"/>
        </w:rPr>
        <w:t>E22_Objet_élaboré_par_l’humain</w:t>
      </w:r>
      <w:r>
        <w:t xml:space="preserve"> produites par des activités de production utilisant des plans suffisamment précis pour mener à une ou plusieurs séries d’objets uniformes, fonctionnellement et esthétiquement identiques et interchangeables.</w:t>
      </w:r>
    </w:p>
    <w:p w14:paraId="280DBFFC" w14:textId="77777777" w:rsidR="0084489F" w:rsidRDefault="00110FE6">
      <w:pPr>
        <w:pStyle w:val="BodyText"/>
      </w:pPr>
      <w:r>
        <w:lastRenderedPageBreak/>
        <w:t xml:space="preserve">Le modèle de produit est la forme idéale prévue par le processus de fabrication. Généralement, les composantes d’une instance de </w:t>
      </w:r>
      <w:r>
        <w:rPr>
          <w:rStyle w:val="VerbatimChar"/>
        </w:rPr>
        <w:t>E22_Objet_élaboré_par_l’humain</w:t>
      </w:r>
      <w:r>
        <w:t xml:space="preserve"> conforme à une instance de </w:t>
      </w:r>
      <w:r>
        <w:rPr>
          <w:rStyle w:val="VerbatimChar"/>
        </w:rPr>
        <w:t>E99_Modèle_de_produit</w:t>
      </w:r>
      <w:r>
        <w:t xml:space="preserve"> sont interchangeables avec des composantes d’autres instances de </w:t>
      </w:r>
      <w:r>
        <w:rPr>
          <w:rStyle w:val="VerbatimChar"/>
        </w:rPr>
        <w:t>E22_Objet_élaboré_par_l’humain</w:t>
      </w:r>
      <w:r>
        <w:t xml:space="preserve"> fabriquées à partir du modèle de la même instance de </w:t>
      </w:r>
      <w:r>
        <w:rPr>
          <w:rStyle w:val="VerbatimChar"/>
        </w:rPr>
        <w:t>E99_Modèle_de_produit</w:t>
      </w:r>
      <w:r>
        <w:t xml:space="preserve">. Souvent, la production uniforme selon une instance de </w:t>
      </w:r>
      <w:r>
        <w:rPr>
          <w:rStyle w:val="VerbatimChar"/>
        </w:rPr>
        <w:t>E99_Modèle_de_produit</w:t>
      </w:r>
      <w:r>
        <w:t xml:space="preserve"> est atteinte en créant des outils individuels, tels que des moules ou des plaques d’impression, qui portent en eux-mêmes le design du modèle de produit. Les outils modernes peuvent utiliser la flexibilité associée aux dispositifs contrôlés électroniquement afin d’atteindre une telle uniformité.</w:t>
      </w:r>
    </w:p>
    <w:p w14:paraId="328AF3CD" w14:textId="77777777" w:rsidR="0084489F" w:rsidRDefault="00110FE6">
      <w:pPr>
        <w:pStyle w:val="BodyText"/>
      </w:pPr>
      <w:r w:rsidRPr="1B9E7434">
        <w:rPr>
          <w:lang w:val="fr-FR"/>
        </w:rPr>
        <w:t>Le modèle de produit lui-même, c.-à-d. la série potentiellement illimitée d’objets esthétiquement équivalents, peut être la cible d’un design artistique plutôt que l’objet individuel. Dans certains cas particuliers, une seule instance d’un modèle de produit peut avoir été produite, comme dans un processus d’« impression à la demande » qui n’a été déclenché qu’une seule fois. Cependant, il ne faut pas confondre cette situation avec les prototypes industriels, tels que les prototypes de voitures, qui sont produits avant la mise en place de la ligne de production ou qui testent la ligne de production.</w:t>
      </w:r>
    </w:p>
    <w:p w14:paraId="17B7BD5E" w14:textId="77777777" w:rsidR="0084489F" w:rsidRDefault="00110FE6">
      <w:pPr>
        <w:pStyle w:val="BodyText"/>
      </w:pPr>
      <w:r>
        <w:rPr>
          <w:b/>
          <w:bCs/>
        </w:rPr>
        <w:t>Exemples</w:t>
      </w:r>
    </w:p>
    <w:p w14:paraId="7EE873F8" w14:textId="4987C512" w:rsidR="0084489F" w:rsidRDefault="00110FE6" w:rsidP="00806324">
      <w:pPr>
        <w:numPr>
          <w:ilvl w:val="0"/>
          <w:numId w:val="136"/>
        </w:numPr>
      </w:pPr>
      <w:r w:rsidRPr="1B9E7434">
        <w:rPr>
          <w:lang w:val="fr-FR"/>
        </w:rPr>
        <w:t>Volkswagen Type 11 [Beetle] (Rieger, 2013)</w:t>
      </w:r>
    </w:p>
    <w:p w14:paraId="36B5F378" w14:textId="07E943A9" w:rsidR="0084489F" w:rsidRDefault="00110FE6" w:rsidP="00806324">
      <w:pPr>
        <w:numPr>
          <w:ilvl w:val="0"/>
          <w:numId w:val="136"/>
        </w:numPr>
      </w:pPr>
      <w:r w:rsidRPr="1B9E7434">
        <w:rPr>
          <w:lang w:val="fr-FR"/>
        </w:rPr>
        <w:t>Récipient samien Dragendorff 54</w:t>
      </w:r>
    </w:p>
    <w:p w14:paraId="7D4A1E87" w14:textId="77777777" w:rsidR="0084489F" w:rsidRDefault="00110FE6" w:rsidP="00806324">
      <w:pPr>
        <w:numPr>
          <w:ilvl w:val="0"/>
          <w:numId w:val="136"/>
        </w:numPr>
      </w:pPr>
      <w:r>
        <w:t>Pièce de trois pence en laiton de 1937 représentant Édouard VIII</w:t>
      </w:r>
    </w:p>
    <w:p w14:paraId="1F821C61" w14:textId="77777777" w:rsidR="0084489F" w:rsidRDefault="00110FE6" w:rsidP="00806324">
      <w:pPr>
        <w:numPr>
          <w:ilvl w:val="0"/>
          <w:numId w:val="136"/>
        </w:numPr>
      </w:pPr>
      <w:r>
        <w:t>Partie B non entaillée de la gâchette d’une arbalète de la dynastie Qin (Bg2u) (Li, 2012)</w:t>
      </w:r>
    </w:p>
    <w:p w14:paraId="5D87681D" w14:textId="0B9FFE5E" w:rsidR="0084489F" w:rsidRDefault="00110FE6" w:rsidP="00806324">
      <w:pPr>
        <w:numPr>
          <w:ilvl w:val="0"/>
          <w:numId w:val="136"/>
        </w:numPr>
      </w:pPr>
      <w:r w:rsidRPr="1B9E7434">
        <w:rPr>
          <w:lang w:val="fr-FR"/>
        </w:rPr>
        <w:t>Nokia Cityman 1320 [le premier téléphone cellulaire produit par Nokia]</w:t>
      </w:r>
    </w:p>
    <w:p w14:paraId="2EB20730" w14:textId="77777777" w:rsidR="0084489F" w:rsidRDefault="00110FE6">
      <w:pPr>
        <w:pStyle w:val="FirstParagraph"/>
      </w:pPr>
      <w:r>
        <w:rPr>
          <w:b/>
          <w:bCs/>
        </w:rPr>
        <w:t>Logique</w:t>
      </w:r>
    </w:p>
    <w:p w14:paraId="7ECA906E" w14:textId="77777777" w:rsidR="0084489F" w:rsidRDefault="00110FE6">
      <w:pPr>
        <w:pStyle w:val="BodyText"/>
      </w:pPr>
      <w:r>
        <w:t>E99(x) ⇒ E55(x)</w:t>
      </w:r>
    </w:p>
    <w:p w14:paraId="3C13BD8E" w14:textId="77777777" w:rsidR="0084489F" w:rsidRDefault="00110FE6">
      <w:pPr>
        <w:pStyle w:val="BodyText"/>
      </w:pPr>
      <w:r>
        <w:rPr>
          <w:b/>
          <w:bCs/>
        </w:rPr>
        <w:t>Propriétés</w:t>
      </w:r>
    </w:p>
    <w:p w14:paraId="5C5BB226" w14:textId="77777777" w:rsidR="0084489F" w:rsidRDefault="00110FE6">
      <w:pPr>
        <w:pStyle w:val="BodyText"/>
      </w:pPr>
      <w:r w:rsidRPr="1B9E7434">
        <w:rPr>
          <w:rStyle w:val="VerbatimChar"/>
          <w:lang w:val="fr-FR"/>
        </w:rPr>
        <w:t>P187_a_pour_plan_de_production (est_le_plan_de_production_de)</w:t>
      </w:r>
      <w:r w:rsidRPr="1B9E7434">
        <w:rPr>
          <w:lang w:val="fr-FR"/>
        </w:rPr>
        <w:t xml:space="preserve"> : </w:t>
      </w:r>
      <w:r w:rsidRPr="1B9E7434">
        <w:rPr>
          <w:rStyle w:val="VerbatimChar"/>
          <w:lang w:val="fr-FR"/>
        </w:rPr>
        <w:t>E29_Conceptualisation_ou_procédure</w:t>
      </w:r>
    </w:p>
    <w:p w14:paraId="44CE332C" w14:textId="77777777" w:rsidR="0084489F" w:rsidRDefault="00110FE6">
      <w:pPr>
        <w:pStyle w:val="BodyText"/>
      </w:pPr>
      <w:r w:rsidRPr="1B9E7434">
        <w:rPr>
          <w:rStyle w:val="VerbatimChar"/>
          <w:lang w:val="fr-FR"/>
        </w:rPr>
        <w:t>P188_nécessite_l’outil (est_l’outil_de_production_de)</w:t>
      </w:r>
      <w:r w:rsidRPr="1B9E7434">
        <w:rPr>
          <w:lang w:val="fr-FR"/>
        </w:rPr>
        <w:t xml:space="preserve"> : </w:t>
      </w:r>
      <w:r w:rsidRPr="1B9E7434">
        <w:rPr>
          <w:rStyle w:val="VerbatimChar"/>
          <w:lang w:val="fr-FR"/>
        </w:rPr>
        <w:t>E19_Objet_matériel</w:t>
      </w:r>
    </w:p>
    <w:p w14:paraId="358DF0E2" w14:textId="77777777" w:rsidR="0084489F" w:rsidRDefault="00110FE6">
      <w:pPr>
        <w:pStyle w:val="BlockText"/>
      </w:pPr>
      <w:r>
        <w:rPr>
          <w:b/>
          <w:bCs/>
          <w:i/>
          <w:iCs/>
        </w:rPr>
        <w:t>Note de traduction</w:t>
      </w:r>
    </w:p>
    <w:p w14:paraId="4E45D922" w14:textId="257AE36D" w:rsidR="0084489F" w:rsidRDefault="00110FE6" w:rsidP="005665EC">
      <w:pPr>
        <w:pStyle w:val="BlockText"/>
      </w:pPr>
      <w:r>
        <w:rPr>
          <w:b/>
          <w:bCs/>
          <w:i/>
          <w:iCs/>
        </w:rPr>
        <w:t>Références</w:t>
      </w:r>
    </w:p>
    <w:p w14:paraId="68A7BA3A" w14:textId="77777777" w:rsidR="0084489F" w:rsidRDefault="00110FE6">
      <w:pPr>
        <w:pStyle w:val="Heading1"/>
      </w:pPr>
      <w:bookmarkStart w:id="272" w:name="_Toc176864516"/>
      <w:bookmarkStart w:id="273" w:name="declaration-des-proprietes-du-cidoc-crm"/>
      <w:bookmarkEnd w:id="106"/>
      <w:bookmarkEnd w:id="271"/>
      <w:r>
        <w:t>Déclaration des propriétés du CIDOC CRM</w:t>
      </w:r>
      <w:bookmarkEnd w:id="272"/>
    </w:p>
    <w:p w14:paraId="05A02ADA" w14:textId="77777777" w:rsidR="0084489F" w:rsidRDefault="00110FE6">
      <w:pPr>
        <w:pStyle w:val="FirstParagraph"/>
      </w:pPr>
      <w:r>
        <w:t>Les propriétés du CIDOC CRM sont déclarées ici selon la forme suivante :</w:t>
      </w:r>
    </w:p>
    <w:p w14:paraId="6C989042" w14:textId="77777777" w:rsidR="0084489F" w:rsidRDefault="00110FE6" w:rsidP="00806324">
      <w:pPr>
        <w:numPr>
          <w:ilvl w:val="0"/>
          <w:numId w:val="137"/>
        </w:numPr>
      </w:pPr>
      <w:r>
        <w:t>Les noms de propriété sont présentés comme des titres en gras précédés de l’identifiant unique de la propriété.</w:t>
      </w:r>
    </w:p>
    <w:p w14:paraId="33E3347B" w14:textId="77777777" w:rsidR="0084489F" w:rsidRDefault="00110FE6" w:rsidP="00806324">
      <w:pPr>
        <w:numPr>
          <w:ilvl w:val="0"/>
          <w:numId w:val="137"/>
        </w:numPr>
      </w:pPr>
      <w:r>
        <w:t>La ligne « Domaine : » déclare la classe pour laquelle la propriété est définie.</w:t>
      </w:r>
    </w:p>
    <w:p w14:paraId="2E6119F1" w14:textId="77777777" w:rsidR="0084489F" w:rsidRDefault="00110FE6" w:rsidP="00806324">
      <w:pPr>
        <w:numPr>
          <w:ilvl w:val="0"/>
          <w:numId w:val="137"/>
        </w:numPr>
      </w:pPr>
      <w:r>
        <w:t>La ligne « Portée : » déclare la classe vers laquelle la propriété pointe ou celle qui fournit les valeurs de la propriété.</w:t>
      </w:r>
    </w:p>
    <w:p w14:paraId="5E2D026C" w14:textId="234EF327" w:rsidR="0084489F" w:rsidRDefault="00110FE6" w:rsidP="00806324">
      <w:pPr>
        <w:numPr>
          <w:ilvl w:val="0"/>
          <w:numId w:val="137"/>
        </w:numPr>
      </w:pPr>
      <w:r w:rsidRPr="1B9E7434">
        <w:rPr>
          <w:lang w:val="fr-FR"/>
        </w:rPr>
        <w:lastRenderedPageBreak/>
        <w:t>La ligne « Sous-propriété de : » est un coréférencement des super-propriétés que peut avoir la propriété.</w:t>
      </w:r>
    </w:p>
    <w:p w14:paraId="7FC2DB32" w14:textId="7540113E" w:rsidR="0084489F" w:rsidRDefault="00110FE6" w:rsidP="00806324">
      <w:pPr>
        <w:numPr>
          <w:ilvl w:val="0"/>
          <w:numId w:val="137"/>
        </w:numPr>
      </w:pPr>
      <w:r w:rsidRPr="1B9E7434">
        <w:rPr>
          <w:lang w:val="fr-FR"/>
        </w:rPr>
        <w:t>La ligne « Super-propriété de : » est un coréférencement des sous-propriétés que peut avoir la propriété.</w:t>
      </w:r>
    </w:p>
    <w:p w14:paraId="716017EE" w14:textId="77777777" w:rsidR="0084489F" w:rsidRDefault="00110FE6" w:rsidP="00806324">
      <w:pPr>
        <w:numPr>
          <w:ilvl w:val="0"/>
          <w:numId w:val="137"/>
        </w:numPr>
      </w:pPr>
      <w:r>
        <w:t>La ligne « Quantification : » déclare le nombre possible d'occurrences d’instances de la classe de domaine et de la classe de portée pour la propriété (les valeurs possibles sont : « un à plusieurs », « plusieurs à un » et « plusieurs à plusieurs »).</w:t>
      </w:r>
    </w:p>
    <w:p w14:paraId="0E82EE97" w14:textId="77777777" w:rsidR="0084489F" w:rsidRDefault="00110FE6" w:rsidP="00806324">
      <w:pPr>
        <w:numPr>
          <w:ilvl w:val="0"/>
          <w:numId w:val="137"/>
        </w:numPr>
      </w:pPr>
      <w:r>
        <w:t>La ligne « Note d’application : » contient la définition textuelle du concept que représente la propriété.</w:t>
      </w:r>
    </w:p>
    <w:p w14:paraId="5007C456" w14:textId="77777777" w:rsidR="0084489F" w:rsidRDefault="00110FE6" w:rsidP="00806324">
      <w:pPr>
        <w:numPr>
          <w:ilvl w:val="0"/>
          <w:numId w:val="137"/>
        </w:numPr>
      </w:pPr>
      <w:r>
        <w:t>La ligne « Exemples : » contient une liste d’exemples d’instances de la propriété qui illustre comment elle devrait être utilisée, de plus :</w:t>
      </w:r>
    </w:p>
    <w:p w14:paraId="5503FAE5" w14:textId="77777777" w:rsidR="0084489F" w:rsidRDefault="00110FE6" w:rsidP="00806324">
      <w:pPr>
        <w:numPr>
          <w:ilvl w:val="0"/>
          <w:numId w:val="137"/>
        </w:numPr>
      </w:pPr>
      <w:r>
        <w:t>Si l’exemple illustre aussi l’instance d’une sous-propriété de la propriété, l’identifiant unique de cette sous-classe est indiqué entre parenthèses.</w:t>
      </w:r>
    </w:p>
    <w:p w14:paraId="14BD135D" w14:textId="77777777" w:rsidR="0084489F" w:rsidRDefault="00110FE6" w:rsidP="00806324">
      <w:pPr>
        <w:numPr>
          <w:ilvl w:val="0"/>
          <w:numId w:val="137"/>
        </w:numPr>
      </w:pPr>
      <w:r>
        <w:t>Si l’exemple illustre l’instanciation de deux propriétés, l’identifiant unique de chacune est indiqué entre parenthèses.</w:t>
      </w:r>
    </w:p>
    <w:p w14:paraId="349C870A" w14:textId="77777777" w:rsidR="0084489F" w:rsidRDefault="00110FE6">
      <w:pPr>
        <w:pStyle w:val="FirstParagraph"/>
      </w:pPr>
      <w:r>
        <w:t>Cette ligne offre des exemples illustrant comment la propriété devrait être utilisée.</w:t>
      </w:r>
    </w:p>
    <w:p w14:paraId="73F56392" w14:textId="77777777" w:rsidR="0084489F" w:rsidRDefault="00110FE6" w:rsidP="00806324">
      <w:pPr>
        <w:numPr>
          <w:ilvl w:val="0"/>
          <w:numId w:val="138"/>
        </w:numPr>
      </w:pPr>
      <w:r>
        <w:t>La ligne « Logique » exprime les contraintes formelles d'une propriété par des axiomes logiques en utilisant la notation de la logique du premier ordre.</w:t>
      </w:r>
    </w:p>
    <w:p w14:paraId="27F9C92F" w14:textId="77777777" w:rsidR="0084489F" w:rsidRDefault="00110FE6">
      <w:pPr>
        <w:pStyle w:val="BlockText"/>
      </w:pPr>
      <w:r>
        <w:rPr>
          <w:b/>
          <w:bCs/>
          <w:i/>
          <w:iCs/>
        </w:rPr>
        <w:t>Note de traduction</w:t>
      </w:r>
    </w:p>
    <w:p w14:paraId="34A7CE57" w14:textId="77777777" w:rsidR="0084489F" w:rsidRDefault="00110FE6">
      <w:pPr>
        <w:pStyle w:val="BlockText"/>
      </w:pPr>
      <w:r>
        <w:rPr>
          <w:b/>
          <w:bCs/>
          <w:i/>
          <w:iCs/>
        </w:rPr>
        <w:t>Références</w:t>
      </w:r>
    </w:p>
    <w:p w14:paraId="24A3B746" w14:textId="77777777" w:rsidR="0084489F" w:rsidRDefault="0084489F">
      <w:pPr>
        <w:pStyle w:val="BlockText"/>
      </w:pPr>
    </w:p>
    <w:p w14:paraId="37BABFD6" w14:textId="77777777" w:rsidR="0084489F" w:rsidRDefault="00110FE6">
      <w:pPr>
        <w:pStyle w:val="Heading2"/>
      </w:pPr>
      <w:bookmarkStart w:id="274" w:name="_Toc176864517"/>
      <w:bookmarkStart w:id="275" w:name="p1-est-identifie-par-(identifie)"/>
      <w:r>
        <w:t>P1 est identifié par (identifie)</w:t>
      </w:r>
      <w:bookmarkEnd w:id="274"/>
    </w:p>
    <w:p w14:paraId="125E528E" w14:textId="77777777" w:rsidR="0084489F" w:rsidRDefault="00110FE6">
      <w:pPr>
        <w:pStyle w:val="FirstParagraph"/>
      </w:pPr>
      <w:r>
        <w:rPr>
          <w:b/>
          <w:bCs/>
        </w:rPr>
        <w:t>Domaine</w:t>
      </w:r>
    </w:p>
    <w:p w14:paraId="4791D4F2" w14:textId="77777777" w:rsidR="0084489F" w:rsidRDefault="00110FE6">
      <w:pPr>
        <w:pStyle w:val="BodyText"/>
      </w:pPr>
      <w:r>
        <w:rPr>
          <w:rStyle w:val="VerbatimChar"/>
        </w:rPr>
        <w:t>E1_Entité_CRM</w:t>
      </w:r>
    </w:p>
    <w:p w14:paraId="40A32D11" w14:textId="77777777" w:rsidR="0084489F" w:rsidRDefault="00110FE6">
      <w:pPr>
        <w:pStyle w:val="BodyText"/>
      </w:pPr>
      <w:r>
        <w:rPr>
          <w:b/>
          <w:bCs/>
        </w:rPr>
        <w:t>Portée</w:t>
      </w:r>
    </w:p>
    <w:p w14:paraId="4F04C742" w14:textId="77777777" w:rsidR="0084489F" w:rsidRDefault="00110FE6">
      <w:pPr>
        <w:pStyle w:val="BodyText"/>
      </w:pPr>
      <w:r>
        <w:rPr>
          <w:rStyle w:val="VerbatimChar"/>
        </w:rPr>
        <w:t>E41_Appellation</w:t>
      </w:r>
    </w:p>
    <w:p w14:paraId="055CFFE7" w14:textId="77777777" w:rsidR="0084489F" w:rsidRDefault="00110FE6">
      <w:pPr>
        <w:pStyle w:val="BodyText"/>
      </w:pPr>
      <w:r>
        <w:rPr>
          <w:b/>
          <w:bCs/>
        </w:rPr>
        <w:t>Sous-propriété de</w:t>
      </w:r>
    </w:p>
    <w:p w14:paraId="21968CFC" w14:textId="77777777" w:rsidR="0084489F" w:rsidRDefault="00110FE6">
      <w:pPr>
        <w:pStyle w:val="BodyText"/>
      </w:pPr>
      <w:r>
        <w:rPr>
          <w:b/>
          <w:bCs/>
        </w:rPr>
        <w:t>Super-propriété de</w:t>
      </w:r>
    </w:p>
    <w:p w14:paraId="27AB678E" w14:textId="77777777" w:rsidR="0084489F" w:rsidRDefault="00110FE6">
      <w:pPr>
        <w:pStyle w:val="BodyText"/>
      </w:pPr>
      <w:r w:rsidRPr="1B9E7434">
        <w:rPr>
          <w:rStyle w:val="VerbatimChar"/>
          <w:lang w:val="fr-FR"/>
        </w:rPr>
        <w:t>E1_Entité_CRM</w:t>
      </w:r>
      <w:r w:rsidRPr="1B9E7434">
        <w:rPr>
          <w:lang w:val="fr-FR"/>
        </w:rPr>
        <w:t xml:space="preserve">. </w:t>
      </w:r>
      <w:r w:rsidRPr="1B9E7434">
        <w:rPr>
          <w:rStyle w:val="VerbatimChar"/>
          <w:lang w:val="fr-FR"/>
        </w:rPr>
        <w:t>P48_a_pour_identifiant_préférentiel (est_l'identifiant_préférentiel_de)</w:t>
      </w:r>
      <w:r w:rsidRPr="1B9E7434">
        <w:rPr>
          <w:lang w:val="fr-FR"/>
        </w:rPr>
        <w:t xml:space="preserve"> : </w:t>
      </w:r>
      <w:r w:rsidRPr="1B9E7434">
        <w:rPr>
          <w:rStyle w:val="VerbatimChar"/>
          <w:lang w:val="fr-FR"/>
        </w:rPr>
        <w:t>E42_Identifiant</w:t>
      </w:r>
    </w:p>
    <w:p w14:paraId="75B07B6A" w14:textId="77777777" w:rsidR="0084489F" w:rsidRDefault="00110FE6">
      <w:pPr>
        <w:pStyle w:val="BodyText"/>
      </w:pPr>
      <w:r w:rsidRPr="1B9E7434">
        <w:rPr>
          <w:rStyle w:val="VerbatimChar"/>
          <w:lang w:val="fr-FR"/>
        </w:rPr>
        <w:t>E71_Chose_élaborée_par_l’humain</w:t>
      </w:r>
      <w:r w:rsidRPr="1B9E7434">
        <w:rPr>
          <w:lang w:val="fr-FR"/>
        </w:rPr>
        <w:t xml:space="preserve">. </w:t>
      </w:r>
      <w:r w:rsidRPr="1B9E7434">
        <w:rPr>
          <w:rStyle w:val="VerbatimChar"/>
          <w:lang w:val="fr-FR"/>
        </w:rPr>
        <w:t>P102_a_pour_titre (est_le_titre_de) </w:t>
      </w:r>
      <w:r w:rsidRPr="1B9E7434">
        <w:rPr>
          <w:lang w:val="fr-FR"/>
        </w:rPr>
        <w:t xml:space="preserve">: </w:t>
      </w:r>
      <w:r w:rsidRPr="1B9E7434">
        <w:rPr>
          <w:rStyle w:val="VerbatimChar"/>
          <w:lang w:val="fr-FR"/>
        </w:rPr>
        <w:t>E35_Titre</w:t>
      </w:r>
    </w:p>
    <w:p w14:paraId="0E7B80A1" w14:textId="77777777" w:rsidR="0084489F" w:rsidRDefault="00110FE6">
      <w:pPr>
        <w:pStyle w:val="BodyText"/>
      </w:pPr>
      <w:r w:rsidRPr="1B9E7434">
        <w:rPr>
          <w:rStyle w:val="VerbatimChar"/>
          <w:lang w:val="fr-FR"/>
        </w:rPr>
        <w:t>E53_Lieu</w:t>
      </w:r>
      <w:r w:rsidRPr="1B9E7434">
        <w:rPr>
          <w:lang w:val="fr-FR"/>
        </w:rPr>
        <w:t xml:space="preserve">. </w:t>
      </w:r>
      <w:r w:rsidRPr="1B9E7434">
        <w:rPr>
          <w:rStyle w:val="VerbatimChar"/>
          <w:lang w:val="fr-FR"/>
        </w:rPr>
        <w:t>P168_lieu_défini_par (définit_le_lieu) </w:t>
      </w:r>
      <w:r w:rsidRPr="1B9E7434">
        <w:rPr>
          <w:lang w:val="fr-FR"/>
        </w:rPr>
        <w:t xml:space="preserve">: </w:t>
      </w:r>
      <w:r w:rsidRPr="1B9E7434">
        <w:rPr>
          <w:rStyle w:val="VerbatimChar"/>
          <w:lang w:val="fr-FR"/>
        </w:rPr>
        <w:t>E94_Primitive_spatiale</w:t>
      </w:r>
    </w:p>
    <w:p w14:paraId="3302625A" w14:textId="77777777" w:rsidR="0084489F" w:rsidRDefault="00110FE6">
      <w:pPr>
        <w:pStyle w:val="BodyText"/>
      </w:pPr>
      <w:r>
        <w:rPr>
          <w:rStyle w:val="VerbatimChar"/>
        </w:rPr>
        <w:t>E92_Volume_spatio-temporel</w:t>
      </w:r>
      <w:r>
        <w:t xml:space="preserve">. </w:t>
      </w:r>
      <w:r>
        <w:rPr>
          <w:rStyle w:val="VerbatimChar"/>
        </w:rPr>
        <w:t>P169i_volume_spatio-temporel_défini_par </w:t>
      </w:r>
      <w:r>
        <w:t xml:space="preserve">: </w:t>
      </w:r>
      <w:r>
        <w:rPr>
          <w:rStyle w:val="VerbatimChar"/>
        </w:rPr>
        <w:t>E95_Primitive_spatio-temporelle</w:t>
      </w:r>
    </w:p>
    <w:p w14:paraId="7D83E391" w14:textId="77777777" w:rsidR="0084489F" w:rsidRDefault="00110FE6">
      <w:pPr>
        <w:pStyle w:val="BodyText"/>
      </w:pPr>
      <w:r>
        <w:rPr>
          <w:rStyle w:val="VerbatimChar"/>
        </w:rPr>
        <w:t>E52_Intervalle_temporel</w:t>
      </w:r>
      <w:r>
        <w:t xml:space="preserve">. </w:t>
      </w:r>
      <w:r>
        <w:rPr>
          <w:rStyle w:val="VerbatimChar"/>
        </w:rPr>
        <w:t>P170i_définit_le_temps </w:t>
      </w:r>
      <w:r>
        <w:t xml:space="preserve">: </w:t>
      </w:r>
      <w:r>
        <w:rPr>
          <w:rStyle w:val="VerbatimChar"/>
        </w:rPr>
        <w:t>E61_Primitive_temporelle</w:t>
      </w:r>
    </w:p>
    <w:p w14:paraId="47BE3FD1" w14:textId="77777777" w:rsidR="0084489F" w:rsidRDefault="00110FE6">
      <w:pPr>
        <w:pStyle w:val="BodyText"/>
      </w:pPr>
      <w:r>
        <w:rPr>
          <w:b/>
          <w:bCs/>
        </w:rPr>
        <w:lastRenderedPageBreak/>
        <w:t>Quantification</w:t>
      </w:r>
    </w:p>
    <w:p w14:paraId="68A2FE6E" w14:textId="77777777" w:rsidR="0084489F" w:rsidRDefault="00110FE6">
      <w:pPr>
        <w:pStyle w:val="BodyText"/>
      </w:pPr>
      <w:r w:rsidRPr="1B9E7434">
        <w:rPr>
          <w:lang w:val="fr-FR"/>
        </w:rPr>
        <w:t>plusieurs à plusieurs (0,n:0,n)</w:t>
      </w:r>
    </w:p>
    <w:p w14:paraId="5007A311" w14:textId="77777777" w:rsidR="0084489F" w:rsidRDefault="00110FE6">
      <w:pPr>
        <w:pStyle w:val="BodyText"/>
      </w:pPr>
      <w:r>
        <w:rPr>
          <w:b/>
          <w:bCs/>
        </w:rPr>
        <w:t>Note d’application</w:t>
      </w:r>
    </w:p>
    <w:p w14:paraId="5007AC99" w14:textId="77777777" w:rsidR="0084489F" w:rsidRDefault="00110FE6">
      <w:pPr>
        <w:pStyle w:val="BodyText"/>
      </w:pPr>
      <w:r>
        <w:t>Cette propriété décrit la dénomination ou l’identification de n’importe quelle entité du monde réel par un nom ou tout autre identifiant.</w:t>
      </w:r>
    </w:p>
    <w:p w14:paraId="51755939" w14:textId="77777777" w:rsidR="0084489F" w:rsidRDefault="00110FE6">
      <w:pPr>
        <w:pStyle w:val="BodyText"/>
      </w:pPr>
      <w:r>
        <w:t xml:space="preserve">Cette propriété est destinée aux identifiants d’usage général, qui font partie du monde que le modèle vise à décrire, et pas seulement aux identifiants internes utilisés au sein de bases de données et qui sont spécifiques à un système technique, à moins que ces derniers aient aussi une utilisation plus générale qui ne se limite pas au contexte technique. Cette propriété comprend notamment l’identification à l’aide d’expressions mathématiques, tels que les systèmes de coordonnées utilisés pour l’identification d’instances de </w:t>
      </w:r>
      <w:r>
        <w:rPr>
          <w:rStyle w:val="VerbatimChar"/>
        </w:rPr>
        <w:t>E53_Lieu</w:t>
      </w:r>
      <w:r>
        <w:t xml:space="preserve">. Cette propriété ne révèle rien sur quand, où et par qui cet identifiant a été utilisé. Une représentation plus détaillée peut être construite en utilisant le chemin sémantique complètement développé (c.-à-d. indirect) par l’intermédiaire de la classe </w:t>
      </w:r>
      <w:r>
        <w:rPr>
          <w:rStyle w:val="VerbatimChar"/>
        </w:rPr>
        <w:t>E15_Assignation_d'identifiant</w:t>
      </w:r>
      <w:r>
        <w:t>.</w:t>
      </w:r>
    </w:p>
    <w:p w14:paraId="1DECD246" w14:textId="77777777" w:rsidR="0084489F" w:rsidRDefault="00110FE6">
      <w:pPr>
        <w:pStyle w:val="BodyText"/>
      </w:pPr>
      <w:r w:rsidRPr="1B9E7434">
        <w:rPr>
          <w:rStyle w:val="VerbatimChar"/>
          <w:lang w:val="fr-FR"/>
        </w:rPr>
        <w:t>P1_est_identifié_par (identifie)</w:t>
      </w:r>
      <w:r w:rsidRPr="1B9E7434">
        <w:rPr>
          <w:lang w:val="fr-FR"/>
        </w:rPr>
        <w:t xml:space="preserve"> est un raccourci du chemin sémantique suivant : </w:t>
      </w:r>
      <w:r w:rsidRPr="1B9E7434">
        <w:rPr>
          <w:rStyle w:val="VerbatimChar"/>
          <w:lang w:val="fr-FR"/>
        </w:rPr>
        <w:t>E1_Entité_CRM</w:t>
      </w:r>
      <w:r w:rsidRPr="1B9E7434">
        <w:rPr>
          <w:lang w:val="fr-FR"/>
        </w:rPr>
        <w:t xml:space="preserve">, </w:t>
      </w:r>
      <w:r w:rsidRPr="1B9E7434">
        <w:rPr>
          <w:rStyle w:val="VerbatimChar"/>
          <w:lang w:val="fr-FR"/>
        </w:rPr>
        <w:t>P140i_a_reçu_l'attribut_par</w:t>
      </w:r>
      <w:r w:rsidRPr="1B9E7434">
        <w:rPr>
          <w:lang w:val="fr-FR"/>
        </w:rPr>
        <w:t xml:space="preserve">, </w:t>
      </w:r>
      <w:r w:rsidRPr="1B9E7434">
        <w:rPr>
          <w:rStyle w:val="VerbatimChar"/>
          <w:lang w:val="fr-FR"/>
        </w:rPr>
        <w:t>E15_Assignation_d'identifiant</w:t>
      </w:r>
      <w:r w:rsidRPr="1B9E7434">
        <w:rPr>
          <w:lang w:val="fr-FR"/>
        </w:rPr>
        <w:t xml:space="preserve">, </w:t>
      </w:r>
      <w:r w:rsidRPr="1B9E7434">
        <w:rPr>
          <w:rStyle w:val="VerbatimChar"/>
          <w:lang w:val="fr-FR"/>
        </w:rPr>
        <w:t>P37_a_assigné (a_été_assigné_par)</w:t>
      </w:r>
      <w:r w:rsidRPr="1B9E7434">
        <w:rPr>
          <w:lang w:val="fr-FR"/>
        </w:rPr>
        <w:t xml:space="preserve">, </w:t>
      </w:r>
      <w:r w:rsidRPr="1B9E7434">
        <w:rPr>
          <w:rStyle w:val="VerbatimChar"/>
          <w:lang w:val="fr-FR"/>
        </w:rPr>
        <w:t>E42_Identifiant</w:t>
      </w:r>
      <w:r w:rsidRPr="1B9E7434">
        <w:rPr>
          <w:lang w:val="fr-FR"/>
        </w:rPr>
        <w:t>.</w:t>
      </w:r>
    </w:p>
    <w:p w14:paraId="214B96DB" w14:textId="77777777" w:rsidR="0084489F" w:rsidRDefault="00110FE6">
      <w:pPr>
        <w:pStyle w:val="BodyText"/>
      </w:pPr>
      <w:r w:rsidRPr="1B9E7434">
        <w:rPr>
          <w:lang w:val="fr-FR"/>
        </w:rPr>
        <w:t xml:space="preserve">Il s’agit aussi d’un raccourci du chemin sémantique suivant : </w:t>
      </w:r>
      <w:r w:rsidRPr="1B9E7434">
        <w:rPr>
          <w:rStyle w:val="VerbatimChar"/>
          <w:lang w:val="fr-FR"/>
        </w:rPr>
        <w:t>E1_Entité_CRM</w:t>
      </w:r>
      <w:r w:rsidRPr="1B9E7434">
        <w:rPr>
          <w:lang w:val="fr-FR"/>
        </w:rPr>
        <w:t xml:space="preserve">, </w:t>
      </w:r>
      <w:r w:rsidRPr="1B9E7434">
        <w:rPr>
          <w:rStyle w:val="VerbatimChar"/>
          <w:lang w:val="fr-FR"/>
        </w:rPr>
        <w:t>P1_est_identifié_par (identifie)</w:t>
      </w:r>
      <w:r w:rsidRPr="1B9E7434">
        <w:rPr>
          <w:lang w:val="fr-FR"/>
        </w:rPr>
        <w:t xml:space="preserve">, </w:t>
      </w:r>
      <w:r w:rsidRPr="1B9E7434">
        <w:rPr>
          <w:rStyle w:val="VerbatimChar"/>
          <w:lang w:val="fr-FR"/>
        </w:rPr>
        <w:t>E41_Appellation</w:t>
      </w:r>
      <w:r w:rsidRPr="1B9E7434">
        <w:rPr>
          <w:lang w:val="fr-FR"/>
        </w:rPr>
        <w:t xml:space="preserve">, </w:t>
      </w:r>
      <w:r w:rsidRPr="1B9E7434">
        <w:rPr>
          <w:rStyle w:val="VerbatimChar"/>
          <w:lang w:val="fr-FR"/>
        </w:rPr>
        <w:t>P139_a_pour_forme_alternative (est_la_forme_alternative_de)</w:t>
      </w:r>
      <w:r w:rsidRPr="1B9E7434">
        <w:rPr>
          <w:lang w:val="fr-FR"/>
        </w:rPr>
        <w:t xml:space="preserve">, </w:t>
      </w:r>
      <w:r w:rsidRPr="1B9E7434">
        <w:rPr>
          <w:rStyle w:val="VerbatimChar"/>
          <w:lang w:val="fr-FR"/>
        </w:rPr>
        <w:t>E41_Appellation</w:t>
      </w:r>
      <w:r w:rsidRPr="1B9E7434">
        <w:rPr>
          <w:lang w:val="fr-FR"/>
        </w:rPr>
        <w:t>.</w:t>
      </w:r>
    </w:p>
    <w:p w14:paraId="6BE717B6" w14:textId="77777777" w:rsidR="0084489F" w:rsidRDefault="00110FE6">
      <w:pPr>
        <w:pStyle w:val="BodyText"/>
      </w:pPr>
      <w:r>
        <w:rPr>
          <w:b/>
          <w:bCs/>
        </w:rPr>
        <w:t>Exemples</w:t>
      </w:r>
    </w:p>
    <w:p w14:paraId="1B859E40" w14:textId="77777777" w:rsidR="0084489F" w:rsidRDefault="00110FE6" w:rsidP="00806324">
      <w:pPr>
        <w:numPr>
          <w:ilvl w:val="0"/>
          <w:numId w:val="139"/>
        </w:numPr>
      </w:pPr>
      <w:r>
        <w:t>La capitale de l’Italie (</w:t>
      </w:r>
      <w:r>
        <w:rPr>
          <w:rStyle w:val="VerbatimChar"/>
        </w:rPr>
        <w:t>E53_Lieu</w:t>
      </w:r>
      <w:r>
        <w:t>) est identifiée par (</w:t>
      </w:r>
      <w:r>
        <w:rPr>
          <w:rStyle w:val="VerbatimChar"/>
        </w:rPr>
        <w:t>P1_est_identifié_par</w:t>
      </w:r>
      <w:r>
        <w:t>) « Rome » (</w:t>
      </w:r>
      <w:r>
        <w:rPr>
          <w:rStyle w:val="VerbatimChar"/>
        </w:rPr>
        <w:t>E41_Appellation</w:t>
      </w:r>
      <w:r>
        <w:t>) (Leach, 2017)</w:t>
      </w:r>
    </w:p>
    <w:p w14:paraId="7014BDE9" w14:textId="04FCFC3F" w:rsidR="0084489F" w:rsidRDefault="00110FE6" w:rsidP="00806324">
      <w:pPr>
        <w:numPr>
          <w:ilvl w:val="0"/>
          <w:numId w:val="139"/>
        </w:numPr>
      </w:pPr>
      <w:r w:rsidRPr="1B9E7434">
        <w:rPr>
          <w:lang w:val="fr-FR"/>
        </w:rPr>
        <w:t>Le texte 25014-32 (</w:t>
      </w:r>
      <w:r w:rsidRPr="1B9E7434">
        <w:rPr>
          <w:rStyle w:val="VerbatimChar"/>
          <w:lang w:val="fr-FR"/>
        </w:rPr>
        <w:t>E33_Objet_linguistique</w:t>
      </w:r>
      <w:r w:rsidRPr="1B9E7434">
        <w:rPr>
          <w:lang w:val="fr-FR"/>
        </w:rPr>
        <w:t>) est identifié par (</w:t>
      </w:r>
      <w:r w:rsidRPr="1B9E7434">
        <w:rPr>
          <w:rStyle w:val="VerbatimChar"/>
          <w:lang w:val="fr-FR"/>
        </w:rPr>
        <w:t>P1_est_identifié_par</w:t>
      </w:r>
      <w:r w:rsidRPr="1B9E7434">
        <w:rPr>
          <w:lang w:val="fr-FR"/>
        </w:rPr>
        <w:t xml:space="preserve">) </w:t>
      </w:r>
      <w:r w:rsidRPr="1B9E7434">
        <w:rPr>
          <w:i/>
          <w:iCs/>
          <w:lang w:val="fr-FR"/>
        </w:rPr>
        <w:t>The Decline and Fall of the Roman Empire</w:t>
      </w:r>
      <w:r w:rsidRPr="1B9E7434">
        <w:rPr>
          <w:lang w:val="fr-FR"/>
        </w:rPr>
        <w:t xml:space="preserve"> (</w:t>
      </w:r>
      <w:r w:rsidRPr="1B9E7434">
        <w:rPr>
          <w:rStyle w:val="VerbatimChar"/>
          <w:lang w:val="fr-FR"/>
        </w:rPr>
        <w:t>E35_Titre</w:t>
      </w:r>
      <w:r w:rsidRPr="1B9E7434">
        <w:rPr>
          <w:lang w:val="fr-FR"/>
        </w:rPr>
        <w:t>) (Gibbon, 2013)</w:t>
      </w:r>
    </w:p>
    <w:p w14:paraId="66C68A7B" w14:textId="77777777" w:rsidR="0084489F" w:rsidRDefault="00110FE6">
      <w:pPr>
        <w:pStyle w:val="FirstParagraph"/>
      </w:pPr>
      <w:r>
        <w:rPr>
          <w:b/>
          <w:bCs/>
        </w:rPr>
        <w:t>Logique</w:t>
      </w:r>
    </w:p>
    <w:p w14:paraId="69BB6DD1" w14:textId="77777777" w:rsidR="0084489F" w:rsidRDefault="00110FE6">
      <w:pPr>
        <w:pStyle w:val="BodyText"/>
      </w:pPr>
      <w:r w:rsidRPr="1B9E7434">
        <w:rPr>
          <w:lang w:val="fr-FR"/>
        </w:rPr>
        <w:t>P1(x,y) ⇒ E1(x)</w:t>
      </w:r>
    </w:p>
    <w:p w14:paraId="5670E2A9" w14:textId="77777777" w:rsidR="0084489F" w:rsidRDefault="00110FE6">
      <w:pPr>
        <w:pStyle w:val="BodyText"/>
      </w:pPr>
      <w:r w:rsidRPr="1B9E7434">
        <w:rPr>
          <w:lang w:val="fr-FR"/>
        </w:rPr>
        <w:t>P1(x,y) ⇒ E41(y)</w:t>
      </w:r>
    </w:p>
    <w:p w14:paraId="43B45146" w14:textId="77777777" w:rsidR="0084489F" w:rsidRDefault="00110FE6">
      <w:pPr>
        <w:pStyle w:val="BodyText"/>
      </w:pPr>
      <w:r w:rsidRPr="1B9E7434">
        <w:rPr>
          <w:lang w:val="fr-FR"/>
        </w:rPr>
        <w:t>P1(x,y) ⇐ (∃z) [E15(z)˄ P140i(x,z) ˄ P37(z,y)]</w:t>
      </w:r>
    </w:p>
    <w:p w14:paraId="779EC923" w14:textId="77777777" w:rsidR="0084489F" w:rsidRDefault="00110FE6">
      <w:pPr>
        <w:pStyle w:val="BodyText"/>
      </w:pPr>
      <w:r w:rsidRPr="1B9E7434">
        <w:rPr>
          <w:lang w:val="fr-FR"/>
        </w:rPr>
        <w:t>P1(x,y) ⇐ (∃z) [E41(z)˄ P1(x,z) ˄ P139(z,y)]</w:t>
      </w:r>
    </w:p>
    <w:p w14:paraId="21973456" w14:textId="77777777" w:rsidR="0084489F" w:rsidRDefault="00110FE6">
      <w:pPr>
        <w:pStyle w:val="BodyText"/>
      </w:pPr>
      <w:r>
        <w:rPr>
          <w:b/>
          <w:bCs/>
        </w:rPr>
        <w:t>Propriétés</w:t>
      </w:r>
    </w:p>
    <w:p w14:paraId="40BF7B05" w14:textId="77777777" w:rsidR="0084489F" w:rsidRDefault="00110FE6">
      <w:pPr>
        <w:pStyle w:val="BlockText"/>
      </w:pPr>
      <w:r>
        <w:rPr>
          <w:b/>
          <w:bCs/>
          <w:i/>
          <w:iCs/>
        </w:rPr>
        <w:t>Note de traduction</w:t>
      </w:r>
    </w:p>
    <w:p w14:paraId="0CDF3600" w14:textId="77777777" w:rsidR="0084489F" w:rsidRDefault="00110FE6">
      <w:pPr>
        <w:pStyle w:val="BlockText"/>
      </w:pPr>
      <w:r>
        <w:rPr>
          <w:b/>
          <w:bCs/>
          <w:i/>
          <w:iCs/>
        </w:rPr>
        <w:t>Références</w:t>
      </w:r>
    </w:p>
    <w:p w14:paraId="6A2766E7" w14:textId="77777777" w:rsidR="0084489F" w:rsidRDefault="0084489F">
      <w:pPr>
        <w:pStyle w:val="BlockText"/>
      </w:pPr>
    </w:p>
    <w:p w14:paraId="04A3A202" w14:textId="77777777" w:rsidR="0084489F" w:rsidRDefault="00110FE6">
      <w:pPr>
        <w:pStyle w:val="Heading2"/>
      </w:pPr>
      <w:bookmarkStart w:id="276" w:name="_Toc176864518"/>
      <w:bookmarkStart w:id="277" w:name="p2-a-pour-type-(est-le-type-de)"/>
      <w:bookmarkEnd w:id="275"/>
      <w:r>
        <w:t>P2 a pour type (est le type de)</w:t>
      </w:r>
      <w:bookmarkEnd w:id="276"/>
    </w:p>
    <w:p w14:paraId="148AE465" w14:textId="77777777" w:rsidR="0084489F" w:rsidRDefault="00110FE6">
      <w:pPr>
        <w:pStyle w:val="FirstParagraph"/>
      </w:pPr>
      <w:r>
        <w:rPr>
          <w:b/>
          <w:bCs/>
        </w:rPr>
        <w:t>Domaine</w:t>
      </w:r>
    </w:p>
    <w:p w14:paraId="2F68BCFA" w14:textId="77777777" w:rsidR="0084489F" w:rsidRDefault="00110FE6">
      <w:pPr>
        <w:pStyle w:val="BodyText"/>
      </w:pPr>
      <w:r>
        <w:rPr>
          <w:rStyle w:val="VerbatimChar"/>
        </w:rPr>
        <w:t>E1_Entité_CRM</w:t>
      </w:r>
    </w:p>
    <w:p w14:paraId="602684D5" w14:textId="77777777" w:rsidR="0084489F" w:rsidRDefault="00110FE6">
      <w:pPr>
        <w:pStyle w:val="BodyText"/>
      </w:pPr>
      <w:r>
        <w:rPr>
          <w:b/>
          <w:bCs/>
        </w:rPr>
        <w:lastRenderedPageBreak/>
        <w:t>Portée</w:t>
      </w:r>
    </w:p>
    <w:p w14:paraId="40C2BA31" w14:textId="77777777" w:rsidR="0084489F" w:rsidRDefault="00110FE6">
      <w:pPr>
        <w:pStyle w:val="BodyText"/>
      </w:pPr>
      <w:r>
        <w:rPr>
          <w:rStyle w:val="VerbatimChar"/>
        </w:rPr>
        <w:t>E55_Type</w:t>
      </w:r>
    </w:p>
    <w:p w14:paraId="096DC957" w14:textId="77777777" w:rsidR="0084489F" w:rsidRDefault="00110FE6">
      <w:pPr>
        <w:pStyle w:val="BodyText"/>
      </w:pPr>
      <w:r>
        <w:rPr>
          <w:b/>
          <w:bCs/>
        </w:rPr>
        <w:t>Sous-propriété de</w:t>
      </w:r>
    </w:p>
    <w:p w14:paraId="53D1B26C" w14:textId="77777777" w:rsidR="0084489F" w:rsidRDefault="00110FE6">
      <w:pPr>
        <w:pStyle w:val="BodyText"/>
      </w:pPr>
      <w:r>
        <w:rPr>
          <w:b/>
          <w:bCs/>
        </w:rPr>
        <w:t>Super-propriété de</w:t>
      </w:r>
    </w:p>
    <w:p w14:paraId="2EB6AC55" w14:textId="77777777" w:rsidR="0084489F" w:rsidRDefault="00110FE6">
      <w:pPr>
        <w:pStyle w:val="BodyText"/>
      </w:pPr>
      <w:r w:rsidRPr="1B9E7434">
        <w:rPr>
          <w:rStyle w:val="VerbatimChar"/>
          <w:lang w:val="fr-FR"/>
        </w:rPr>
        <w:t>E1_Entité_CRM</w:t>
      </w:r>
      <w:r w:rsidRPr="1B9E7434">
        <w:rPr>
          <w:lang w:val="fr-FR"/>
        </w:rPr>
        <w:t xml:space="preserve">. </w:t>
      </w:r>
      <w:r w:rsidRPr="1B9E7434">
        <w:rPr>
          <w:rStyle w:val="VerbatimChar"/>
          <w:lang w:val="fr-FR"/>
        </w:rPr>
        <w:t>P137_exemplifie (est_exemplifié_par)</w:t>
      </w:r>
      <w:r w:rsidRPr="1B9E7434">
        <w:rPr>
          <w:lang w:val="fr-FR"/>
        </w:rPr>
        <w:t xml:space="preserve"> : </w:t>
      </w:r>
      <w:r w:rsidRPr="1B9E7434">
        <w:rPr>
          <w:rStyle w:val="VerbatimChar"/>
          <w:lang w:val="fr-FR"/>
        </w:rPr>
        <w:t>E55_Type</w:t>
      </w:r>
    </w:p>
    <w:p w14:paraId="30FDFD37" w14:textId="77777777" w:rsidR="0084489F" w:rsidRDefault="00110FE6">
      <w:pPr>
        <w:pStyle w:val="BodyText"/>
      </w:pPr>
      <w:r w:rsidRPr="1B9E7434">
        <w:rPr>
          <w:rStyle w:val="VerbatimChar"/>
          <w:lang w:val="fr-FR"/>
        </w:rPr>
        <w:t>E13_Assignation_d'attribut</w:t>
      </w:r>
      <w:r w:rsidRPr="1B9E7434">
        <w:rPr>
          <w:lang w:val="fr-FR"/>
        </w:rPr>
        <w:t xml:space="preserve">. </w:t>
      </w:r>
      <w:r w:rsidRPr="1B9E7434">
        <w:rPr>
          <w:rStyle w:val="VerbatimChar"/>
          <w:lang w:val="fr-FR"/>
        </w:rPr>
        <w:t>P177_a_assigné_le_type_de_propriété (est_le_type_de_la_propriété_assigné)</w:t>
      </w:r>
      <w:r w:rsidRPr="1B9E7434">
        <w:rPr>
          <w:lang w:val="fr-FR"/>
        </w:rPr>
        <w:t xml:space="preserve"> : </w:t>
      </w:r>
      <w:r w:rsidRPr="1B9E7434">
        <w:rPr>
          <w:rStyle w:val="VerbatimChar"/>
          <w:lang w:val="fr-FR"/>
        </w:rPr>
        <w:t>E55_Type</w:t>
      </w:r>
    </w:p>
    <w:p w14:paraId="1AE7F3A2" w14:textId="77777777" w:rsidR="0084489F" w:rsidRDefault="00110FE6">
      <w:pPr>
        <w:pStyle w:val="BodyText"/>
      </w:pPr>
      <w:r>
        <w:rPr>
          <w:b/>
          <w:bCs/>
        </w:rPr>
        <w:t>Quantification</w:t>
      </w:r>
    </w:p>
    <w:p w14:paraId="4F7A60B9" w14:textId="77777777" w:rsidR="0084489F" w:rsidRDefault="00110FE6">
      <w:pPr>
        <w:pStyle w:val="BodyText"/>
      </w:pPr>
      <w:r w:rsidRPr="1B9E7434">
        <w:rPr>
          <w:lang w:val="fr-FR"/>
        </w:rPr>
        <w:t>plusieurs à plusieurs (0,n:0,n)</w:t>
      </w:r>
    </w:p>
    <w:p w14:paraId="24DD6F00" w14:textId="77777777" w:rsidR="0084489F" w:rsidRDefault="00110FE6">
      <w:pPr>
        <w:pStyle w:val="BodyText"/>
      </w:pPr>
      <w:r>
        <w:rPr>
          <w:b/>
          <w:bCs/>
        </w:rPr>
        <w:t>Note d’application</w:t>
      </w:r>
    </w:p>
    <w:p w14:paraId="5DF82C03" w14:textId="77777777" w:rsidR="0084489F" w:rsidRDefault="00110FE6">
      <w:pPr>
        <w:pStyle w:val="BodyText"/>
      </w:pPr>
      <w:r>
        <w:t>Cette propriété permet le sous-typage d’entités du CIDOC CRM – une forme de spécialisation – grâce à l’utilisation d’un thésaurus ou d’une hiérarchie terminologique.</w:t>
      </w:r>
    </w:p>
    <w:p w14:paraId="14BD6734" w14:textId="77777777" w:rsidR="0084489F" w:rsidRDefault="00110FE6">
      <w:pPr>
        <w:pStyle w:val="BodyText"/>
      </w:pPr>
      <w:r w:rsidRPr="1B9E7434">
        <w:rPr>
          <w:lang w:val="fr-FR"/>
        </w:rPr>
        <w:t xml:space="preserve">Le CIDOC CRM porte principalement sur les entités de haut niveau et les relations qui sont nécessaires à la description des structures de données. À cet égard, le modèle ne précise pas les entités par des spécialisations supplémentaires au-delà de ce qui est nécessaire à ses objectifs. Les entités relevant d’une hiérarchie </w:t>
      </w:r>
      <w:r w:rsidRPr="1B9E7434">
        <w:rPr>
          <w:rStyle w:val="VerbatimChar"/>
          <w:lang w:val="fr-FR"/>
        </w:rPr>
        <w:t>estUn</w:t>
      </w:r>
      <w:r w:rsidRPr="1B9E7434">
        <w:rPr>
          <w:lang w:val="fr-FR"/>
        </w:rPr>
        <w:t xml:space="preserve"> peuvent néanmoins être précisées par plusieurs sous-entités qui peuvent être définies dans une hiérarchie de </w:t>
      </w:r>
      <w:r w:rsidRPr="1B9E7434">
        <w:rPr>
          <w:rStyle w:val="VerbatimChar"/>
          <w:lang w:val="fr-FR"/>
        </w:rPr>
        <w:t>E55_Type</w:t>
      </w:r>
      <w:r w:rsidRPr="1B9E7434">
        <w:rPr>
          <w:lang w:val="fr-FR"/>
        </w:rPr>
        <w:t xml:space="preserve">. Par exemple, </w:t>
      </w:r>
      <w:r w:rsidRPr="1B9E7434">
        <w:rPr>
          <w:rStyle w:val="VerbatimChar"/>
          <w:lang w:val="fr-FR"/>
        </w:rPr>
        <w:t>E41_Appellation</w:t>
      </w:r>
      <w:r w:rsidRPr="1B9E7434">
        <w:rPr>
          <w:lang w:val="fr-FR"/>
        </w:rPr>
        <w:t xml:space="preserve"> peut être précisée [n.d.t. des types] « adresse courriel », « numéro de téléphone », « boîte postale » ou « URL » sans que ceux-ci ne se trouvent explicitement dans la hiérarchie de classe du CIDOC CRM.</w:t>
      </w:r>
    </w:p>
    <w:p w14:paraId="412CEFE3" w14:textId="77777777" w:rsidR="0084489F" w:rsidRDefault="00110FE6">
      <w:pPr>
        <w:pStyle w:val="BodyText"/>
      </w:pPr>
      <w:r>
        <w:t xml:space="preserve">Une explication exhaustive de la manière de préciser des concepts du CIDOC CRM en utilisant la classe </w:t>
      </w:r>
      <w:r>
        <w:rPr>
          <w:rStyle w:val="VerbatimChar"/>
        </w:rPr>
        <w:t>E55_Type</w:t>
      </w:r>
      <w:r>
        <w:t xml:space="preserve"> se trouve dans la sous-section « </w:t>
      </w:r>
      <w:hyperlink w:anchor="des-types">
        <w:r>
          <w:rPr>
            <w:rStyle w:val="Hyperlink"/>
          </w:rPr>
          <w:t>Des types</w:t>
        </w:r>
      </w:hyperlink>
      <w:r>
        <w:t> » de la section « </w:t>
      </w:r>
      <w:hyperlink w:anchor="construits-specifiques-de-modelisation">
        <w:r>
          <w:rPr>
            <w:rStyle w:val="Hyperlink"/>
          </w:rPr>
          <w:t>Construits spécifiques de modélisation</w:t>
        </w:r>
      </w:hyperlink>
      <w:r>
        <w:t> ».</w:t>
      </w:r>
    </w:p>
    <w:p w14:paraId="73FBA191" w14:textId="77777777" w:rsidR="0084489F" w:rsidRDefault="00110FE6">
      <w:pPr>
        <w:pStyle w:val="BodyText"/>
      </w:pPr>
      <w:r w:rsidRPr="1B9E7434">
        <w:rPr>
          <w:rStyle w:val="VerbatimChar"/>
          <w:lang w:val="fr-FR"/>
        </w:rPr>
        <w:t>P2_a_pour_type (est_le_type_de)</w:t>
      </w:r>
      <w:r w:rsidRPr="1B9E7434">
        <w:rPr>
          <w:lang w:val="fr-FR"/>
        </w:rPr>
        <w:t xml:space="preserve"> est un raccourci du chemin sémantique suivant : </w:t>
      </w:r>
      <w:r w:rsidRPr="1B9E7434">
        <w:rPr>
          <w:rStyle w:val="VerbatimChar"/>
          <w:lang w:val="fr-FR"/>
        </w:rPr>
        <w:t>E1_Entité_CRM</w:t>
      </w:r>
      <w:r w:rsidRPr="1B9E7434">
        <w:rPr>
          <w:lang w:val="fr-FR"/>
        </w:rPr>
        <w:t xml:space="preserve">, </w:t>
      </w:r>
      <w:r w:rsidRPr="1B9E7434">
        <w:rPr>
          <w:rStyle w:val="VerbatimChar"/>
          <w:lang w:val="fr-FR"/>
        </w:rPr>
        <w:t>P41i_a_été_classifié_par</w:t>
      </w:r>
      <w:r w:rsidRPr="1B9E7434">
        <w:rPr>
          <w:lang w:val="fr-FR"/>
        </w:rPr>
        <w:t xml:space="preserve">, </w:t>
      </w:r>
      <w:r w:rsidRPr="1B9E7434">
        <w:rPr>
          <w:rStyle w:val="VerbatimChar"/>
          <w:lang w:val="fr-FR"/>
        </w:rPr>
        <w:t>E17_Assignation_de_type</w:t>
      </w:r>
      <w:r w:rsidRPr="1B9E7434">
        <w:rPr>
          <w:lang w:val="fr-FR"/>
        </w:rPr>
        <w:t xml:space="preserve">, </w:t>
      </w:r>
      <w:r w:rsidRPr="1B9E7434">
        <w:rPr>
          <w:rStyle w:val="VerbatimChar"/>
          <w:lang w:val="fr-FR"/>
        </w:rPr>
        <w:t>P42_a_assigné</w:t>
      </w:r>
      <w:r w:rsidRPr="1B9E7434">
        <w:rPr>
          <w:lang w:val="fr-FR"/>
        </w:rPr>
        <w:t xml:space="preserve">, </w:t>
      </w:r>
      <w:r w:rsidRPr="1B9E7434">
        <w:rPr>
          <w:rStyle w:val="VerbatimChar"/>
          <w:lang w:val="fr-FR"/>
        </w:rPr>
        <w:t>E55_Type</w:t>
      </w:r>
      <w:r w:rsidRPr="1B9E7434">
        <w:rPr>
          <w:lang w:val="fr-FR"/>
        </w:rPr>
        <w:t>.</w:t>
      </w:r>
    </w:p>
    <w:p w14:paraId="17722A2B" w14:textId="77777777" w:rsidR="0084489F" w:rsidRDefault="00110FE6">
      <w:pPr>
        <w:pStyle w:val="BodyText"/>
      </w:pPr>
      <w:r>
        <w:rPr>
          <w:b/>
          <w:bCs/>
        </w:rPr>
        <w:t>Exemples</w:t>
      </w:r>
    </w:p>
    <w:p w14:paraId="11C87C14" w14:textId="45859C71" w:rsidR="0084489F" w:rsidRDefault="00110FE6" w:rsidP="00806324">
      <w:pPr>
        <w:numPr>
          <w:ilvl w:val="0"/>
          <w:numId w:val="140"/>
        </w:numPr>
      </w:pPr>
      <w:r w:rsidRPr="1B9E7434">
        <w:rPr>
          <w:lang w:val="fr-FR"/>
        </w:rPr>
        <w:t>« enquiries@cidoc-crm.org » (</w:t>
      </w:r>
      <w:r w:rsidRPr="1B9E7434">
        <w:rPr>
          <w:rStyle w:val="VerbatimChar"/>
          <w:lang w:val="fr-FR"/>
        </w:rPr>
        <w:t>E41_Appellation</w:t>
      </w:r>
      <w:r w:rsidRPr="1B9E7434">
        <w:rPr>
          <w:lang w:val="fr-FR"/>
        </w:rPr>
        <w:t>) a pour type (</w:t>
      </w:r>
      <w:r w:rsidRPr="1B9E7434">
        <w:rPr>
          <w:rStyle w:val="VerbatimChar"/>
          <w:lang w:val="fr-FR"/>
        </w:rPr>
        <w:t>P2_a_pour_type</w:t>
      </w:r>
      <w:r w:rsidRPr="1B9E7434">
        <w:rPr>
          <w:lang w:val="fr-FR"/>
        </w:rPr>
        <w:t>) adresse courriel (</w:t>
      </w:r>
      <w:r w:rsidRPr="1B9E7434">
        <w:rPr>
          <w:rStyle w:val="VerbatimChar"/>
          <w:lang w:val="fr-FR"/>
        </w:rPr>
        <w:t>E55_Type</w:t>
      </w:r>
      <w:r w:rsidRPr="1B9E7434">
        <w:rPr>
          <w:lang w:val="fr-FR"/>
        </w:rPr>
        <w:t>) (fictive)</w:t>
      </w:r>
    </w:p>
    <w:p w14:paraId="534CD78B" w14:textId="77777777" w:rsidR="0084489F" w:rsidRDefault="00110FE6">
      <w:pPr>
        <w:pStyle w:val="FirstParagraph"/>
      </w:pPr>
      <w:r>
        <w:rPr>
          <w:b/>
          <w:bCs/>
        </w:rPr>
        <w:t>Logique</w:t>
      </w:r>
    </w:p>
    <w:p w14:paraId="45F5C5E3" w14:textId="77777777" w:rsidR="0084489F" w:rsidRDefault="00110FE6">
      <w:pPr>
        <w:pStyle w:val="BodyText"/>
      </w:pPr>
      <w:r w:rsidRPr="1B9E7434">
        <w:rPr>
          <w:lang w:val="fr-FR"/>
        </w:rPr>
        <w:t>P2(x,y) ⇒ E1(x)</w:t>
      </w:r>
    </w:p>
    <w:p w14:paraId="00B57FDE" w14:textId="77777777" w:rsidR="0084489F" w:rsidRDefault="00110FE6">
      <w:pPr>
        <w:pStyle w:val="BodyText"/>
      </w:pPr>
      <w:r w:rsidRPr="1B9E7434">
        <w:rPr>
          <w:lang w:val="fr-FR"/>
        </w:rPr>
        <w:t>P2(x,y) ⇒ E55(y)</w:t>
      </w:r>
    </w:p>
    <w:p w14:paraId="4DF7186D" w14:textId="77777777" w:rsidR="0084489F" w:rsidRDefault="00110FE6">
      <w:pPr>
        <w:pStyle w:val="BodyText"/>
      </w:pPr>
      <w:r w:rsidRPr="1B9E7434">
        <w:rPr>
          <w:lang w:val="fr-FR"/>
        </w:rPr>
        <w:t>P2(x,y) ⇐ (∃z) [E17(z)] ˄ P41i(x,z) ˄ P42(z,y)]</w:t>
      </w:r>
    </w:p>
    <w:p w14:paraId="1B70F0F5" w14:textId="77777777" w:rsidR="0084489F" w:rsidRDefault="00110FE6">
      <w:pPr>
        <w:pStyle w:val="BodyText"/>
      </w:pPr>
      <w:r>
        <w:rPr>
          <w:b/>
          <w:bCs/>
        </w:rPr>
        <w:t>Propriétés</w:t>
      </w:r>
    </w:p>
    <w:p w14:paraId="56D8A066" w14:textId="77777777" w:rsidR="0084489F" w:rsidRDefault="00110FE6">
      <w:pPr>
        <w:pStyle w:val="BlockText"/>
      </w:pPr>
      <w:r>
        <w:rPr>
          <w:b/>
          <w:bCs/>
          <w:i/>
          <w:iCs/>
        </w:rPr>
        <w:t>Note de traduction</w:t>
      </w:r>
    </w:p>
    <w:p w14:paraId="4F8E4823" w14:textId="77777777" w:rsidR="0084489F" w:rsidRDefault="00110FE6">
      <w:pPr>
        <w:pStyle w:val="BlockText"/>
      </w:pPr>
      <w:r w:rsidRPr="1B9E7434">
        <w:rPr>
          <w:lang w:val="fr-FR"/>
        </w:rPr>
        <w:t>Dans des phrases telles que « Consequently, it does not specialise entities any further than is required for this immediate purpose », le terme « specialise » a été traduit par « précise » car il s’agit d’une clarification de type plutôt que de d’espèces ou de connaissances.</w:t>
      </w:r>
    </w:p>
    <w:p w14:paraId="207253D0" w14:textId="77777777" w:rsidR="0084489F" w:rsidRDefault="00110FE6">
      <w:pPr>
        <w:pStyle w:val="BlockText"/>
      </w:pPr>
      <w:r>
        <w:rPr>
          <w:b/>
          <w:bCs/>
          <w:i/>
          <w:iCs/>
        </w:rPr>
        <w:t>Références</w:t>
      </w:r>
    </w:p>
    <w:p w14:paraId="5D061805" w14:textId="77777777" w:rsidR="0084489F" w:rsidRDefault="00110FE6">
      <w:pPr>
        <w:pStyle w:val="BlockText"/>
      </w:pPr>
      <w:r w:rsidRPr="1B9E7434">
        <w:rPr>
          <w:lang w:val="fr-FR"/>
        </w:rPr>
        <w:lastRenderedPageBreak/>
        <w:t xml:space="preserve">Antidote. « précision ». Dans </w:t>
      </w:r>
      <w:r w:rsidRPr="1B9E7434">
        <w:rPr>
          <w:i/>
          <w:iCs/>
          <w:lang w:val="fr-FR"/>
        </w:rPr>
        <w:t>Antidote</w:t>
      </w:r>
      <w:r w:rsidRPr="1B9E7434">
        <w:rPr>
          <w:lang w:val="fr-FR"/>
        </w:rPr>
        <w:t>. Montréal, CA-QC: Druide Informatique, 2022.</w:t>
      </w:r>
    </w:p>
    <w:p w14:paraId="4DD46044" w14:textId="77777777" w:rsidR="0084489F" w:rsidRDefault="00110FE6">
      <w:pPr>
        <w:pStyle w:val="BlockText"/>
      </w:pPr>
      <w:r w:rsidRPr="1B9E7434">
        <w:rPr>
          <w:lang w:val="fr-FR"/>
        </w:rPr>
        <w:t xml:space="preserve">———. « spécialisation ». Dans </w:t>
      </w:r>
      <w:r w:rsidRPr="1B9E7434">
        <w:rPr>
          <w:i/>
          <w:iCs/>
          <w:lang w:val="fr-FR"/>
        </w:rPr>
        <w:t>Antidote</w:t>
      </w:r>
      <w:r w:rsidRPr="1B9E7434">
        <w:rPr>
          <w:lang w:val="fr-FR"/>
        </w:rPr>
        <w:t>. Montréal, CA-QC: Druide Informatique, 2022.</w:t>
      </w:r>
      <w:hyperlink r:id="rId232">
        <w:r w:rsidRPr="1B9E7434">
          <w:rPr>
            <w:rStyle w:val="Hyperlink"/>
            <w:lang w:val="fr-FR"/>
          </w:rPr>
          <w:t xml:space="preserve"> </w:t>
        </w:r>
      </w:hyperlink>
      <w:hyperlink r:id="rId233">
        <w:r w:rsidRPr="1B9E7434">
          <w:rPr>
            <w:rStyle w:val="Hyperlink"/>
            <w:lang w:val="fr-FR"/>
          </w:rPr>
          <w:t>https://antidote.app/dictionnaires/fr/definitions/FRUAgAAAABGUgBDZAAAQ2QAAC0AAACDTm9thmFjdGFudICAgA%3D%3Dd707/RlLvh7cyNTY2N%2B%2BHt05vbQ%3D%3D/RlLvh7cyNTY2N%2B%2BHt05vbe%2BHt2FjdGFudO%2BHt2FjdGFudA%3D%3D</w:t>
        </w:r>
      </w:hyperlink>
      <w:r w:rsidRPr="1B9E7434">
        <w:rPr>
          <w:lang w:val="fr-FR"/>
        </w:rPr>
        <w:t>.</w:t>
      </w:r>
    </w:p>
    <w:p w14:paraId="74C9999C" w14:textId="77777777" w:rsidR="005665EC" w:rsidRPr="005665EC" w:rsidRDefault="005665EC" w:rsidP="005665EC">
      <w:pPr>
        <w:pStyle w:val="BodyText"/>
      </w:pPr>
    </w:p>
    <w:p w14:paraId="677DF27C" w14:textId="77777777" w:rsidR="0084489F" w:rsidRDefault="00110FE6">
      <w:pPr>
        <w:pStyle w:val="Heading2"/>
      </w:pPr>
      <w:bookmarkStart w:id="278" w:name="_Toc176864519"/>
      <w:bookmarkStart w:id="279" w:name="p3-a-pour-note"/>
      <w:bookmarkEnd w:id="277"/>
      <w:r>
        <w:t>P3 a pour note</w:t>
      </w:r>
      <w:bookmarkEnd w:id="278"/>
    </w:p>
    <w:p w14:paraId="65CC5A75" w14:textId="77777777" w:rsidR="0084489F" w:rsidRDefault="00110FE6">
      <w:pPr>
        <w:pStyle w:val="FirstParagraph"/>
      </w:pPr>
      <w:r>
        <w:rPr>
          <w:b/>
          <w:bCs/>
        </w:rPr>
        <w:t>Domaine</w:t>
      </w:r>
    </w:p>
    <w:p w14:paraId="6BB72B6B" w14:textId="77777777" w:rsidR="0084489F" w:rsidRDefault="00110FE6">
      <w:pPr>
        <w:pStyle w:val="BodyText"/>
      </w:pPr>
      <w:r>
        <w:rPr>
          <w:rStyle w:val="VerbatimChar"/>
        </w:rPr>
        <w:t>E1_Entité_CRM</w:t>
      </w:r>
    </w:p>
    <w:p w14:paraId="6D099DCE" w14:textId="77777777" w:rsidR="0084489F" w:rsidRDefault="00110FE6">
      <w:pPr>
        <w:pStyle w:val="BodyText"/>
      </w:pPr>
      <w:r>
        <w:rPr>
          <w:b/>
          <w:bCs/>
        </w:rPr>
        <w:t>Portée</w:t>
      </w:r>
    </w:p>
    <w:p w14:paraId="24F7E472" w14:textId="77777777" w:rsidR="0084489F" w:rsidRDefault="00110FE6">
      <w:pPr>
        <w:pStyle w:val="BodyText"/>
      </w:pPr>
      <w:r>
        <w:rPr>
          <w:rStyle w:val="VerbatimChar"/>
        </w:rPr>
        <w:t>E62_Chaîne_de_caractères</w:t>
      </w:r>
    </w:p>
    <w:p w14:paraId="55039F96" w14:textId="77777777" w:rsidR="0084489F" w:rsidRDefault="00110FE6">
      <w:pPr>
        <w:pStyle w:val="BodyText"/>
      </w:pPr>
      <w:r>
        <w:rPr>
          <w:b/>
          <w:bCs/>
        </w:rPr>
        <w:t>Sous-propriété de</w:t>
      </w:r>
    </w:p>
    <w:p w14:paraId="070E23D9" w14:textId="77777777" w:rsidR="0084489F" w:rsidRDefault="00110FE6">
      <w:pPr>
        <w:pStyle w:val="BodyText"/>
      </w:pPr>
      <w:r>
        <w:rPr>
          <w:b/>
          <w:bCs/>
        </w:rPr>
        <w:t>Super-propriété de</w:t>
      </w:r>
    </w:p>
    <w:p w14:paraId="4481F3F4" w14:textId="77777777" w:rsidR="0084489F" w:rsidRDefault="00110FE6">
      <w:pPr>
        <w:pStyle w:val="BodyText"/>
      </w:pPr>
      <w:r>
        <w:rPr>
          <w:rStyle w:val="VerbatimChar"/>
        </w:rPr>
        <w:t>E52_Intervalle_temporel</w:t>
      </w:r>
      <w:r>
        <w:t xml:space="preserve">. </w:t>
      </w:r>
      <w:r>
        <w:rPr>
          <w:rStyle w:val="VerbatimChar"/>
        </w:rPr>
        <w:t>P79_a_son_début_qualifié_par</w:t>
      </w:r>
      <w:r>
        <w:t xml:space="preserve"> : </w:t>
      </w:r>
      <w:r>
        <w:rPr>
          <w:rStyle w:val="VerbatimChar"/>
        </w:rPr>
        <w:t>E62_Chaîne_de_caractères</w:t>
      </w:r>
    </w:p>
    <w:p w14:paraId="4878B35A" w14:textId="77777777" w:rsidR="0084489F" w:rsidRDefault="00110FE6">
      <w:pPr>
        <w:pStyle w:val="BodyText"/>
      </w:pPr>
      <w:r>
        <w:rPr>
          <w:rStyle w:val="VerbatimChar"/>
        </w:rPr>
        <w:t>E52_Intervalle_temporel</w:t>
      </w:r>
      <w:r>
        <w:t xml:space="preserve">. </w:t>
      </w:r>
      <w:r>
        <w:rPr>
          <w:rStyle w:val="VerbatimChar"/>
        </w:rPr>
        <w:t>P80_a_sa_fin_qualifiée_par</w:t>
      </w:r>
      <w:r>
        <w:t xml:space="preserve"> : </w:t>
      </w:r>
      <w:r>
        <w:rPr>
          <w:rStyle w:val="VerbatimChar"/>
        </w:rPr>
        <w:t>E62_Chaîne_de_caractères</w:t>
      </w:r>
    </w:p>
    <w:p w14:paraId="59856A1F" w14:textId="77777777" w:rsidR="0084489F" w:rsidRDefault="00110FE6">
      <w:pPr>
        <w:pStyle w:val="BodyText"/>
      </w:pPr>
      <w:r>
        <w:rPr>
          <w:rStyle w:val="VerbatimChar"/>
        </w:rPr>
        <w:t>E90_Objet_symbolique</w:t>
      </w:r>
      <w:r>
        <w:t xml:space="preserve">. </w:t>
      </w:r>
      <w:r>
        <w:rPr>
          <w:rStyle w:val="VerbatimChar"/>
        </w:rPr>
        <w:t>P190_a_pour_contenu_symbolique</w:t>
      </w:r>
      <w:r>
        <w:t xml:space="preserve"> : </w:t>
      </w:r>
      <w:r>
        <w:rPr>
          <w:rStyle w:val="VerbatimChar"/>
        </w:rPr>
        <w:t>E62_Chaîne_de_caractères</w:t>
      </w:r>
    </w:p>
    <w:p w14:paraId="6E450CB6" w14:textId="77777777" w:rsidR="0084489F" w:rsidRDefault="00110FE6">
      <w:pPr>
        <w:pStyle w:val="BodyText"/>
      </w:pPr>
      <w:r>
        <w:rPr>
          <w:b/>
          <w:bCs/>
        </w:rPr>
        <w:t>Quantification</w:t>
      </w:r>
    </w:p>
    <w:p w14:paraId="6A05A012" w14:textId="77777777" w:rsidR="0084489F" w:rsidRDefault="00110FE6">
      <w:pPr>
        <w:pStyle w:val="BodyText"/>
      </w:pPr>
      <w:r w:rsidRPr="1B9E7434">
        <w:rPr>
          <w:lang w:val="fr-FR"/>
        </w:rPr>
        <w:t>un à plusieurs (0,n:0,1)</w:t>
      </w:r>
    </w:p>
    <w:p w14:paraId="74DAB96A" w14:textId="77777777" w:rsidR="0084489F" w:rsidRDefault="00110FE6">
      <w:pPr>
        <w:pStyle w:val="BodyText"/>
      </w:pPr>
      <w:r>
        <w:rPr>
          <w:b/>
          <w:bCs/>
        </w:rPr>
        <w:t>Note d’application</w:t>
      </w:r>
    </w:p>
    <w:p w14:paraId="06080069" w14:textId="77777777" w:rsidR="0084489F" w:rsidRDefault="00110FE6">
      <w:pPr>
        <w:pStyle w:val="BodyText"/>
      </w:pPr>
      <w:r>
        <w:t>Cette propriété renferme toutes les descriptions informelles d’un objet qui n’ont pas été exprimées selon les structures du CIDOC CRM.</w:t>
      </w:r>
    </w:p>
    <w:p w14:paraId="7C047B02" w14:textId="77777777" w:rsidR="0084489F" w:rsidRDefault="00110FE6">
      <w:pPr>
        <w:pStyle w:val="BodyText"/>
      </w:pPr>
      <w:r>
        <w:t>En particulier, elle documente les informations qui caractérisent l’entité elle-même, comme sa structure interne, son apparence, etc. Ainsi, une entité peut posséder plusieurs notes, mais une note est rattachée à une seule entité.</w:t>
      </w:r>
    </w:p>
    <w:p w14:paraId="52EFE4C6" w14:textId="77777777" w:rsidR="0084489F" w:rsidRDefault="00110FE6">
      <w:pPr>
        <w:pStyle w:val="BodyText"/>
      </w:pPr>
      <w:r w:rsidRPr="1B9E7434">
        <w:rPr>
          <w:lang w:val="fr-FR"/>
        </w:rPr>
        <w:t xml:space="preserve">Tout comme la propriété </w:t>
      </w:r>
      <w:r w:rsidRPr="1B9E7434">
        <w:rPr>
          <w:rStyle w:val="VerbatimChar"/>
          <w:lang w:val="fr-FR"/>
        </w:rPr>
        <w:t>P2_a_pour_type (est_le_type_de)</w:t>
      </w:r>
      <w:r w:rsidRPr="1B9E7434">
        <w:rPr>
          <w:lang w:val="fr-FR"/>
        </w:rPr>
        <w:t>, cette propriété est une conséquence de la portée restreinte du CIDOC CRM dont le but n’est pas de documenter, sous une forme structurée, tout ce qui peut être énoncé à propos d’une entité. En effet, le formalisme du CIDOC CRM n’est pas considéré comme suffisant pour exprimer tout ce qui peut être dit.</w:t>
      </w:r>
    </w:p>
    <w:p w14:paraId="5828733E" w14:textId="77777777" w:rsidR="0084489F" w:rsidRDefault="00110FE6">
      <w:pPr>
        <w:pStyle w:val="BodyText"/>
      </w:pPr>
      <w:r>
        <w:t xml:space="preserve">Une bonne pratique nécessite l’utilisation de champs de notes distincts pour les différents aspects de la caractérisation d’une entité. La propriété </w:t>
      </w:r>
      <w:r>
        <w:rPr>
          <w:rStyle w:val="VerbatimChar"/>
        </w:rPr>
        <w:t>P3.1_has_type</w:t>
      </w:r>
      <w:r>
        <w:t xml:space="preserve">, qui a pour domaine la propriété </w:t>
      </w:r>
      <w:r>
        <w:rPr>
          <w:rStyle w:val="VerbatimChar"/>
        </w:rPr>
        <w:t>P3_has_note</w:t>
      </w:r>
      <w:r>
        <w:t>, permet la différenciation de notes spécifiques, par exemple « construction », « décoration », etc.</w:t>
      </w:r>
    </w:p>
    <w:p w14:paraId="22DA0045" w14:textId="77777777" w:rsidR="0084489F" w:rsidRDefault="00110FE6">
      <w:pPr>
        <w:pStyle w:val="BodyText"/>
      </w:pPr>
      <w:r>
        <w:rPr>
          <w:b/>
          <w:bCs/>
        </w:rPr>
        <w:t>Exemples</w:t>
      </w:r>
    </w:p>
    <w:p w14:paraId="20491C61" w14:textId="359AB108" w:rsidR="0084489F" w:rsidRDefault="00110FE6" w:rsidP="00806324">
      <w:pPr>
        <w:numPr>
          <w:ilvl w:val="0"/>
          <w:numId w:val="141"/>
        </w:numPr>
      </w:pPr>
      <w:r w:rsidRPr="1B9E7434">
        <w:rPr>
          <w:lang w:val="fr-FR"/>
        </w:rPr>
        <w:t>La tasse à café « OXCMS:1983.1.1 » (</w:t>
      </w:r>
      <w:r w:rsidRPr="1B9E7434">
        <w:rPr>
          <w:rStyle w:val="VerbatimChar"/>
          <w:lang w:val="fr-FR"/>
        </w:rPr>
        <w:t>E19_Objet_matériel</w:t>
      </w:r>
      <w:r w:rsidRPr="1B9E7434">
        <w:rPr>
          <w:lang w:val="fr-FR"/>
        </w:rPr>
        <w:t>) a pour note (</w:t>
      </w:r>
      <w:r w:rsidRPr="1B9E7434">
        <w:rPr>
          <w:rStyle w:val="VerbatimChar"/>
          <w:lang w:val="fr-FR"/>
        </w:rPr>
        <w:t>P3_a_pour_note</w:t>
      </w:r>
      <w:r w:rsidRPr="1B9E7434">
        <w:rPr>
          <w:lang w:val="fr-FR"/>
        </w:rPr>
        <w:t>) « ébréchée sur le bord de l’anse » (</w:t>
      </w:r>
      <w:r w:rsidRPr="1B9E7434">
        <w:rPr>
          <w:rStyle w:val="VerbatimChar"/>
          <w:lang w:val="fr-FR"/>
        </w:rPr>
        <w:t>E62_Chaîne_de_caractères</w:t>
      </w:r>
      <w:r w:rsidRPr="1B9E7434">
        <w:rPr>
          <w:lang w:val="fr-FR"/>
        </w:rPr>
        <w:t>) a pour type (</w:t>
      </w:r>
      <w:r w:rsidRPr="1B9E7434">
        <w:rPr>
          <w:rStyle w:val="VerbatimChar"/>
          <w:lang w:val="fr-FR"/>
        </w:rPr>
        <w:t>P2_a_pour_type</w:t>
      </w:r>
      <w:r w:rsidRPr="1B9E7434">
        <w:rPr>
          <w:lang w:val="fr-FR"/>
        </w:rPr>
        <w:t>) condition (</w:t>
      </w:r>
      <w:r w:rsidRPr="1B9E7434">
        <w:rPr>
          <w:rStyle w:val="VerbatimChar"/>
          <w:lang w:val="fr-FR"/>
        </w:rPr>
        <w:t>E55_Type</w:t>
      </w:r>
      <w:r w:rsidRPr="1B9E7434">
        <w:rPr>
          <w:lang w:val="fr-FR"/>
        </w:rPr>
        <w:t>) (fictif)</w:t>
      </w:r>
    </w:p>
    <w:p w14:paraId="2FD26964" w14:textId="77777777" w:rsidR="0084489F" w:rsidRDefault="00110FE6" w:rsidP="00F361B3">
      <w:pPr>
        <w:pStyle w:val="FirstParagraph"/>
        <w:keepNext/>
      </w:pPr>
      <w:r>
        <w:rPr>
          <w:b/>
          <w:bCs/>
        </w:rPr>
        <w:lastRenderedPageBreak/>
        <w:t>Logique</w:t>
      </w:r>
    </w:p>
    <w:p w14:paraId="3621E4FD" w14:textId="77777777" w:rsidR="0084489F" w:rsidRDefault="00110FE6" w:rsidP="00F361B3">
      <w:pPr>
        <w:pStyle w:val="BodyText"/>
        <w:keepNext/>
      </w:pPr>
      <w:r w:rsidRPr="1B9E7434">
        <w:rPr>
          <w:lang w:val="fr-FR"/>
        </w:rPr>
        <w:t>P3(x,y) ⇒ E1(x)</w:t>
      </w:r>
    </w:p>
    <w:p w14:paraId="4D5A9893" w14:textId="77777777" w:rsidR="0084489F" w:rsidRDefault="00110FE6" w:rsidP="00F361B3">
      <w:pPr>
        <w:pStyle w:val="BodyText"/>
        <w:keepNext/>
      </w:pPr>
      <w:r w:rsidRPr="1B9E7434">
        <w:rPr>
          <w:lang w:val="fr-FR"/>
        </w:rPr>
        <w:t>P3(x,y) ⇒ E62(y)</w:t>
      </w:r>
    </w:p>
    <w:p w14:paraId="279C1100" w14:textId="77777777" w:rsidR="0084489F" w:rsidRDefault="00110FE6">
      <w:pPr>
        <w:pStyle w:val="BodyText"/>
      </w:pPr>
      <w:r w:rsidRPr="1B9E7434">
        <w:rPr>
          <w:lang w:val="fr-FR"/>
        </w:rPr>
        <w:t>P3(x,y,z) ⇒ [P3(x,y) ∧ E55(z)]</w:t>
      </w:r>
    </w:p>
    <w:p w14:paraId="2944FF6C" w14:textId="77777777" w:rsidR="0084489F" w:rsidRDefault="00110FE6">
      <w:pPr>
        <w:pStyle w:val="BodyText"/>
      </w:pPr>
      <w:r>
        <w:rPr>
          <w:b/>
          <w:bCs/>
        </w:rPr>
        <w:t>Propriétés</w:t>
      </w:r>
    </w:p>
    <w:p w14:paraId="5707A494" w14:textId="77777777" w:rsidR="0084489F" w:rsidRDefault="00110FE6">
      <w:pPr>
        <w:pStyle w:val="BodyText"/>
      </w:pPr>
      <w:r>
        <w:rPr>
          <w:rStyle w:val="VerbatimChar"/>
        </w:rPr>
        <w:t>P3.1_a_pour_type</w:t>
      </w:r>
      <w:r>
        <w:t xml:space="preserve"> : </w:t>
      </w:r>
      <w:r>
        <w:rPr>
          <w:rStyle w:val="VerbatimChar"/>
        </w:rPr>
        <w:t>E55_Type</w:t>
      </w:r>
    </w:p>
    <w:p w14:paraId="5B41B381" w14:textId="77777777" w:rsidR="0084489F" w:rsidRDefault="00110FE6">
      <w:pPr>
        <w:pStyle w:val="BlockText"/>
      </w:pPr>
      <w:r>
        <w:rPr>
          <w:b/>
          <w:bCs/>
          <w:i/>
          <w:iCs/>
        </w:rPr>
        <w:t>Note de traduction</w:t>
      </w:r>
    </w:p>
    <w:p w14:paraId="029051BB" w14:textId="77777777" w:rsidR="0084489F" w:rsidRDefault="00110FE6">
      <w:pPr>
        <w:pStyle w:val="BlockText"/>
      </w:pPr>
      <w:r>
        <w:rPr>
          <w:b/>
          <w:bCs/>
          <w:i/>
          <w:iCs/>
        </w:rPr>
        <w:t>Références</w:t>
      </w:r>
    </w:p>
    <w:p w14:paraId="759C1BB1" w14:textId="77777777" w:rsidR="0084489F" w:rsidRDefault="0084489F">
      <w:pPr>
        <w:pStyle w:val="BlockText"/>
      </w:pPr>
    </w:p>
    <w:p w14:paraId="00DF4E51" w14:textId="77777777" w:rsidR="0084489F" w:rsidRDefault="00110FE6">
      <w:pPr>
        <w:pStyle w:val="Heading2"/>
      </w:pPr>
      <w:bookmarkStart w:id="280" w:name="_Toc176864520"/>
      <w:bookmarkStart w:id="281" w:name="X35d63bc91b549d2cf3f893e1e9a03d301bedc27"/>
      <w:bookmarkEnd w:id="279"/>
      <w:r>
        <w:t>P4 a pour intervalle temporel (est l’intervalle temporel de)</w:t>
      </w:r>
      <w:bookmarkEnd w:id="280"/>
    </w:p>
    <w:p w14:paraId="11CC2AF5" w14:textId="77777777" w:rsidR="0084489F" w:rsidRDefault="00110FE6">
      <w:pPr>
        <w:pStyle w:val="FirstParagraph"/>
      </w:pPr>
      <w:r>
        <w:rPr>
          <w:b/>
          <w:bCs/>
        </w:rPr>
        <w:t>Domaine</w:t>
      </w:r>
    </w:p>
    <w:p w14:paraId="6098AEF4" w14:textId="77777777" w:rsidR="0084489F" w:rsidRDefault="00110FE6">
      <w:pPr>
        <w:pStyle w:val="BodyText"/>
      </w:pPr>
      <w:r>
        <w:rPr>
          <w:rStyle w:val="VerbatimChar"/>
        </w:rPr>
        <w:t>E2_Entité_temporelle</w:t>
      </w:r>
    </w:p>
    <w:p w14:paraId="5C7CA396" w14:textId="77777777" w:rsidR="0084489F" w:rsidRDefault="00110FE6">
      <w:pPr>
        <w:pStyle w:val="BodyText"/>
      </w:pPr>
      <w:r>
        <w:rPr>
          <w:b/>
          <w:bCs/>
        </w:rPr>
        <w:t>Portée</w:t>
      </w:r>
    </w:p>
    <w:p w14:paraId="349CAB07" w14:textId="77777777" w:rsidR="0084489F" w:rsidRDefault="00110FE6">
      <w:pPr>
        <w:pStyle w:val="BodyText"/>
      </w:pPr>
      <w:r>
        <w:rPr>
          <w:rStyle w:val="VerbatimChar"/>
        </w:rPr>
        <w:t>E52_Intervalle_temporel</w:t>
      </w:r>
    </w:p>
    <w:p w14:paraId="7959F6D8" w14:textId="77777777" w:rsidR="0084489F" w:rsidRDefault="00110FE6">
      <w:pPr>
        <w:pStyle w:val="BodyText"/>
      </w:pPr>
      <w:r>
        <w:rPr>
          <w:b/>
          <w:bCs/>
        </w:rPr>
        <w:t>Sous-propriété de</w:t>
      </w:r>
    </w:p>
    <w:p w14:paraId="0B5FAB5E" w14:textId="77777777" w:rsidR="0084489F" w:rsidRDefault="00110FE6">
      <w:pPr>
        <w:pStyle w:val="BodyText"/>
      </w:pPr>
      <w:r>
        <w:rPr>
          <w:b/>
          <w:bCs/>
        </w:rPr>
        <w:t>Super-propriété de</w:t>
      </w:r>
    </w:p>
    <w:p w14:paraId="703DE207" w14:textId="77777777" w:rsidR="0084489F" w:rsidRDefault="00110FE6">
      <w:pPr>
        <w:pStyle w:val="BodyText"/>
      </w:pPr>
      <w:r>
        <w:rPr>
          <w:b/>
          <w:bCs/>
        </w:rPr>
        <w:t>Quantification</w:t>
      </w:r>
    </w:p>
    <w:p w14:paraId="11151F2E" w14:textId="77777777" w:rsidR="0084489F" w:rsidRDefault="00110FE6">
      <w:pPr>
        <w:pStyle w:val="BodyText"/>
      </w:pPr>
      <w:r w:rsidRPr="1B9E7434">
        <w:rPr>
          <w:lang w:val="fr-FR"/>
        </w:rPr>
        <w:t>plusieurs à un, nécessaire (1,1:0,n)</w:t>
      </w:r>
    </w:p>
    <w:p w14:paraId="7259EC45" w14:textId="77777777" w:rsidR="0084489F" w:rsidRDefault="00110FE6">
      <w:pPr>
        <w:pStyle w:val="BodyText"/>
      </w:pPr>
      <w:r>
        <w:rPr>
          <w:b/>
          <w:bCs/>
        </w:rPr>
        <w:t>Note d’application</w:t>
      </w:r>
    </w:p>
    <w:p w14:paraId="7EC9F49F" w14:textId="77777777" w:rsidR="0084489F" w:rsidRDefault="00110FE6">
      <w:pPr>
        <w:pStyle w:val="BodyText"/>
      </w:pPr>
      <w:r>
        <w:t xml:space="preserve">Cette propriété associe une instance de </w:t>
      </w:r>
      <w:r>
        <w:rPr>
          <w:rStyle w:val="VerbatimChar"/>
        </w:rPr>
        <w:t>E2_Entité_temporelle</w:t>
      </w:r>
      <w:r>
        <w:t xml:space="preserve"> à l’instance de </w:t>
      </w:r>
      <w:r>
        <w:rPr>
          <w:rStyle w:val="VerbatimChar"/>
        </w:rPr>
        <w:t>E52_Intervalle_temporel</w:t>
      </w:r>
      <w:r>
        <w:t xml:space="preserve"> durant laquelle elle était en cours. L’instance de </w:t>
      </w:r>
      <w:r>
        <w:rPr>
          <w:rStyle w:val="VerbatimChar"/>
        </w:rPr>
        <w:t>E52_Intervalle_temporel</w:t>
      </w:r>
      <w:r>
        <w:t xml:space="preserve"> associée est comprise comme l’intervalle temporel réel durant lequel les phénomènes constituant l’instance de </w:t>
      </w:r>
      <w:r>
        <w:rPr>
          <w:rStyle w:val="VerbatimChar"/>
        </w:rPr>
        <w:t>E2_Entité_temporelle</w:t>
      </w:r>
      <w:r>
        <w:t xml:space="preserve"> étaient actifs. Plus d’une instance de </w:t>
      </w:r>
      <w:r>
        <w:rPr>
          <w:rStyle w:val="VerbatimChar"/>
        </w:rPr>
        <w:t>E2_Entité_temporelle</w:t>
      </w:r>
      <w:r>
        <w:t xml:space="preserve"> peut partager une même instance de </w:t>
      </w:r>
      <w:r>
        <w:rPr>
          <w:rStyle w:val="VerbatimChar"/>
        </w:rPr>
        <w:t>E52_Intervalle_temporel</w:t>
      </w:r>
      <w:r>
        <w:t>, mais uniquement si elles commencent et se terminent à cause de déclarations ou d’évènements identiques.</w:t>
      </w:r>
    </w:p>
    <w:p w14:paraId="24BA64C9" w14:textId="77777777" w:rsidR="0084489F" w:rsidRDefault="00110FE6">
      <w:pPr>
        <w:pStyle w:val="BodyText"/>
      </w:pPr>
      <w:r>
        <w:rPr>
          <w:b/>
          <w:bCs/>
        </w:rPr>
        <w:t>Exemples</w:t>
      </w:r>
    </w:p>
    <w:p w14:paraId="1DB93196" w14:textId="18517521" w:rsidR="0084489F" w:rsidRDefault="00110FE6" w:rsidP="00806324">
      <w:pPr>
        <w:numPr>
          <w:ilvl w:val="0"/>
          <w:numId w:val="142"/>
        </w:numPr>
      </w:pPr>
      <w:r w:rsidRPr="1B9E7434">
        <w:rPr>
          <w:lang w:val="fr-FR"/>
        </w:rPr>
        <w:t>La Conférence de Yalta (</w:t>
      </w:r>
      <w:r w:rsidRPr="1B9E7434">
        <w:rPr>
          <w:rStyle w:val="VerbatimChar"/>
          <w:lang w:val="fr-FR"/>
        </w:rPr>
        <w:t>E7_Activité</w:t>
      </w:r>
      <w:r w:rsidRPr="1B9E7434">
        <w:rPr>
          <w:lang w:val="fr-FR"/>
        </w:rPr>
        <w:t>) a pour intervalle temporel (</w:t>
      </w:r>
      <w:r w:rsidRPr="1B9E7434">
        <w:rPr>
          <w:rStyle w:val="VerbatimChar"/>
          <w:lang w:val="fr-FR"/>
        </w:rPr>
        <w:t>P4_a_pour_intervalle_temporel</w:t>
      </w:r>
      <w:r w:rsidRPr="1B9E7434">
        <w:rPr>
          <w:lang w:val="fr-FR"/>
        </w:rPr>
        <w:t>) l’intervalle temporel de la Conférence de Yalta (</w:t>
      </w:r>
      <w:r w:rsidRPr="1B9E7434">
        <w:rPr>
          <w:rStyle w:val="VerbatimChar"/>
          <w:lang w:val="fr-FR"/>
        </w:rPr>
        <w:t>E52_Intervalle_temporel</w:t>
      </w:r>
      <w:r w:rsidRPr="1B9E7434">
        <w:rPr>
          <w:lang w:val="fr-FR"/>
        </w:rPr>
        <w:t>) (Harbutt, 2010)</w:t>
      </w:r>
    </w:p>
    <w:p w14:paraId="64B014AB" w14:textId="77777777" w:rsidR="0084489F" w:rsidRDefault="00110FE6">
      <w:pPr>
        <w:pStyle w:val="FirstParagraph"/>
      </w:pPr>
      <w:r>
        <w:rPr>
          <w:b/>
          <w:bCs/>
        </w:rPr>
        <w:t>Logique</w:t>
      </w:r>
    </w:p>
    <w:p w14:paraId="5215C168" w14:textId="77777777" w:rsidR="0084489F" w:rsidRDefault="00110FE6">
      <w:pPr>
        <w:pStyle w:val="BodyText"/>
      </w:pPr>
      <w:r w:rsidRPr="1B9E7434">
        <w:rPr>
          <w:lang w:val="fr-FR"/>
        </w:rPr>
        <w:t>P4(x,y) ⇒ E2(x)</w:t>
      </w:r>
    </w:p>
    <w:p w14:paraId="27A99218" w14:textId="77777777" w:rsidR="0084489F" w:rsidRDefault="00110FE6">
      <w:pPr>
        <w:pStyle w:val="BodyText"/>
      </w:pPr>
      <w:r w:rsidRPr="1B9E7434">
        <w:rPr>
          <w:lang w:val="fr-FR"/>
        </w:rPr>
        <w:t>P4(x,y) ⇒ E52(y)</w:t>
      </w:r>
    </w:p>
    <w:p w14:paraId="2F5657FE" w14:textId="77777777" w:rsidR="0084489F" w:rsidRDefault="00110FE6">
      <w:pPr>
        <w:pStyle w:val="BodyText"/>
      </w:pPr>
      <w:r>
        <w:rPr>
          <w:b/>
          <w:bCs/>
        </w:rPr>
        <w:t>Propriétés</w:t>
      </w:r>
    </w:p>
    <w:p w14:paraId="1E7A8ABC" w14:textId="77777777" w:rsidR="0084489F" w:rsidRDefault="00110FE6">
      <w:pPr>
        <w:pStyle w:val="BlockText"/>
      </w:pPr>
      <w:r>
        <w:rPr>
          <w:b/>
          <w:bCs/>
          <w:i/>
          <w:iCs/>
        </w:rPr>
        <w:t>Note de traduction</w:t>
      </w:r>
    </w:p>
    <w:p w14:paraId="5E291182" w14:textId="77777777" w:rsidR="0084489F" w:rsidRDefault="00110FE6">
      <w:pPr>
        <w:pStyle w:val="BlockText"/>
      </w:pPr>
      <w:r>
        <w:rPr>
          <w:b/>
          <w:bCs/>
          <w:i/>
          <w:iCs/>
        </w:rPr>
        <w:lastRenderedPageBreak/>
        <w:t>Références</w:t>
      </w:r>
    </w:p>
    <w:p w14:paraId="68917F71" w14:textId="77777777" w:rsidR="0084489F" w:rsidRDefault="0084489F">
      <w:pPr>
        <w:pStyle w:val="BlockText"/>
      </w:pPr>
    </w:p>
    <w:p w14:paraId="30D2FC60" w14:textId="77777777" w:rsidR="0084489F" w:rsidRDefault="00110FE6">
      <w:pPr>
        <w:pStyle w:val="Heading2"/>
      </w:pPr>
      <w:bookmarkStart w:id="282" w:name="_Toc176864521"/>
      <w:bookmarkStart w:id="283" w:name="p5-comprend-(fait-partie-de)"/>
      <w:bookmarkEnd w:id="281"/>
      <w:r>
        <w:t>P5 comprend (fait partie de)</w:t>
      </w:r>
      <w:bookmarkEnd w:id="282"/>
    </w:p>
    <w:p w14:paraId="2928BF0D" w14:textId="77777777" w:rsidR="0084489F" w:rsidRDefault="00110FE6">
      <w:pPr>
        <w:pStyle w:val="FirstParagraph"/>
      </w:pPr>
      <w:r>
        <w:rPr>
          <w:b/>
          <w:bCs/>
        </w:rPr>
        <w:t>Domaine</w:t>
      </w:r>
    </w:p>
    <w:p w14:paraId="1B3616D7" w14:textId="77777777" w:rsidR="0084489F" w:rsidRDefault="00110FE6">
      <w:pPr>
        <w:pStyle w:val="BodyText"/>
      </w:pPr>
      <w:r>
        <w:rPr>
          <w:rStyle w:val="VerbatimChar"/>
        </w:rPr>
        <w:t>E3_État_matériel</w:t>
      </w:r>
    </w:p>
    <w:p w14:paraId="0516E3AA" w14:textId="77777777" w:rsidR="0084489F" w:rsidRDefault="00110FE6">
      <w:pPr>
        <w:pStyle w:val="BodyText"/>
      </w:pPr>
      <w:r>
        <w:rPr>
          <w:b/>
          <w:bCs/>
        </w:rPr>
        <w:t>Portée</w:t>
      </w:r>
    </w:p>
    <w:p w14:paraId="5A28B504" w14:textId="77777777" w:rsidR="0084489F" w:rsidRDefault="00110FE6">
      <w:pPr>
        <w:pStyle w:val="BodyText"/>
      </w:pPr>
      <w:r>
        <w:rPr>
          <w:rStyle w:val="VerbatimChar"/>
        </w:rPr>
        <w:t>E3_État_matériel</w:t>
      </w:r>
    </w:p>
    <w:p w14:paraId="66B5467F" w14:textId="77777777" w:rsidR="0084489F" w:rsidRDefault="00110FE6">
      <w:pPr>
        <w:pStyle w:val="BodyText"/>
      </w:pPr>
      <w:r>
        <w:rPr>
          <w:b/>
          <w:bCs/>
        </w:rPr>
        <w:t>Sous-propriété de</w:t>
      </w:r>
    </w:p>
    <w:p w14:paraId="535E737E" w14:textId="77777777" w:rsidR="0084489F" w:rsidRDefault="00110FE6">
      <w:pPr>
        <w:pStyle w:val="BodyText"/>
      </w:pPr>
      <w:r>
        <w:rPr>
          <w:b/>
          <w:bCs/>
        </w:rPr>
        <w:t>Super-propriété de</w:t>
      </w:r>
    </w:p>
    <w:p w14:paraId="69817E31" w14:textId="77777777" w:rsidR="0084489F" w:rsidRDefault="00110FE6">
      <w:pPr>
        <w:pStyle w:val="BodyText"/>
      </w:pPr>
      <w:r>
        <w:rPr>
          <w:b/>
          <w:bCs/>
        </w:rPr>
        <w:t>Quantification</w:t>
      </w:r>
    </w:p>
    <w:p w14:paraId="27D2FA57" w14:textId="77777777" w:rsidR="0084489F" w:rsidRDefault="00110FE6">
      <w:pPr>
        <w:pStyle w:val="BodyText"/>
      </w:pPr>
      <w:r w:rsidRPr="1B9E7434">
        <w:rPr>
          <w:lang w:val="fr-FR"/>
        </w:rPr>
        <w:t>plusieurs à plusieurs (0,n:0,n)</w:t>
      </w:r>
    </w:p>
    <w:p w14:paraId="63DA9B98" w14:textId="77777777" w:rsidR="0084489F" w:rsidRDefault="00110FE6">
      <w:pPr>
        <w:pStyle w:val="BodyText"/>
      </w:pPr>
      <w:r>
        <w:rPr>
          <w:b/>
          <w:bCs/>
        </w:rPr>
        <w:t>Note d’application</w:t>
      </w:r>
    </w:p>
    <w:p w14:paraId="548FF4B4" w14:textId="77777777" w:rsidR="0084489F" w:rsidRDefault="00110FE6">
      <w:pPr>
        <w:pStyle w:val="BodyText"/>
      </w:pPr>
      <w:r>
        <w:t xml:space="preserve">Cette propriété décrit la décomposition d’une instance de </w:t>
      </w:r>
      <w:r>
        <w:rPr>
          <w:rStyle w:val="VerbatimChar"/>
        </w:rPr>
        <w:t>E3_État_matériel</w:t>
      </w:r>
      <w:r>
        <w:t xml:space="preserve"> en des états discrets et auxiliaires.</w:t>
      </w:r>
    </w:p>
    <w:p w14:paraId="31AB791B" w14:textId="77777777" w:rsidR="0084489F" w:rsidRDefault="00110FE6">
      <w:pPr>
        <w:pStyle w:val="BodyText"/>
      </w:pPr>
      <w:r>
        <w:t>On suppose que les sous-états dans lesquels l’état matériel est analysé forment un tout logique – bien que l’ensemble de ces sous-états puisse ne pas être complètement connu – et que ceux-ci sont en fait constitutifs de l’état matériel général. Par exemple, un état matériel général « en ruines » peut être décomposé en stades de décomposition individuels.</w:t>
      </w:r>
    </w:p>
    <w:p w14:paraId="1A51C0E0" w14:textId="77777777" w:rsidR="0084489F" w:rsidRDefault="00110FE6">
      <w:pPr>
        <w:pStyle w:val="BodyText"/>
      </w:pPr>
      <w:r>
        <w:t>Cette propriété est transitive et asymétrique.</w:t>
      </w:r>
    </w:p>
    <w:p w14:paraId="4D611077" w14:textId="77777777" w:rsidR="0084489F" w:rsidRDefault="00110FE6">
      <w:pPr>
        <w:pStyle w:val="BodyText"/>
      </w:pPr>
      <w:r>
        <w:rPr>
          <w:b/>
          <w:bCs/>
        </w:rPr>
        <w:t>Exemples</w:t>
      </w:r>
    </w:p>
    <w:p w14:paraId="1FC17CD3" w14:textId="77777777" w:rsidR="0084489F" w:rsidRDefault="00110FE6" w:rsidP="00806324">
      <w:pPr>
        <w:numPr>
          <w:ilvl w:val="0"/>
          <w:numId w:val="143"/>
        </w:numPr>
      </w:pPr>
      <w:r>
        <w:t>L’état matériel des ruines du Parthénon (</w:t>
      </w:r>
      <w:r>
        <w:rPr>
          <w:rStyle w:val="VerbatimChar"/>
        </w:rPr>
        <w:t>E3_État_matériel</w:t>
      </w:r>
      <w:r>
        <w:t>) comprend (</w:t>
      </w:r>
      <w:r>
        <w:rPr>
          <w:rStyle w:val="VerbatimChar"/>
        </w:rPr>
        <w:t>P5_comprend</w:t>
      </w:r>
      <w:r>
        <w:t>) l’état « bombardé » à la suite de l’explosion d’un obus vénitien en 1687 (</w:t>
      </w:r>
      <w:r>
        <w:rPr>
          <w:rStyle w:val="VerbatimChar"/>
        </w:rPr>
        <w:t>E3_État_matériel</w:t>
      </w:r>
      <w:r>
        <w:t>) (Mommsen, 1941)</w:t>
      </w:r>
    </w:p>
    <w:p w14:paraId="5CDE6B17" w14:textId="77777777" w:rsidR="0084489F" w:rsidRDefault="00110FE6">
      <w:pPr>
        <w:pStyle w:val="FirstParagraph"/>
      </w:pPr>
      <w:r>
        <w:rPr>
          <w:b/>
          <w:bCs/>
        </w:rPr>
        <w:t>Logique</w:t>
      </w:r>
    </w:p>
    <w:p w14:paraId="5BBF3349" w14:textId="77777777" w:rsidR="0084489F" w:rsidRDefault="00110FE6">
      <w:pPr>
        <w:pStyle w:val="BodyText"/>
      </w:pPr>
      <w:r w:rsidRPr="1B9E7434">
        <w:rPr>
          <w:lang w:val="fr-FR"/>
        </w:rPr>
        <w:t>P5(x,y) ⇒ E3(x)</w:t>
      </w:r>
    </w:p>
    <w:p w14:paraId="511F60DE" w14:textId="77777777" w:rsidR="0084489F" w:rsidRDefault="00110FE6">
      <w:pPr>
        <w:pStyle w:val="BodyText"/>
      </w:pPr>
      <w:r w:rsidRPr="1B9E7434">
        <w:rPr>
          <w:lang w:val="fr-FR"/>
        </w:rPr>
        <w:t>P5(x,y) ⇒ E3(y)</w:t>
      </w:r>
    </w:p>
    <w:p w14:paraId="3BD40D53" w14:textId="77777777" w:rsidR="0084489F" w:rsidRDefault="00110FE6">
      <w:pPr>
        <w:pStyle w:val="BodyText"/>
      </w:pPr>
      <w:r w:rsidRPr="1B9E7434">
        <w:rPr>
          <w:lang w:val="fr-FR"/>
        </w:rPr>
        <w:t>[P5(x,y) ∧ P5(y,z)] ⇒ P5(x,z)</w:t>
      </w:r>
    </w:p>
    <w:p w14:paraId="510FF97A" w14:textId="77777777" w:rsidR="0084489F" w:rsidRDefault="00110FE6">
      <w:pPr>
        <w:pStyle w:val="BodyText"/>
      </w:pPr>
      <w:r w:rsidRPr="1B9E7434">
        <w:rPr>
          <w:lang w:val="fr-FR"/>
        </w:rPr>
        <w:t>P5(x,y) ⇒ ¬P5(y,x)</w:t>
      </w:r>
    </w:p>
    <w:p w14:paraId="6CE28C5E" w14:textId="77777777" w:rsidR="0084489F" w:rsidRDefault="00110FE6">
      <w:pPr>
        <w:pStyle w:val="BodyText"/>
      </w:pPr>
      <w:r>
        <w:rPr>
          <w:b/>
          <w:bCs/>
        </w:rPr>
        <w:t>Propriétés</w:t>
      </w:r>
    </w:p>
    <w:p w14:paraId="4A2FE430" w14:textId="77777777" w:rsidR="0084489F" w:rsidRDefault="00110FE6">
      <w:pPr>
        <w:pStyle w:val="BlockText"/>
      </w:pPr>
      <w:r>
        <w:rPr>
          <w:b/>
          <w:bCs/>
          <w:i/>
          <w:iCs/>
        </w:rPr>
        <w:t>Note de traduction</w:t>
      </w:r>
    </w:p>
    <w:p w14:paraId="2A51F0F6" w14:textId="77777777" w:rsidR="0084489F" w:rsidRDefault="00110FE6">
      <w:pPr>
        <w:pStyle w:val="BlockText"/>
      </w:pPr>
      <w:r>
        <w:rPr>
          <w:b/>
          <w:bCs/>
          <w:i/>
          <w:iCs/>
        </w:rPr>
        <w:t>Références</w:t>
      </w:r>
    </w:p>
    <w:p w14:paraId="2495D9F2" w14:textId="77777777" w:rsidR="0084489F" w:rsidRDefault="0084489F">
      <w:pPr>
        <w:pStyle w:val="BlockText"/>
      </w:pPr>
    </w:p>
    <w:p w14:paraId="23D6E4D2" w14:textId="77777777" w:rsidR="0084489F" w:rsidRDefault="00110FE6" w:rsidP="00F361B3">
      <w:pPr>
        <w:pStyle w:val="Heading2"/>
      </w:pPr>
      <w:bookmarkStart w:id="284" w:name="_Toc176864522"/>
      <w:bookmarkStart w:id="285" w:name="p7-a-eu-lieu-dans-(a-ete-temoin-de)"/>
      <w:bookmarkEnd w:id="283"/>
      <w:r>
        <w:lastRenderedPageBreak/>
        <w:t>P7 a eu lieu dans (a été témoin de)</w:t>
      </w:r>
      <w:bookmarkEnd w:id="284"/>
    </w:p>
    <w:p w14:paraId="0614FFD8" w14:textId="77777777" w:rsidR="0084489F" w:rsidRDefault="00110FE6" w:rsidP="00F361B3">
      <w:pPr>
        <w:pStyle w:val="FirstParagraph"/>
        <w:keepNext/>
        <w:keepLines/>
      </w:pPr>
      <w:r>
        <w:rPr>
          <w:b/>
          <w:bCs/>
        </w:rPr>
        <w:t>Domaine</w:t>
      </w:r>
    </w:p>
    <w:p w14:paraId="6EA7B3BE" w14:textId="77777777" w:rsidR="0084489F" w:rsidRDefault="00110FE6" w:rsidP="00F361B3">
      <w:pPr>
        <w:pStyle w:val="BodyText"/>
        <w:keepNext/>
        <w:keepLines/>
      </w:pPr>
      <w:r>
        <w:rPr>
          <w:rStyle w:val="VerbatimChar"/>
        </w:rPr>
        <w:t>E4_Période</w:t>
      </w:r>
    </w:p>
    <w:p w14:paraId="32A77BA8" w14:textId="77777777" w:rsidR="0084489F" w:rsidRDefault="00110FE6">
      <w:pPr>
        <w:pStyle w:val="BodyText"/>
      </w:pPr>
      <w:r>
        <w:rPr>
          <w:b/>
          <w:bCs/>
        </w:rPr>
        <w:t>Portée</w:t>
      </w:r>
    </w:p>
    <w:p w14:paraId="5E3FAAC8" w14:textId="77777777" w:rsidR="0084489F" w:rsidRDefault="00110FE6">
      <w:pPr>
        <w:pStyle w:val="BodyText"/>
      </w:pPr>
      <w:r>
        <w:rPr>
          <w:rStyle w:val="VerbatimChar"/>
        </w:rPr>
        <w:t>E53_Lieu</w:t>
      </w:r>
    </w:p>
    <w:p w14:paraId="4B8790D3" w14:textId="77777777" w:rsidR="0084489F" w:rsidRDefault="00110FE6">
      <w:pPr>
        <w:pStyle w:val="BodyText"/>
      </w:pPr>
      <w:r>
        <w:rPr>
          <w:b/>
          <w:bCs/>
        </w:rPr>
        <w:t>Sous-propriété de</w:t>
      </w:r>
    </w:p>
    <w:p w14:paraId="2ACBC426" w14:textId="77777777" w:rsidR="0084489F" w:rsidRDefault="00110FE6">
      <w:pPr>
        <w:pStyle w:val="BodyText"/>
      </w:pPr>
      <w:r>
        <w:rPr>
          <w:b/>
          <w:bCs/>
        </w:rPr>
        <w:t>Super-propriété de</w:t>
      </w:r>
    </w:p>
    <w:p w14:paraId="6630A2F2" w14:textId="77777777" w:rsidR="0084489F" w:rsidRDefault="00110FE6">
      <w:pPr>
        <w:pStyle w:val="BodyText"/>
      </w:pPr>
      <w:r>
        <w:rPr>
          <w:b/>
          <w:bCs/>
        </w:rPr>
        <w:t>Quantification</w:t>
      </w:r>
    </w:p>
    <w:p w14:paraId="72E80024" w14:textId="77777777" w:rsidR="0084489F" w:rsidRDefault="00110FE6">
      <w:pPr>
        <w:pStyle w:val="BodyText"/>
      </w:pPr>
      <w:r w:rsidRPr="1B9E7434">
        <w:rPr>
          <w:lang w:val="fr-FR"/>
        </w:rPr>
        <w:t>plusieurs à plusieurs, nécessaire (1,n:0,n)</w:t>
      </w:r>
    </w:p>
    <w:p w14:paraId="495A6A4D" w14:textId="77777777" w:rsidR="0084489F" w:rsidRDefault="00110FE6">
      <w:pPr>
        <w:pStyle w:val="BodyText"/>
      </w:pPr>
      <w:r>
        <w:rPr>
          <w:b/>
          <w:bCs/>
        </w:rPr>
        <w:t>Note d’application</w:t>
      </w:r>
    </w:p>
    <w:p w14:paraId="2CACE451" w14:textId="77777777" w:rsidR="0084489F" w:rsidRDefault="00110FE6">
      <w:pPr>
        <w:pStyle w:val="BodyText"/>
      </w:pPr>
      <w:r>
        <w:t xml:space="preserve">Cette propriété décrit la localisation spatiale d’une instance de </w:t>
      </w:r>
      <w:r>
        <w:rPr>
          <w:rStyle w:val="VerbatimChar"/>
        </w:rPr>
        <w:t>E4_Période</w:t>
      </w:r>
      <w:r>
        <w:t>.</w:t>
      </w:r>
    </w:p>
    <w:p w14:paraId="7FBFB0D1" w14:textId="77777777" w:rsidR="0084489F" w:rsidRDefault="00110FE6">
      <w:pPr>
        <w:pStyle w:val="BodyText"/>
      </w:pPr>
      <w:r>
        <w:t xml:space="preserve">L’instance de </w:t>
      </w:r>
      <w:r>
        <w:rPr>
          <w:rStyle w:val="VerbatimChar"/>
        </w:rPr>
        <w:t>E53_Lieu</w:t>
      </w:r>
      <w:r>
        <w:t xml:space="preserve"> à laquelle la propriété est liée doit être considérée comme une approximation plus large de l’étendue géométrique dans laquelle les phénomènes qui caractérisent la période en question se sont produits. Voir ci-dessous.</w:t>
      </w:r>
    </w:p>
    <w:p w14:paraId="77EF475F" w14:textId="77777777" w:rsidR="0084489F" w:rsidRDefault="00110FE6">
      <w:pPr>
        <w:pStyle w:val="BodyText"/>
      </w:pPr>
      <w:r w:rsidRPr="1B9E7434">
        <w:rPr>
          <w:rStyle w:val="VerbatimChar"/>
          <w:lang w:val="fr-FR"/>
        </w:rPr>
        <w:t>P7_a_eu_lieu_dans (a_été_témoin_de)</w:t>
      </w:r>
      <w:r w:rsidRPr="1B9E7434">
        <w:rPr>
          <w:lang w:val="fr-FR"/>
        </w:rPr>
        <w:t xml:space="preserve"> ne véhicule aucune autre signification que le positionnement spatial d’une instance de </w:t>
      </w:r>
      <w:r w:rsidRPr="1B9E7434">
        <w:rPr>
          <w:rStyle w:val="VerbatimChar"/>
          <w:lang w:val="fr-FR"/>
        </w:rPr>
        <w:t>E4_Période</w:t>
      </w:r>
      <w:r w:rsidRPr="1B9E7434">
        <w:rPr>
          <w:lang w:val="fr-FR"/>
        </w:rPr>
        <w:t xml:space="preserve"> (souvent à la surface de la terre). Par exemple, on peut dire que la période « Révolution française » a eu lieu en « France en 1789 ». On peut aussi dire que l’époque « victorienne » a eu lieu en « Grande-Bretagne de 1837 à 1901 », mais aussi dans ses colonies ainsi que d’autres parties de l’Europe et de l’Amérique du Nord. Une instance de </w:t>
      </w:r>
      <w:r w:rsidRPr="1B9E7434">
        <w:rPr>
          <w:rStyle w:val="VerbatimChar"/>
          <w:lang w:val="fr-FR"/>
        </w:rPr>
        <w:t>E4_Période</w:t>
      </w:r>
      <w:r w:rsidRPr="1B9E7434">
        <w:rPr>
          <w:lang w:val="fr-FR"/>
        </w:rPr>
        <w:t xml:space="preserve"> peut avoir lieu dans plusieurs localisations qui ne sont ni adjacentes ni se chevauchent.</w:t>
      </w:r>
    </w:p>
    <w:p w14:paraId="3191F4AF" w14:textId="77777777" w:rsidR="0084489F" w:rsidRDefault="00110FE6">
      <w:pPr>
        <w:pStyle w:val="BodyText"/>
      </w:pPr>
      <w:r>
        <w:t>Tout lieu où un évènement s'est produit comprend la projection spatiale de cet évènement sous forme de système de référence géométrique. Par exemple, le HMS Victory, en tant que lieu du décès de Lord Nelson, comprend le lieu de son corps par rapport à la coque à ce moment, ce lieu étant la localisation la plus précise de sa mort.</w:t>
      </w:r>
    </w:p>
    <w:p w14:paraId="4764AA13" w14:textId="77777777" w:rsidR="0084489F" w:rsidRDefault="00110FE6">
      <w:pPr>
        <w:pStyle w:val="BodyText"/>
      </w:pPr>
      <w:r w:rsidRPr="1B9E7434">
        <w:rPr>
          <w:lang w:val="fr-FR"/>
        </w:rPr>
        <w:t xml:space="preserve">Selon la définition de </w:t>
      </w:r>
      <w:r w:rsidRPr="1B9E7434">
        <w:rPr>
          <w:rStyle w:val="VerbatimChar"/>
          <w:lang w:val="fr-FR"/>
        </w:rPr>
        <w:t>P161_a_pour_projection_spatiale (est_la_projection_spatiale_de)</w:t>
      </w:r>
      <w:r w:rsidRPr="1B9E7434">
        <w:rPr>
          <w:lang w:val="fr-FR"/>
        </w:rPr>
        <w:t xml:space="preserve">, une instance de </w:t>
      </w:r>
      <w:r w:rsidRPr="1B9E7434">
        <w:rPr>
          <w:rStyle w:val="VerbatimChar"/>
          <w:lang w:val="fr-FR"/>
        </w:rPr>
        <w:t>E4_Période</w:t>
      </w:r>
      <w:r w:rsidRPr="1B9E7434">
        <w:rPr>
          <w:lang w:val="fr-FR"/>
        </w:rPr>
        <w:t xml:space="preserve"> a lieu sur toutes ses projections spatiales dans leurs systèmes de référence respectifs, c.-à-d. sur des instances de </w:t>
      </w:r>
      <w:r w:rsidRPr="1B9E7434">
        <w:rPr>
          <w:rStyle w:val="VerbatimChar"/>
          <w:lang w:val="fr-FR"/>
        </w:rPr>
        <w:t>E53_Lieu</w:t>
      </w:r>
      <w:r w:rsidRPr="1B9E7434">
        <w:rPr>
          <w:lang w:val="fr-FR"/>
        </w:rPr>
        <w:t xml:space="preserve">. Cette propriété implique donc le chemin sémantique suivant: </w:t>
      </w:r>
      <w:r w:rsidRPr="1B9E7434">
        <w:rPr>
          <w:rStyle w:val="VerbatimChar"/>
          <w:lang w:val="fr-FR"/>
        </w:rPr>
        <w:t>E4_Période</w:t>
      </w:r>
      <w:r w:rsidRPr="1B9E7434">
        <w:rPr>
          <w:lang w:val="fr-FR"/>
        </w:rPr>
        <w:t xml:space="preserve">, </w:t>
      </w:r>
      <w:r w:rsidRPr="1B9E7434">
        <w:rPr>
          <w:rStyle w:val="VerbatimChar"/>
          <w:lang w:val="fr-FR"/>
        </w:rPr>
        <w:t>P161_a_pour_projection_spatiale (est_la_projection_spatiale_de)</w:t>
      </w:r>
      <w:r w:rsidRPr="1B9E7434">
        <w:rPr>
          <w:lang w:val="fr-FR"/>
        </w:rPr>
        <w:t xml:space="preserve">, </w:t>
      </w:r>
      <w:r w:rsidRPr="1B9E7434">
        <w:rPr>
          <w:rStyle w:val="VerbatimChar"/>
          <w:lang w:val="fr-FR"/>
        </w:rPr>
        <w:t>E53_Lieu</w:t>
      </w:r>
      <w:r w:rsidRPr="1B9E7434">
        <w:rPr>
          <w:lang w:val="fr-FR"/>
        </w:rPr>
        <w:t xml:space="preserve">, </w:t>
      </w:r>
      <w:r w:rsidRPr="1B9E7434">
        <w:rPr>
          <w:rStyle w:val="VerbatimChar"/>
          <w:lang w:val="fr-FR"/>
        </w:rPr>
        <w:t>P89_s’insère_dans (contient)</w:t>
      </w:r>
      <w:r w:rsidRPr="1B9E7434">
        <w:rPr>
          <w:lang w:val="fr-FR"/>
        </w:rPr>
        <w:t xml:space="preserve">, </w:t>
      </w:r>
      <w:r w:rsidRPr="1B9E7434">
        <w:rPr>
          <w:rStyle w:val="VerbatimChar"/>
          <w:lang w:val="fr-FR"/>
        </w:rPr>
        <w:t>E53_Lieu</w:t>
      </w:r>
      <w:r w:rsidRPr="1B9E7434">
        <w:rPr>
          <w:lang w:val="fr-FR"/>
        </w:rPr>
        <w:t xml:space="preserve">, où les lieux sont définis dans un même système de référence géométrique. La relation entre une instance de </w:t>
      </w:r>
      <w:r w:rsidRPr="1B9E7434">
        <w:rPr>
          <w:rStyle w:val="VerbatimChar"/>
          <w:lang w:val="fr-FR"/>
        </w:rPr>
        <w:t>E53_Lieu</w:t>
      </w:r>
      <w:r w:rsidRPr="1B9E7434">
        <w:rPr>
          <w:lang w:val="fr-FR"/>
        </w:rPr>
        <w:t xml:space="preserve"> et son système de référence peut être documentée par le biais de la propriété </w:t>
      </w:r>
      <w:r w:rsidRPr="1B9E7434">
        <w:rPr>
          <w:rStyle w:val="VerbatimChar"/>
          <w:lang w:val="fr-FR"/>
        </w:rPr>
        <w:t>P157_est_à_l’arrêt_par_rapport_à (procure_l’espace_de_référence_pour)</w:t>
      </w:r>
      <w:r w:rsidRPr="1B9E7434">
        <w:rPr>
          <w:lang w:val="fr-FR"/>
        </w:rPr>
        <w:t>.</w:t>
      </w:r>
    </w:p>
    <w:p w14:paraId="7BDD8632" w14:textId="77777777" w:rsidR="0084489F" w:rsidRDefault="00110FE6">
      <w:pPr>
        <w:pStyle w:val="BodyText"/>
      </w:pPr>
      <w:r>
        <w:t>Un évènement qui se produit dans un lieu donné peut également être considéré comme se produisant dans un lieu plus restreint s'y trouvant. Par exemple, il est acceptable d'affirmer que l'assassinat de César a eu lieu à Rome autant que d'affirmer qu'il a eu lieu dans le Forum de Rome ou encore, plus précisément, dans la Curie. Il est habituel que différentes sources historiques aient des degrés de précision différents dans leurs affirmations sans qu'elles ne soient contradictoires pour autant. Cela peut être attribué à un manque de connaissance ou de pertinence de la précision dans le contexte de l'affirmation. L'affirmation la plus précise, lorsqu'il est question d'intégrer de l'information, contribue à l'avancement des connaissances générales.</w:t>
      </w:r>
    </w:p>
    <w:p w14:paraId="7C72308F" w14:textId="77777777" w:rsidR="0084489F" w:rsidRDefault="00110FE6">
      <w:pPr>
        <w:pStyle w:val="BodyText"/>
      </w:pPr>
      <w:r>
        <w:rPr>
          <w:b/>
          <w:bCs/>
        </w:rPr>
        <w:lastRenderedPageBreak/>
        <w:t>Exemples</w:t>
      </w:r>
    </w:p>
    <w:p w14:paraId="43BDDCA7" w14:textId="77777777" w:rsidR="0084489F" w:rsidRDefault="00110FE6" w:rsidP="00806324">
      <w:pPr>
        <w:numPr>
          <w:ilvl w:val="0"/>
          <w:numId w:val="144"/>
        </w:numPr>
      </w:pPr>
      <w:r>
        <w:t>La période « Révolution française » (</w:t>
      </w:r>
      <w:r>
        <w:rPr>
          <w:rStyle w:val="VerbatimChar"/>
        </w:rPr>
        <w:t>E4_Période</w:t>
      </w:r>
      <w:r>
        <w:t>) a eu lieu dans (</w:t>
      </w:r>
      <w:r>
        <w:rPr>
          <w:rStyle w:val="VerbatimChar"/>
        </w:rPr>
        <w:t>P7_a_eu_lieu_dans</w:t>
      </w:r>
      <w:r>
        <w:t>) la région couverte par la France en 1789 (</w:t>
      </w:r>
      <w:r>
        <w:rPr>
          <w:rStyle w:val="VerbatimChar"/>
        </w:rPr>
        <w:t>E53_Lieu</w:t>
      </w:r>
      <w:r>
        <w:t>) (Bertaud, 2004)</w:t>
      </w:r>
    </w:p>
    <w:p w14:paraId="65C6D280" w14:textId="77777777" w:rsidR="0084489F" w:rsidRDefault="00110FE6">
      <w:pPr>
        <w:pStyle w:val="FirstParagraph"/>
      </w:pPr>
      <w:r>
        <w:rPr>
          <w:b/>
          <w:bCs/>
        </w:rPr>
        <w:t>Logique</w:t>
      </w:r>
    </w:p>
    <w:p w14:paraId="17865E8E" w14:textId="77777777" w:rsidR="0084489F" w:rsidRDefault="00110FE6">
      <w:pPr>
        <w:pStyle w:val="BodyText"/>
      </w:pPr>
      <w:r w:rsidRPr="1B9E7434">
        <w:rPr>
          <w:lang w:val="fr-FR"/>
        </w:rPr>
        <w:t>P7(x,y) ⇒ E4(x)</w:t>
      </w:r>
    </w:p>
    <w:p w14:paraId="18E63033" w14:textId="77777777" w:rsidR="0084489F" w:rsidRDefault="00110FE6">
      <w:pPr>
        <w:pStyle w:val="BodyText"/>
      </w:pPr>
      <w:r w:rsidRPr="1B9E7434">
        <w:rPr>
          <w:lang w:val="fr-FR"/>
        </w:rPr>
        <w:t>P7(x,y) ⇒ E53(y)</w:t>
      </w:r>
    </w:p>
    <w:p w14:paraId="51D3DA5C" w14:textId="77777777" w:rsidR="0084489F" w:rsidRDefault="00110FE6">
      <w:pPr>
        <w:pStyle w:val="BodyText"/>
      </w:pPr>
      <w:r w:rsidRPr="1B9E7434">
        <w:rPr>
          <w:lang w:val="fr-FR"/>
        </w:rPr>
        <w:t>P7(x,y) ⇒ (∃z,u) [P157(y,u) ˄ P157(z,u) ˄ P161(x,z) ˄ P89(z,y)]</w:t>
      </w:r>
    </w:p>
    <w:p w14:paraId="476CE05A" w14:textId="77777777" w:rsidR="0084489F" w:rsidRDefault="00110FE6">
      <w:pPr>
        <w:pStyle w:val="BodyText"/>
      </w:pPr>
      <w:r w:rsidRPr="1B9E7434">
        <w:rPr>
          <w:lang w:val="fr-FR"/>
        </w:rPr>
        <w:t>[E4(x) ˄ P157(y,u) ˄ P157(v,u) ˄ P7(x,y) ˄ P161(x,z) ˄ P89(z,v) ˄ P89(v,y)] ⇒ P7(x,v)</w:t>
      </w:r>
    </w:p>
    <w:p w14:paraId="36E7A9DF" w14:textId="77777777" w:rsidR="0084489F" w:rsidRDefault="00110FE6">
      <w:pPr>
        <w:pStyle w:val="BodyText"/>
      </w:pPr>
      <w:r>
        <w:rPr>
          <w:b/>
          <w:bCs/>
        </w:rPr>
        <w:t>Propriétés</w:t>
      </w:r>
    </w:p>
    <w:p w14:paraId="706CAD4B" w14:textId="77777777" w:rsidR="0084489F" w:rsidRDefault="00110FE6">
      <w:pPr>
        <w:pStyle w:val="BlockText"/>
      </w:pPr>
      <w:r>
        <w:rPr>
          <w:b/>
          <w:bCs/>
          <w:i/>
          <w:iCs/>
        </w:rPr>
        <w:t>Note de traduction</w:t>
      </w:r>
    </w:p>
    <w:p w14:paraId="14411BEC" w14:textId="77777777" w:rsidR="0084489F" w:rsidRDefault="00110FE6">
      <w:pPr>
        <w:pStyle w:val="BlockText"/>
      </w:pPr>
      <w:r>
        <w:rPr>
          <w:b/>
          <w:bCs/>
          <w:i/>
          <w:iCs/>
        </w:rPr>
        <w:t>Références</w:t>
      </w:r>
    </w:p>
    <w:p w14:paraId="20D8E203" w14:textId="77777777" w:rsidR="0084489F" w:rsidRDefault="00110FE6">
      <w:pPr>
        <w:pStyle w:val="BlockText"/>
      </w:pPr>
      <w:r w:rsidRPr="1B9E7434">
        <w:rPr>
          <w:lang w:val="fr-FR"/>
        </w:rPr>
        <w:t>Ressources naturelles Canada - Natural Resources Canada. « À propos du Système canadien de référence spatiale: Systèmes de référence géométrique ». Gouvernement du Canada. Ressources naturelles Canada, 1 décembre 2009.</w:t>
      </w:r>
      <w:hyperlink r:id="rId234">
        <w:r w:rsidRPr="1B9E7434">
          <w:rPr>
            <w:rStyle w:val="Hyperlink"/>
            <w:lang w:val="fr-FR"/>
          </w:rPr>
          <w:t xml:space="preserve"> </w:t>
        </w:r>
      </w:hyperlink>
      <w:hyperlink r:id="rId235">
        <w:r w:rsidRPr="1B9E7434">
          <w:rPr>
            <w:rStyle w:val="Hyperlink"/>
            <w:lang w:val="fr-FR"/>
          </w:rPr>
          <w:t>https://ressources-naturelles.canada.ca/cartes-outils-et-publications/systemes-reference-geodesiques/le-systeme-canadien-reference-spatiale-scrs/9053</w:t>
        </w:r>
      </w:hyperlink>
      <w:r w:rsidRPr="1B9E7434">
        <w:rPr>
          <w:lang w:val="fr-FR"/>
        </w:rPr>
        <w:t>.</w:t>
      </w:r>
    </w:p>
    <w:p w14:paraId="3B634630" w14:textId="77777777" w:rsidR="0084489F" w:rsidRPr="008C0D99" w:rsidRDefault="00110FE6">
      <w:pPr>
        <w:pStyle w:val="BlockText"/>
        <w:rPr>
          <w:lang w:val="en-CA"/>
        </w:rPr>
      </w:pPr>
      <w:r w:rsidRPr="008C0D99">
        <w:rPr>
          <w:lang w:val="en-CA"/>
        </w:rPr>
        <w:t>———. « About the Canadian Spatial Reference System: Geometric Reference Systems ». Government of Canada. Natural Resources Canada, 1 décembre 2009.</w:t>
      </w:r>
      <w:hyperlink r:id="rId236">
        <w:r w:rsidRPr="008C0D99">
          <w:rPr>
            <w:rStyle w:val="Hyperlink"/>
            <w:lang w:val="en-CA"/>
          </w:rPr>
          <w:t xml:space="preserve"> </w:t>
        </w:r>
      </w:hyperlink>
      <w:hyperlink r:id="rId237">
        <w:r w:rsidRPr="008C0D99">
          <w:rPr>
            <w:rStyle w:val="Hyperlink"/>
            <w:lang w:val="en-CA"/>
          </w:rPr>
          <w:t>https://natural-resources.canada.ca/maps-tools-and-publications/geodetic-reference-systems/canadian-spatial-reference-system-csrs/9052</w:t>
        </w:r>
      </w:hyperlink>
      <w:r w:rsidRPr="008C0D99">
        <w:rPr>
          <w:lang w:val="en-CA"/>
        </w:rPr>
        <w:t>.</w:t>
      </w:r>
    </w:p>
    <w:p w14:paraId="6A8862A5" w14:textId="77777777" w:rsidR="0084489F" w:rsidRDefault="00110FE6">
      <w:pPr>
        <w:pStyle w:val="BlockText"/>
      </w:pPr>
      <w:r>
        <w:t xml:space="preserve">Wikipédia. « Forum Romain (Rome) ». Dans </w:t>
      </w:r>
      <w:r>
        <w:rPr>
          <w:i/>
          <w:iCs/>
        </w:rPr>
        <w:t>Wikipédia</w:t>
      </w:r>
      <w:r>
        <w:t xml:space="preserve">. </w:t>
      </w:r>
      <w:r w:rsidRPr="008C0D99">
        <w:rPr>
          <w:lang w:val="en-CA"/>
        </w:rPr>
        <w:t>San Francisco, US-CA: Wikipédia, 6 juin 2024.</w:t>
      </w:r>
      <w:hyperlink r:id="rId238">
        <w:r w:rsidRPr="008C0D99">
          <w:rPr>
            <w:rStyle w:val="Hyperlink"/>
            <w:lang w:val="en-CA"/>
          </w:rPr>
          <w:t xml:space="preserve"> </w:t>
        </w:r>
      </w:hyperlink>
      <w:hyperlink r:id="rId239">
        <w:r>
          <w:rPr>
            <w:rStyle w:val="Hyperlink"/>
          </w:rPr>
          <w:t>https://fr.wikipedia.org/w/index.php?title=Forum_Romain_(Rome)&amp;oldid=215741700</w:t>
        </w:r>
      </w:hyperlink>
      <w:r>
        <w:t>.</w:t>
      </w:r>
    </w:p>
    <w:p w14:paraId="0D3D5186" w14:textId="77777777" w:rsidR="0084489F" w:rsidRDefault="00110FE6">
      <w:pPr>
        <w:pStyle w:val="Heading2"/>
      </w:pPr>
      <w:bookmarkStart w:id="286" w:name="_Toc176864523"/>
      <w:bookmarkStart w:id="287" w:name="p8-a-eu-lieu-a-(a-ete-temoin-de)"/>
      <w:bookmarkEnd w:id="285"/>
      <w:r>
        <w:t>P8 a eu lieu à (a été témoin de)</w:t>
      </w:r>
      <w:bookmarkEnd w:id="286"/>
    </w:p>
    <w:p w14:paraId="046D45A5" w14:textId="77777777" w:rsidR="0084489F" w:rsidRDefault="00110FE6">
      <w:pPr>
        <w:pStyle w:val="FirstParagraph"/>
      </w:pPr>
      <w:r>
        <w:rPr>
          <w:b/>
          <w:bCs/>
        </w:rPr>
        <w:t>Domaine</w:t>
      </w:r>
    </w:p>
    <w:p w14:paraId="6F1574C0" w14:textId="77777777" w:rsidR="0084489F" w:rsidRDefault="00110FE6">
      <w:pPr>
        <w:pStyle w:val="BodyText"/>
      </w:pPr>
      <w:r>
        <w:rPr>
          <w:rStyle w:val="VerbatimChar"/>
        </w:rPr>
        <w:t>E4_Période</w:t>
      </w:r>
    </w:p>
    <w:p w14:paraId="252CD13A" w14:textId="77777777" w:rsidR="0084489F" w:rsidRDefault="00110FE6">
      <w:pPr>
        <w:pStyle w:val="BodyText"/>
      </w:pPr>
      <w:r>
        <w:rPr>
          <w:b/>
          <w:bCs/>
        </w:rPr>
        <w:t>Portée</w:t>
      </w:r>
    </w:p>
    <w:p w14:paraId="43637211" w14:textId="77777777" w:rsidR="0084489F" w:rsidRDefault="00110FE6">
      <w:pPr>
        <w:pStyle w:val="BodyText"/>
      </w:pPr>
      <w:r>
        <w:rPr>
          <w:rStyle w:val="VerbatimChar"/>
        </w:rPr>
        <w:t>E18_Chose_matérielle</w:t>
      </w:r>
    </w:p>
    <w:p w14:paraId="591BC167" w14:textId="77777777" w:rsidR="0084489F" w:rsidRDefault="00110FE6">
      <w:pPr>
        <w:pStyle w:val="BodyText"/>
      </w:pPr>
      <w:r>
        <w:rPr>
          <w:b/>
          <w:bCs/>
        </w:rPr>
        <w:t>Sous-propriété de</w:t>
      </w:r>
    </w:p>
    <w:p w14:paraId="18D77459" w14:textId="77777777" w:rsidR="0084489F" w:rsidRDefault="00110FE6">
      <w:pPr>
        <w:pStyle w:val="BodyText"/>
      </w:pPr>
      <w:r>
        <w:rPr>
          <w:b/>
          <w:bCs/>
        </w:rPr>
        <w:t>Super-propriété de</w:t>
      </w:r>
    </w:p>
    <w:p w14:paraId="1C972B56" w14:textId="77777777" w:rsidR="0084489F" w:rsidRDefault="00110FE6">
      <w:pPr>
        <w:pStyle w:val="BodyText"/>
      </w:pPr>
      <w:r>
        <w:rPr>
          <w:b/>
          <w:bCs/>
        </w:rPr>
        <w:t>Quantification</w:t>
      </w:r>
    </w:p>
    <w:p w14:paraId="6E665423" w14:textId="77777777" w:rsidR="0084489F" w:rsidRDefault="00110FE6">
      <w:pPr>
        <w:pStyle w:val="BodyText"/>
      </w:pPr>
      <w:r w:rsidRPr="1B9E7434">
        <w:rPr>
          <w:lang w:val="fr-FR"/>
        </w:rPr>
        <w:t>plusieurs à plusieurs (0,n:0,n)</w:t>
      </w:r>
    </w:p>
    <w:p w14:paraId="66B6B102" w14:textId="77777777" w:rsidR="0084489F" w:rsidRDefault="00110FE6">
      <w:pPr>
        <w:pStyle w:val="BodyText"/>
      </w:pPr>
      <w:r>
        <w:rPr>
          <w:b/>
          <w:bCs/>
        </w:rPr>
        <w:t>Note d’application</w:t>
      </w:r>
    </w:p>
    <w:p w14:paraId="09B181F5" w14:textId="77777777" w:rsidR="0084489F" w:rsidRDefault="00110FE6">
      <w:pPr>
        <w:pStyle w:val="BodyText"/>
      </w:pPr>
      <w:r>
        <w:t xml:space="preserve">Cette propriété décrit la localisation d’une instance de </w:t>
      </w:r>
      <w:r>
        <w:rPr>
          <w:rStyle w:val="VerbatimChar"/>
        </w:rPr>
        <w:t>E4_Période</w:t>
      </w:r>
      <w:r>
        <w:t xml:space="preserve"> par rapport à une instance de </w:t>
      </w:r>
      <w:r>
        <w:rPr>
          <w:rStyle w:val="VerbatimChar"/>
        </w:rPr>
        <w:t>E18_Chose_matérielle</w:t>
      </w:r>
      <w:r>
        <w:t>.</w:t>
      </w:r>
    </w:p>
    <w:p w14:paraId="79D33A84" w14:textId="77777777" w:rsidR="0084489F" w:rsidRDefault="00110FE6">
      <w:pPr>
        <w:pStyle w:val="BodyText"/>
      </w:pPr>
      <w:r w:rsidRPr="1B9E7434">
        <w:rPr>
          <w:lang w:val="fr-FR"/>
        </w:rPr>
        <w:t xml:space="preserve">Cette propriété est un raccourci du chemin sémantique suivant : </w:t>
      </w:r>
      <w:r w:rsidRPr="1B9E7434">
        <w:rPr>
          <w:rStyle w:val="VerbatimChar"/>
          <w:lang w:val="fr-FR"/>
        </w:rPr>
        <w:t>E4_Période</w:t>
      </w:r>
      <w:r w:rsidRPr="1B9E7434">
        <w:rPr>
          <w:lang w:val="fr-FR"/>
        </w:rPr>
        <w:t xml:space="preserve">, </w:t>
      </w:r>
      <w:r w:rsidRPr="1B9E7434">
        <w:rPr>
          <w:rStyle w:val="VerbatimChar"/>
          <w:lang w:val="fr-FR"/>
        </w:rPr>
        <w:t>P7_a_eu_lieu_dans (a_été_témoin_de)</w:t>
      </w:r>
      <w:r w:rsidRPr="1B9E7434">
        <w:rPr>
          <w:lang w:val="fr-FR"/>
        </w:rPr>
        <w:t xml:space="preserve">, </w:t>
      </w:r>
      <w:r w:rsidRPr="1B9E7434">
        <w:rPr>
          <w:rStyle w:val="VerbatimChar"/>
          <w:lang w:val="fr-FR"/>
        </w:rPr>
        <w:t>E53_Lieu</w:t>
      </w:r>
      <w:r w:rsidRPr="1B9E7434">
        <w:rPr>
          <w:lang w:val="fr-FR"/>
        </w:rPr>
        <w:t xml:space="preserve">, </w:t>
      </w:r>
      <w:r w:rsidRPr="1B9E7434">
        <w:rPr>
          <w:rStyle w:val="VerbatimChar"/>
          <w:lang w:val="fr-FR"/>
        </w:rPr>
        <w:t>P156i_est_occupé_par</w:t>
      </w:r>
      <w:r w:rsidRPr="1B9E7434">
        <w:rPr>
          <w:lang w:val="fr-FR"/>
        </w:rPr>
        <w:t xml:space="preserve">, </w:t>
      </w:r>
      <w:r w:rsidRPr="1B9E7434">
        <w:rPr>
          <w:rStyle w:val="VerbatimChar"/>
          <w:lang w:val="fr-FR"/>
        </w:rPr>
        <w:t>E18_Chose_matérielle</w:t>
      </w:r>
      <w:r w:rsidRPr="1B9E7434">
        <w:rPr>
          <w:lang w:val="fr-FR"/>
        </w:rPr>
        <w:t>.</w:t>
      </w:r>
    </w:p>
    <w:p w14:paraId="3778C1BB" w14:textId="77777777" w:rsidR="0084489F" w:rsidRDefault="00110FE6">
      <w:pPr>
        <w:pStyle w:val="BodyText"/>
      </w:pPr>
      <w:r>
        <w:lastRenderedPageBreak/>
        <w:t xml:space="preserve">Elle décrit une période qui peut être localisée dans l’espace défini par une instance de </w:t>
      </w:r>
      <w:r>
        <w:rPr>
          <w:rStyle w:val="VerbatimChar"/>
        </w:rPr>
        <w:t>E19_Objet_matériel</w:t>
      </w:r>
      <w:r>
        <w:t>, tel qu’un navire ou un bâtiment. La localisation géographique précise de l’objet durant la période en question peut être inconnue ou sans importance.</w:t>
      </w:r>
    </w:p>
    <w:p w14:paraId="2EACEC71" w14:textId="77777777" w:rsidR="0084489F" w:rsidRDefault="00110FE6">
      <w:pPr>
        <w:pStyle w:val="BodyText"/>
      </w:pPr>
      <w:r>
        <w:t>Par exemple, l’armistice du 22 juin 1940 entre la France et l’Allemagne fut signé dans le même wagon où a eu lieu la signature de l’armistice du 11 novembre 1918.</w:t>
      </w:r>
    </w:p>
    <w:p w14:paraId="3AF765CC" w14:textId="77777777" w:rsidR="0084489F" w:rsidRDefault="00110FE6">
      <w:pPr>
        <w:pStyle w:val="BodyText"/>
      </w:pPr>
      <w:r>
        <w:rPr>
          <w:b/>
          <w:bCs/>
        </w:rPr>
        <w:t>Exemples</w:t>
      </w:r>
    </w:p>
    <w:p w14:paraId="4009062C" w14:textId="77777777" w:rsidR="0084489F" w:rsidRDefault="00110FE6" w:rsidP="00806324">
      <w:pPr>
        <w:numPr>
          <w:ilvl w:val="0"/>
          <w:numId w:val="145"/>
        </w:numPr>
      </w:pPr>
      <w:r>
        <w:t>Le couronnement de la reine Elizabeth II (</w:t>
      </w:r>
      <w:r>
        <w:rPr>
          <w:rStyle w:val="VerbatimChar"/>
        </w:rPr>
        <w:t>E7_Activité</w:t>
      </w:r>
      <w:r>
        <w:t>) a eu lieu à (</w:t>
      </w:r>
      <w:r>
        <w:rPr>
          <w:rStyle w:val="VerbatimChar"/>
        </w:rPr>
        <w:t>P8_a_eu_lieu_à</w:t>
      </w:r>
      <w:r>
        <w:t>) l’abbaye de Westminster (</w:t>
      </w:r>
      <w:r>
        <w:rPr>
          <w:rStyle w:val="VerbatimChar"/>
        </w:rPr>
        <w:t>E18_Chose_matérielle</w:t>
      </w:r>
      <w:r>
        <w:t>) (Strong, 2005)</w:t>
      </w:r>
    </w:p>
    <w:p w14:paraId="353E8F44" w14:textId="77777777" w:rsidR="0084489F" w:rsidRDefault="00110FE6">
      <w:pPr>
        <w:pStyle w:val="FirstParagraph"/>
      </w:pPr>
      <w:r>
        <w:rPr>
          <w:b/>
          <w:bCs/>
        </w:rPr>
        <w:t>Logique</w:t>
      </w:r>
    </w:p>
    <w:p w14:paraId="3C0AEFE8" w14:textId="77777777" w:rsidR="0084489F" w:rsidRDefault="00110FE6">
      <w:pPr>
        <w:pStyle w:val="BodyText"/>
      </w:pPr>
      <w:r w:rsidRPr="1B9E7434">
        <w:rPr>
          <w:lang w:val="fr-FR"/>
        </w:rPr>
        <w:t>P8(x,y) ⇒ E4(x)</w:t>
      </w:r>
    </w:p>
    <w:p w14:paraId="0AA266B5" w14:textId="77777777" w:rsidR="0084489F" w:rsidRDefault="00110FE6">
      <w:pPr>
        <w:pStyle w:val="BodyText"/>
      </w:pPr>
      <w:r w:rsidRPr="1B9E7434">
        <w:rPr>
          <w:lang w:val="fr-FR"/>
        </w:rPr>
        <w:t>P8(x,y) ⇒ E18(y)</w:t>
      </w:r>
    </w:p>
    <w:p w14:paraId="134AF5EA" w14:textId="77777777" w:rsidR="0084489F" w:rsidRDefault="00110FE6">
      <w:pPr>
        <w:pStyle w:val="BodyText"/>
      </w:pPr>
      <w:r w:rsidRPr="1B9E7434">
        <w:rPr>
          <w:lang w:val="fr-FR"/>
        </w:rPr>
        <w:t>P8(x,y) ⇐ (∃z) [E53(z) ˄ P7(x,z) ˄ P156i(z,y)]</w:t>
      </w:r>
    </w:p>
    <w:p w14:paraId="3DC8C269" w14:textId="77777777" w:rsidR="0084489F" w:rsidRDefault="00110FE6">
      <w:pPr>
        <w:pStyle w:val="BodyText"/>
      </w:pPr>
      <w:r>
        <w:rPr>
          <w:b/>
          <w:bCs/>
        </w:rPr>
        <w:t>Propriétés</w:t>
      </w:r>
    </w:p>
    <w:p w14:paraId="59D71D05" w14:textId="77777777" w:rsidR="0084489F" w:rsidRDefault="00110FE6">
      <w:pPr>
        <w:pStyle w:val="BlockText"/>
      </w:pPr>
      <w:r>
        <w:rPr>
          <w:b/>
          <w:bCs/>
          <w:i/>
          <w:iCs/>
        </w:rPr>
        <w:t>Note de traduction</w:t>
      </w:r>
    </w:p>
    <w:p w14:paraId="2C8131B8" w14:textId="77777777" w:rsidR="0084489F" w:rsidRDefault="00110FE6">
      <w:pPr>
        <w:pStyle w:val="BlockText"/>
      </w:pPr>
      <w:r>
        <w:rPr>
          <w:b/>
          <w:bCs/>
          <w:i/>
          <w:iCs/>
        </w:rPr>
        <w:t>Références</w:t>
      </w:r>
    </w:p>
    <w:p w14:paraId="735D1EB5" w14:textId="77777777" w:rsidR="0084489F" w:rsidRDefault="0084489F">
      <w:pPr>
        <w:pStyle w:val="BlockText"/>
      </w:pPr>
    </w:p>
    <w:p w14:paraId="566FEECD" w14:textId="77777777" w:rsidR="0084489F" w:rsidRDefault="00110FE6">
      <w:pPr>
        <w:pStyle w:val="Heading2"/>
      </w:pPr>
      <w:bookmarkStart w:id="288" w:name="_Toc176864524"/>
      <w:bookmarkStart w:id="289" w:name="p9-comprend-(fait-partie-de)"/>
      <w:bookmarkEnd w:id="287"/>
      <w:r>
        <w:t>P9 comprend (fait partie de)</w:t>
      </w:r>
      <w:bookmarkEnd w:id="288"/>
    </w:p>
    <w:p w14:paraId="1F2921CA" w14:textId="77777777" w:rsidR="0084489F" w:rsidRDefault="00110FE6">
      <w:pPr>
        <w:pStyle w:val="FirstParagraph"/>
      </w:pPr>
      <w:r>
        <w:rPr>
          <w:b/>
          <w:bCs/>
        </w:rPr>
        <w:t>Domaine</w:t>
      </w:r>
    </w:p>
    <w:p w14:paraId="08020AC4" w14:textId="77777777" w:rsidR="0084489F" w:rsidRDefault="00110FE6">
      <w:pPr>
        <w:pStyle w:val="BodyText"/>
      </w:pPr>
      <w:r>
        <w:rPr>
          <w:rStyle w:val="VerbatimChar"/>
        </w:rPr>
        <w:t>E4_Période</w:t>
      </w:r>
    </w:p>
    <w:p w14:paraId="5163C683" w14:textId="77777777" w:rsidR="0084489F" w:rsidRDefault="00110FE6" w:rsidP="008D6B6D">
      <w:pPr>
        <w:pStyle w:val="BodyText"/>
        <w:keepNext/>
      </w:pPr>
      <w:r>
        <w:rPr>
          <w:b/>
          <w:bCs/>
        </w:rPr>
        <w:t>Portée</w:t>
      </w:r>
    </w:p>
    <w:p w14:paraId="7BC36A1A" w14:textId="77777777" w:rsidR="0084489F" w:rsidRDefault="00110FE6" w:rsidP="008D6B6D">
      <w:pPr>
        <w:pStyle w:val="BodyText"/>
        <w:keepNext/>
      </w:pPr>
      <w:r>
        <w:rPr>
          <w:rStyle w:val="VerbatimChar"/>
        </w:rPr>
        <w:t>E4_Période</w:t>
      </w:r>
    </w:p>
    <w:p w14:paraId="12CA5179" w14:textId="77777777" w:rsidR="0084489F" w:rsidRDefault="00110FE6">
      <w:pPr>
        <w:pStyle w:val="BodyText"/>
      </w:pPr>
      <w:r>
        <w:rPr>
          <w:b/>
          <w:bCs/>
        </w:rPr>
        <w:t>Sous-propriété de</w:t>
      </w:r>
    </w:p>
    <w:p w14:paraId="76A44354" w14:textId="77777777" w:rsidR="0084489F" w:rsidRDefault="00110FE6">
      <w:pPr>
        <w:pStyle w:val="BodyText"/>
      </w:pPr>
      <w:r>
        <w:rPr>
          <w:rStyle w:val="VerbatimChar"/>
        </w:rPr>
        <w:t>E92_Volume_spatio-temporel</w:t>
      </w:r>
      <w:r>
        <w:t xml:space="preserve">. </w:t>
      </w:r>
      <w:r>
        <w:rPr>
          <w:rStyle w:val="VerbatimChar"/>
        </w:rPr>
        <w:t>P10i_contient (s'insère dans)</w:t>
      </w:r>
      <w:r>
        <w:t xml:space="preserve"> : </w:t>
      </w:r>
      <w:r>
        <w:rPr>
          <w:rStyle w:val="VerbatimChar"/>
        </w:rPr>
        <w:t>E92_Volume_spatio-temporel</w:t>
      </w:r>
    </w:p>
    <w:p w14:paraId="16B7EC72" w14:textId="77777777" w:rsidR="0084489F" w:rsidRDefault="00110FE6">
      <w:pPr>
        <w:pStyle w:val="BodyText"/>
      </w:pPr>
      <w:r>
        <w:rPr>
          <w:b/>
          <w:bCs/>
        </w:rPr>
        <w:t>Super-propriété de</w:t>
      </w:r>
    </w:p>
    <w:p w14:paraId="28F69FDE" w14:textId="77777777" w:rsidR="0084489F" w:rsidRDefault="00110FE6">
      <w:pPr>
        <w:pStyle w:val="BodyText"/>
      </w:pPr>
      <w:r>
        <w:rPr>
          <w:b/>
          <w:bCs/>
        </w:rPr>
        <w:t>Quantification</w:t>
      </w:r>
    </w:p>
    <w:p w14:paraId="185FC1F2" w14:textId="77777777" w:rsidR="0084489F" w:rsidRDefault="00110FE6">
      <w:pPr>
        <w:pStyle w:val="BodyText"/>
      </w:pPr>
      <w:r w:rsidRPr="1B9E7434">
        <w:rPr>
          <w:lang w:val="fr-FR"/>
        </w:rPr>
        <w:t>plusieurs à plusieurs (0,n:0,n)</w:t>
      </w:r>
    </w:p>
    <w:p w14:paraId="2CA02088" w14:textId="77777777" w:rsidR="0084489F" w:rsidRDefault="00110FE6">
      <w:pPr>
        <w:pStyle w:val="BodyText"/>
      </w:pPr>
      <w:r>
        <w:rPr>
          <w:b/>
          <w:bCs/>
        </w:rPr>
        <w:t>Note d’application</w:t>
      </w:r>
    </w:p>
    <w:p w14:paraId="160CBD0D" w14:textId="77777777" w:rsidR="0084489F" w:rsidRDefault="00110FE6">
      <w:pPr>
        <w:pStyle w:val="BodyText"/>
      </w:pPr>
      <w:r>
        <w:t xml:space="preserve">Cette propriété décrit l’association d’une instance de </w:t>
      </w:r>
      <w:r>
        <w:rPr>
          <w:rStyle w:val="VerbatimChar"/>
        </w:rPr>
        <w:t>E4_Période</w:t>
      </w:r>
      <w:r>
        <w:t xml:space="preserve"> avec une autre instance de </w:t>
      </w:r>
      <w:r>
        <w:rPr>
          <w:rStyle w:val="VerbatimChar"/>
        </w:rPr>
        <w:t>E4_Période</w:t>
      </w:r>
      <w:r>
        <w:t xml:space="preserve"> lorsque le phénomène qui définit la seconde est un sous-ensemble de celui qui définit la première. Ainsi, le volume spatio-temporel de la seconde doit être compris dans celui de la première.</w:t>
      </w:r>
    </w:p>
    <w:p w14:paraId="01BD65AE" w14:textId="77777777" w:rsidR="0084489F" w:rsidRDefault="00110FE6">
      <w:pPr>
        <w:pStyle w:val="BodyText"/>
      </w:pPr>
      <w:r>
        <w:t>Cette propriété est transitive et asymétrique.</w:t>
      </w:r>
    </w:p>
    <w:p w14:paraId="59F28266" w14:textId="77777777" w:rsidR="0084489F" w:rsidRDefault="00110FE6">
      <w:pPr>
        <w:pStyle w:val="BodyText"/>
      </w:pPr>
      <w:r>
        <w:rPr>
          <w:b/>
          <w:bCs/>
        </w:rPr>
        <w:t>Exemples</w:t>
      </w:r>
    </w:p>
    <w:p w14:paraId="47817A1E" w14:textId="7B510FAD" w:rsidR="0084489F" w:rsidRDefault="00110FE6" w:rsidP="00806324">
      <w:pPr>
        <w:numPr>
          <w:ilvl w:val="0"/>
          <w:numId w:val="146"/>
        </w:numPr>
      </w:pPr>
      <w:r w:rsidRPr="1B9E7434">
        <w:rPr>
          <w:lang w:val="fr-FR"/>
        </w:rPr>
        <w:t>L’Âge du Bronze en Crète (</w:t>
      </w:r>
      <w:r w:rsidRPr="1B9E7434">
        <w:rPr>
          <w:rStyle w:val="VerbatimChar"/>
          <w:lang w:val="fr-FR"/>
        </w:rPr>
        <w:t>E4_Période</w:t>
      </w:r>
      <w:r w:rsidRPr="1B9E7434">
        <w:rPr>
          <w:lang w:val="fr-FR"/>
        </w:rPr>
        <w:t>) comprend (</w:t>
      </w:r>
      <w:r w:rsidRPr="1B9E7434">
        <w:rPr>
          <w:rStyle w:val="VerbatimChar"/>
          <w:lang w:val="fr-FR"/>
        </w:rPr>
        <w:t>P9_comprend</w:t>
      </w:r>
      <w:r w:rsidRPr="1B9E7434">
        <w:rPr>
          <w:lang w:val="fr-FR"/>
        </w:rPr>
        <w:t>) le Minœn moyen (</w:t>
      </w:r>
      <w:r w:rsidRPr="1B9E7434">
        <w:rPr>
          <w:rStyle w:val="VerbatimChar"/>
          <w:lang w:val="fr-FR"/>
        </w:rPr>
        <w:t>E4_Période</w:t>
      </w:r>
      <w:r w:rsidRPr="1B9E7434">
        <w:rPr>
          <w:lang w:val="fr-FR"/>
        </w:rPr>
        <w:t>) (Hood, 1971)</w:t>
      </w:r>
    </w:p>
    <w:p w14:paraId="4D36B36E" w14:textId="77777777" w:rsidR="0084489F" w:rsidRDefault="00110FE6">
      <w:pPr>
        <w:pStyle w:val="FirstParagraph"/>
      </w:pPr>
      <w:r>
        <w:rPr>
          <w:b/>
          <w:bCs/>
        </w:rPr>
        <w:lastRenderedPageBreak/>
        <w:t>Logique</w:t>
      </w:r>
    </w:p>
    <w:p w14:paraId="468E5755" w14:textId="77777777" w:rsidR="0084489F" w:rsidRDefault="00110FE6">
      <w:pPr>
        <w:pStyle w:val="BodyText"/>
      </w:pPr>
      <w:r w:rsidRPr="1B9E7434">
        <w:rPr>
          <w:lang w:val="fr-FR"/>
        </w:rPr>
        <w:t>P9(x,y) ⇒ E4(x)</w:t>
      </w:r>
    </w:p>
    <w:p w14:paraId="5DB91F95" w14:textId="77777777" w:rsidR="0084489F" w:rsidRDefault="00110FE6">
      <w:pPr>
        <w:pStyle w:val="BodyText"/>
      </w:pPr>
      <w:r w:rsidRPr="1B9E7434">
        <w:rPr>
          <w:lang w:val="fr-FR"/>
        </w:rPr>
        <w:t>P9(x,y) ⇒ E4(y)</w:t>
      </w:r>
    </w:p>
    <w:p w14:paraId="21FD90D1" w14:textId="77777777" w:rsidR="0084489F" w:rsidRDefault="00110FE6">
      <w:pPr>
        <w:pStyle w:val="BodyText"/>
      </w:pPr>
      <w:r w:rsidRPr="1B9E7434">
        <w:rPr>
          <w:lang w:val="fr-FR"/>
        </w:rPr>
        <w:t>P9(x,y) ⇒ P10(y,x)</w:t>
      </w:r>
    </w:p>
    <w:p w14:paraId="17A954CE" w14:textId="77777777" w:rsidR="0084489F" w:rsidRDefault="00110FE6">
      <w:pPr>
        <w:pStyle w:val="BodyText"/>
      </w:pPr>
      <w:r w:rsidRPr="1B9E7434">
        <w:rPr>
          <w:lang w:val="fr-FR"/>
        </w:rPr>
        <w:t>[P9(x,y) ∧ P9(y,z)] ⇒ P9(x,z)</w:t>
      </w:r>
    </w:p>
    <w:p w14:paraId="56272320" w14:textId="77777777" w:rsidR="0084489F" w:rsidRDefault="00110FE6">
      <w:pPr>
        <w:pStyle w:val="BodyText"/>
      </w:pPr>
      <w:r w:rsidRPr="1B9E7434">
        <w:rPr>
          <w:lang w:val="fr-FR"/>
        </w:rPr>
        <w:t>P9(x,y) ⇒ ¬P9(y,x)</w:t>
      </w:r>
    </w:p>
    <w:p w14:paraId="367B569F" w14:textId="77777777" w:rsidR="0084489F" w:rsidRDefault="00110FE6">
      <w:pPr>
        <w:pStyle w:val="BodyText"/>
      </w:pPr>
      <w:r>
        <w:rPr>
          <w:b/>
          <w:bCs/>
        </w:rPr>
        <w:t>Propriétés</w:t>
      </w:r>
    </w:p>
    <w:p w14:paraId="34B6DCFE" w14:textId="77777777" w:rsidR="0084489F" w:rsidRDefault="00110FE6">
      <w:pPr>
        <w:pStyle w:val="BlockText"/>
      </w:pPr>
      <w:r>
        <w:rPr>
          <w:b/>
          <w:bCs/>
          <w:i/>
          <w:iCs/>
        </w:rPr>
        <w:t>Note de traduction</w:t>
      </w:r>
    </w:p>
    <w:p w14:paraId="6648BDD5" w14:textId="77777777" w:rsidR="0084489F" w:rsidRDefault="00110FE6">
      <w:pPr>
        <w:pStyle w:val="BlockText"/>
      </w:pPr>
      <w:r w:rsidRPr="1B9E7434">
        <w:rPr>
          <w:lang w:val="fr-FR"/>
        </w:rPr>
        <w:t xml:space="preserve">Le terme « Middle Minoan » est utilisé par Sir Arthur John Evans en 1921 lorsqu’il définit une chronologie minœnne dans </w:t>
      </w:r>
      <w:r w:rsidRPr="1B9E7434">
        <w:rPr>
          <w:i/>
          <w:iCs/>
          <w:lang w:val="fr-FR"/>
        </w:rPr>
        <w:t>The Palace of Minos at Knossos</w:t>
      </w:r>
      <w:r w:rsidRPr="1B9E7434">
        <w:rPr>
          <w:lang w:val="fr-FR"/>
        </w:rPr>
        <w:t>. L’équivalent de « Middle Minoan » dans les revues françaises de ce texte est « Minœn moyen » et c’est cette formulation qui a été retenue. Une revue sommaire a confirmé que c’est une traduction fréquente de ce concept et que cette formulation est fréquemment utilisée.</w:t>
      </w:r>
    </w:p>
    <w:p w14:paraId="0FA7921D" w14:textId="77777777" w:rsidR="0084489F" w:rsidRPr="008C0D99" w:rsidRDefault="00110FE6">
      <w:pPr>
        <w:pStyle w:val="BlockText"/>
        <w:rPr>
          <w:lang w:val="en-CA"/>
        </w:rPr>
      </w:pPr>
      <w:r w:rsidRPr="008C0D99">
        <w:rPr>
          <w:b/>
          <w:bCs/>
          <w:i/>
          <w:iCs/>
          <w:lang w:val="en-CA"/>
        </w:rPr>
        <w:t>Références</w:t>
      </w:r>
    </w:p>
    <w:p w14:paraId="2A9D0E12" w14:textId="77777777" w:rsidR="0084489F" w:rsidRPr="008C0D99" w:rsidRDefault="00110FE6">
      <w:pPr>
        <w:pStyle w:val="BlockText"/>
        <w:rPr>
          <w:lang w:val="en-CA"/>
        </w:rPr>
      </w:pPr>
      <w:r w:rsidRPr="008C0D99">
        <w:rPr>
          <w:lang w:val="en-CA"/>
        </w:rPr>
        <w:t xml:space="preserve">Evans, Arthur John. </w:t>
      </w:r>
      <w:r w:rsidRPr="008C0D99">
        <w:rPr>
          <w:i/>
          <w:iCs/>
          <w:lang w:val="en-CA"/>
        </w:rPr>
        <w:t>The Palace of Minos: The Neolithic and Early Middle Minoan Age</w:t>
      </w:r>
      <w:r w:rsidRPr="008C0D99">
        <w:rPr>
          <w:lang w:val="en-CA"/>
        </w:rPr>
        <w:t>. Vol. 1. 6 vol. The Palace of Minos. London, GB-LND: Macmillan, 1921.</w:t>
      </w:r>
      <w:hyperlink r:id="rId240">
        <w:r w:rsidRPr="008C0D99">
          <w:rPr>
            <w:rStyle w:val="Hyperlink"/>
            <w:lang w:val="en-CA"/>
          </w:rPr>
          <w:t xml:space="preserve"> </w:t>
        </w:r>
      </w:hyperlink>
      <w:hyperlink r:id="rId241">
        <w:r w:rsidRPr="008C0D99">
          <w:rPr>
            <w:rStyle w:val="Hyperlink"/>
            <w:lang w:val="en-CA"/>
          </w:rPr>
          <w:t>https://openlibrary.org/books/OL7063760M/The_palace_of_Minos</w:t>
        </w:r>
      </w:hyperlink>
      <w:r w:rsidRPr="008C0D99">
        <w:rPr>
          <w:lang w:val="en-CA"/>
        </w:rPr>
        <w:t>.</w:t>
      </w:r>
    </w:p>
    <w:p w14:paraId="66319078" w14:textId="77777777" w:rsidR="0084489F" w:rsidRDefault="00110FE6">
      <w:pPr>
        <w:pStyle w:val="BlockText"/>
      </w:pPr>
      <w:r w:rsidRPr="1B9E7434">
        <w:rPr>
          <w:lang w:val="fr-FR"/>
        </w:rPr>
        <w:t xml:space="preserve">Picard, Charles. « Le palais de Minos à Cnossos ». </w:t>
      </w:r>
      <w:r w:rsidRPr="1B9E7434">
        <w:rPr>
          <w:i/>
          <w:iCs/>
          <w:lang w:val="fr-FR"/>
        </w:rPr>
        <w:t>Journal des Savants</w:t>
      </w:r>
      <w:r w:rsidRPr="1B9E7434">
        <w:rPr>
          <w:lang w:val="fr-FR"/>
        </w:rPr>
        <w:t xml:space="preserve"> 3, n</w:t>
      </w:r>
      <w:r w:rsidRPr="1B9E7434">
        <w:rPr>
          <w:vertAlign w:val="superscript"/>
          <w:lang w:val="fr-FR"/>
        </w:rPr>
        <w:t>o</w:t>
      </w:r>
      <w:r w:rsidRPr="1B9E7434">
        <w:rPr>
          <w:lang w:val="fr-FR"/>
        </w:rPr>
        <w:t xml:space="preserve"> 1 (1929): 97‑110.</w:t>
      </w:r>
    </w:p>
    <w:p w14:paraId="438C2E9E" w14:textId="77777777" w:rsidR="008D6B6D" w:rsidRPr="008D6B6D" w:rsidRDefault="008D6B6D" w:rsidP="008D6B6D">
      <w:pPr>
        <w:pStyle w:val="BodyText"/>
      </w:pPr>
    </w:p>
    <w:p w14:paraId="168033D2" w14:textId="77777777" w:rsidR="0084489F" w:rsidRDefault="00110FE6">
      <w:pPr>
        <w:pStyle w:val="Heading2"/>
      </w:pPr>
      <w:bookmarkStart w:id="290" w:name="_Toc176864525"/>
      <w:bookmarkStart w:id="291" w:name="p10-sinsere-dans-(contient)"/>
      <w:bookmarkEnd w:id="289"/>
      <w:r>
        <w:t>P10 s’insère dans (contient)</w:t>
      </w:r>
      <w:bookmarkEnd w:id="290"/>
    </w:p>
    <w:p w14:paraId="4F50CC2A" w14:textId="77777777" w:rsidR="0084489F" w:rsidRDefault="00110FE6" w:rsidP="008D6B6D">
      <w:pPr>
        <w:pStyle w:val="FirstParagraph"/>
        <w:keepNext/>
      </w:pPr>
      <w:r>
        <w:rPr>
          <w:b/>
          <w:bCs/>
        </w:rPr>
        <w:t>Domaine</w:t>
      </w:r>
    </w:p>
    <w:p w14:paraId="69B54F08" w14:textId="77777777" w:rsidR="0084489F" w:rsidRDefault="00110FE6" w:rsidP="008D6B6D">
      <w:pPr>
        <w:pStyle w:val="BodyText"/>
        <w:keepNext/>
      </w:pPr>
      <w:r>
        <w:rPr>
          <w:rStyle w:val="VerbatimChar"/>
        </w:rPr>
        <w:t>E92_Volume_spatio-temporel</w:t>
      </w:r>
    </w:p>
    <w:p w14:paraId="6BA5D5B2" w14:textId="77777777" w:rsidR="0084489F" w:rsidRDefault="00110FE6">
      <w:pPr>
        <w:pStyle w:val="BodyText"/>
      </w:pPr>
      <w:r>
        <w:rPr>
          <w:b/>
          <w:bCs/>
        </w:rPr>
        <w:t>Portée</w:t>
      </w:r>
    </w:p>
    <w:p w14:paraId="54040E2A" w14:textId="77777777" w:rsidR="0084489F" w:rsidRDefault="00110FE6">
      <w:pPr>
        <w:pStyle w:val="BodyText"/>
      </w:pPr>
      <w:r>
        <w:rPr>
          <w:rStyle w:val="VerbatimChar"/>
        </w:rPr>
        <w:t>E92_Volume_spatio-temporel</w:t>
      </w:r>
    </w:p>
    <w:p w14:paraId="3AA04EE1" w14:textId="77777777" w:rsidR="0084489F" w:rsidRDefault="00110FE6">
      <w:pPr>
        <w:pStyle w:val="BodyText"/>
      </w:pPr>
      <w:r>
        <w:rPr>
          <w:b/>
          <w:bCs/>
        </w:rPr>
        <w:t>Sous-propriété de</w:t>
      </w:r>
    </w:p>
    <w:p w14:paraId="32FEDD9D" w14:textId="77777777" w:rsidR="0084489F" w:rsidRDefault="00110FE6">
      <w:pPr>
        <w:pStyle w:val="BodyText"/>
      </w:pPr>
      <w:r>
        <w:rPr>
          <w:rStyle w:val="VerbatimChar"/>
        </w:rPr>
        <w:t>E92_Volume_spatio-temporel</w:t>
      </w:r>
      <w:r>
        <w:t xml:space="preserve">. </w:t>
      </w:r>
      <w:r>
        <w:rPr>
          <w:rStyle w:val="VerbatimChar"/>
        </w:rPr>
        <w:t>P132_recoupe_spatio-temporellement</w:t>
      </w:r>
      <w:r>
        <w:t xml:space="preserve"> : </w:t>
      </w:r>
      <w:r>
        <w:rPr>
          <w:rStyle w:val="VerbatimChar"/>
        </w:rPr>
        <w:t>E92_Volume_spatio-temporel</w:t>
      </w:r>
    </w:p>
    <w:p w14:paraId="76889BA3" w14:textId="77777777" w:rsidR="0084489F" w:rsidRDefault="00110FE6">
      <w:pPr>
        <w:pStyle w:val="BodyText"/>
      </w:pPr>
      <w:r>
        <w:rPr>
          <w:b/>
          <w:bCs/>
        </w:rPr>
        <w:t>Super-propriété de</w:t>
      </w:r>
    </w:p>
    <w:p w14:paraId="71C7A09E" w14:textId="77777777" w:rsidR="0084489F" w:rsidRDefault="00110FE6">
      <w:pPr>
        <w:pStyle w:val="BodyText"/>
      </w:pPr>
      <w:r>
        <w:rPr>
          <w:rStyle w:val="VerbatimChar"/>
        </w:rPr>
        <w:t>E4_Période</w:t>
      </w:r>
      <w:r>
        <w:t xml:space="preserve">. </w:t>
      </w:r>
      <w:r>
        <w:rPr>
          <w:rStyle w:val="VerbatimChar"/>
        </w:rPr>
        <w:t>P9i_fait_partie_de</w:t>
      </w:r>
      <w:r>
        <w:t xml:space="preserve"> : </w:t>
      </w:r>
      <w:r>
        <w:rPr>
          <w:rStyle w:val="VerbatimChar"/>
        </w:rPr>
        <w:t>E4_Période</w:t>
      </w:r>
    </w:p>
    <w:p w14:paraId="1269B687" w14:textId="77777777" w:rsidR="0084489F" w:rsidRDefault="00110FE6">
      <w:pPr>
        <w:pStyle w:val="BodyText"/>
      </w:pPr>
      <w:r w:rsidRPr="1B9E7434">
        <w:rPr>
          <w:rStyle w:val="VerbatimChar"/>
          <w:lang w:val="fr-FR"/>
        </w:rPr>
        <w:t>E93_Présence</w:t>
      </w:r>
      <w:r w:rsidRPr="1B9E7434">
        <w:rPr>
          <w:lang w:val="fr-FR"/>
        </w:rPr>
        <w:t xml:space="preserve">. </w:t>
      </w:r>
      <w:r w:rsidRPr="1B9E7434">
        <w:rPr>
          <w:rStyle w:val="VerbatimChar"/>
          <w:lang w:val="fr-FR"/>
        </w:rPr>
        <w:t>P166_a_été_une_présence_de (a_eu_pour_présence)</w:t>
      </w:r>
      <w:r w:rsidRPr="1B9E7434">
        <w:rPr>
          <w:lang w:val="fr-FR"/>
        </w:rPr>
        <w:t xml:space="preserve"> : </w:t>
      </w:r>
      <w:r w:rsidRPr="1B9E7434">
        <w:rPr>
          <w:rStyle w:val="VerbatimChar"/>
          <w:lang w:val="fr-FR"/>
        </w:rPr>
        <w:t>E92_Volume_spatio-temporel</w:t>
      </w:r>
    </w:p>
    <w:p w14:paraId="7C8C0685" w14:textId="77777777" w:rsidR="0084489F" w:rsidRDefault="00110FE6">
      <w:pPr>
        <w:pStyle w:val="BodyText"/>
      </w:pPr>
      <w:r>
        <w:rPr>
          <w:b/>
          <w:bCs/>
        </w:rPr>
        <w:t>Quantification</w:t>
      </w:r>
    </w:p>
    <w:p w14:paraId="22E32656" w14:textId="77777777" w:rsidR="0084489F" w:rsidRDefault="00110FE6">
      <w:pPr>
        <w:pStyle w:val="BodyText"/>
      </w:pPr>
      <w:r w:rsidRPr="1B9E7434">
        <w:rPr>
          <w:lang w:val="fr-FR"/>
        </w:rPr>
        <w:t>plusieurs à plusieurs, nécessaire, dépendant (1,n:1,n)</w:t>
      </w:r>
    </w:p>
    <w:p w14:paraId="7F427B31" w14:textId="77777777" w:rsidR="0084489F" w:rsidRDefault="00110FE6">
      <w:pPr>
        <w:pStyle w:val="BodyText"/>
      </w:pPr>
      <w:r>
        <w:rPr>
          <w:b/>
          <w:bCs/>
        </w:rPr>
        <w:t>Note d’application</w:t>
      </w:r>
    </w:p>
    <w:p w14:paraId="347D11B8" w14:textId="77777777" w:rsidR="0084489F" w:rsidRDefault="00110FE6">
      <w:pPr>
        <w:pStyle w:val="BodyText"/>
      </w:pPr>
      <w:r>
        <w:t xml:space="preserve">Cette propriété associe une instance de </w:t>
      </w:r>
      <w:r>
        <w:rPr>
          <w:rStyle w:val="VerbatimChar"/>
        </w:rPr>
        <w:t>E92_Volume_spatio-temporel</w:t>
      </w:r>
      <w:r>
        <w:t xml:space="preserve"> à une autre instance de </w:t>
      </w:r>
      <w:r>
        <w:rPr>
          <w:rStyle w:val="VerbatimChar"/>
        </w:rPr>
        <w:t>E92_Volume_spatio-temporel</w:t>
      </w:r>
      <w:r>
        <w:t xml:space="preserve"> qui s’insère dans cette dernière. En d’autres termes, tous les points de la première instance sont également des points de la dernière.</w:t>
      </w:r>
    </w:p>
    <w:p w14:paraId="3D1D90B1" w14:textId="77777777" w:rsidR="0084489F" w:rsidRDefault="00110FE6">
      <w:pPr>
        <w:pStyle w:val="BodyText"/>
      </w:pPr>
      <w:r>
        <w:lastRenderedPageBreak/>
        <w:t>Cette propriété est transitive et réflexive.</w:t>
      </w:r>
    </w:p>
    <w:p w14:paraId="3244AFC4" w14:textId="77777777" w:rsidR="0084489F" w:rsidRDefault="00110FE6">
      <w:pPr>
        <w:pStyle w:val="BodyText"/>
      </w:pPr>
      <w:r>
        <w:rPr>
          <w:b/>
          <w:bCs/>
        </w:rPr>
        <w:t>Exemples</w:t>
      </w:r>
    </w:p>
    <w:p w14:paraId="1017C766" w14:textId="77777777" w:rsidR="0084489F" w:rsidRDefault="00110FE6" w:rsidP="00806324">
      <w:pPr>
        <w:numPr>
          <w:ilvl w:val="0"/>
          <w:numId w:val="147"/>
        </w:numPr>
      </w:pPr>
      <w:r>
        <w:t>La grande peste de Londres (</w:t>
      </w:r>
      <w:r>
        <w:rPr>
          <w:rStyle w:val="VerbatimChar"/>
        </w:rPr>
        <w:t>E4_Période</w:t>
      </w:r>
      <w:r>
        <w:t>) s’insère dans (</w:t>
      </w:r>
      <w:r>
        <w:rPr>
          <w:rStyle w:val="VerbatimChar"/>
        </w:rPr>
        <w:t>P10_s’insère_dans</w:t>
      </w:r>
      <w:r>
        <w:t>) la période de l’art gothique (</w:t>
      </w:r>
      <w:r>
        <w:rPr>
          <w:rStyle w:val="VerbatimChar"/>
        </w:rPr>
        <w:t>E4_Période</w:t>
      </w:r>
      <w:r>
        <w:t>) (Porter, 2009)</w:t>
      </w:r>
    </w:p>
    <w:p w14:paraId="7B495BAF" w14:textId="77777777" w:rsidR="0084489F" w:rsidRDefault="00110FE6">
      <w:pPr>
        <w:pStyle w:val="FirstParagraph"/>
      </w:pPr>
      <w:r>
        <w:rPr>
          <w:b/>
          <w:bCs/>
        </w:rPr>
        <w:t>Logique</w:t>
      </w:r>
    </w:p>
    <w:p w14:paraId="484F3B4A" w14:textId="77777777" w:rsidR="0084489F" w:rsidRDefault="00110FE6">
      <w:pPr>
        <w:pStyle w:val="BodyText"/>
      </w:pPr>
      <w:r w:rsidRPr="1B9E7434">
        <w:rPr>
          <w:lang w:val="fr-FR"/>
        </w:rPr>
        <w:t>P10(x,y) ⇒ E92(x)</w:t>
      </w:r>
    </w:p>
    <w:p w14:paraId="22A26352" w14:textId="77777777" w:rsidR="0084489F" w:rsidRDefault="00110FE6">
      <w:pPr>
        <w:pStyle w:val="BodyText"/>
      </w:pPr>
      <w:r w:rsidRPr="1B9E7434">
        <w:rPr>
          <w:lang w:val="fr-FR"/>
        </w:rPr>
        <w:t>P10(x,y) ⇒ E92(y)</w:t>
      </w:r>
    </w:p>
    <w:p w14:paraId="4AC907AC" w14:textId="77777777" w:rsidR="0084489F" w:rsidRDefault="00110FE6">
      <w:pPr>
        <w:pStyle w:val="BodyText"/>
      </w:pPr>
      <w:r w:rsidRPr="1B9E7434">
        <w:rPr>
          <w:lang w:val="fr-FR"/>
        </w:rPr>
        <w:t>P10(x,y) ⇒ P132(x,y)</w:t>
      </w:r>
    </w:p>
    <w:p w14:paraId="1D3824E2" w14:textId="77777777" w:rsidR="0084489F" w:rsidRDefault="00110FE6">
      <w:pPr>
        <w:pStyle w:val="BodyText"/>
      </w:pPr>
      <w:r w:rsidRPr="1B9E7434">
        <w:rPr>
          <w:lang w:val="fr-FR"/>
        </w:rPr>
        <w:t>P10(x,y) ∧ P10(y,z) ⇒ P10(x,z)</w:t>
      </w:r>
    </w:p>
    <w:p w14:paraId="0DEBABF3" w14:textId="77777777" w:rsidR="0084489F" w:rsidRDefault="00110FE6">
      <w:pPr>
        <w:pStyle w:val="BodyText"/>
      </w:pPr>
      <w:r w:rsidRPr="1B9E7434">
        <w:rPr>
          <w:lang w:val="fr-FR"/>
        </w:rPr>
        <w:t>P10(x,x)</w:t>
      </w:r>
    </w:p>
    <w:p w14:paraId="25304572" w14:textId="77777777" w:rsidR="0084489F" w:rsidRDefault="00110FE6">
      <w:pPr>
        <w:pStyle w:val="BodyText"/>
      </w:pPr>
      <w:r>
        <w:rPr>
          <w:b/>
          <w:bCs/>
        </w:rPr>
        <w:t>Propriétés</w:t>
      </w:r>
    </w:p>
    <w:p w14:paraId="47E4FAC8" w14:textId="77777777" w:rsidR="0084489F" w:rsidRDefault="00110FE6">
      <w:pPr>
        <w:pStyle w:val="BlockText"/>
      </w:pPr>
      <w:r>
        <w:rPr>
          <w:b/>
          <w:bCs/>
          <w:i/>
          <w:iCs/>
        </w:rPr>
        <w:t>Note de traduction</w:t>
      </w:r>
    </w:p>
    <w:p w14:paraId="3675B8BA" w14:textId="77777777" w:rsidR="0084489F" w:rsidRDefault="00110FE6">
      <w:pPr>
        <w:pStyle w:val="BlockText"/>
      </w:pPr>
      <w:r>
        <w:rPr>
          <w:b/>
          <w:bCs/>
          <w:i/>
          <w:iCs/>
        </w:rPr>
        <w:t>Références</w:t>
      </w:r>
    </w:p>
    <w:p w14:paraId="5D3C8AE4" w14:textId="77777777" w:rsidR="0084489F" w:rsidRDefault="0084489F">
      <w:pPr>
        <w:pStyle w:val="BlockText"/>
      </w:pPr>
    </w:p>
    <w:p w14:paraId="76A92611" w14:textId="77777777" w:rsidR="0084489F" w:rsidRDefault="00110FE6" w:rsidP="008D6B6D">
      <w:pPr>
        <w:pStyle w:val="Heading2"/>
      </w:pPr>
      <w:bookmarkStart w:id="292" w:name="_Toc176864526"/>
      <w:bookmarkStart w:id="293" w:name="Xdbc3261115d94523e58e02e9b8a10239c297eb3"/>
      <w:bookmarkEnd w:id="291"/>
      <w:r>
        <w:t>P11 a eu pour actant participant (a participé à)</w:t>
      </w:r>
      <w:bookmarkEnd w:id="292"/>
    </w:p>
    <w:p w14:paraId="522640D4" w14:textId="77777777" w:rsidR="0084489F" w:rsidRDefault="00110FE6" w:rsidP="008D6B6D">
      <w:pPr>
        <w:pStyle w:val="FirstParagraph"/>
        <w:keepNext/>
        <w:keepLines/>
      </w:pPr>
      <w:r>
        <w:rPr>
          <w:b/>
          <w:bCs/>
        </w:rPr>
        <w:t>Domaine</w:t>
      </w:r>
    </w:p>
    <w:p w14:paraId="2091D92A" w14:textId="77777777" w:rsidR="0084489F" w:rsidRDefault="00110FE6" w:rsidP="008D6B6D">
      <w:pPr>
        <w:pStyle w:val="BodyText"/>
        <w:keepNext/>
        <w:keepLines/>
      </w:pPr>
      <w:r>
        <w:rPr>
          <w:rStyle w:val="VerbatimChar"/>
        </w:rPr>
        <w:t>E5_Évènement</w:t>
      </w:r>
    </w:p>
    <w:p w14:paraId="1644D310" w14:textId="77777777" w:rsidR="0084489F" w:rsidRDefault="00110FE6">
      <w:pPr>
        <w:pStyle w:val="BodyText"/>
      </w:pPr>
      <w:r>
        <w:rPr>
          <w:b/>
          <w:bCs/>
        </w:rPr>
        <w:t>Portée</w:t>
      </w:r>
    </w:p>
    <w:p w14:paraId="6961C621" w14:textId="77777777" w:rsidR="0084489F" w:rsidRDefault="00110FE6">
      <w:pPr>
        <w:pStyle w:val="BodyText"/>
      </w:pPr>
      <w:r>
        <w:rPr>
          <w:rStyle w:val="VerbatimChar"/>
        </w:rPr>
        <w:t>E39_Actant</w:t>
      </w:r>
    </w:p>
    <w:p w14:paraId="66FADE77" w14:textId="77777777" w:rsidR="0084489F" w:rsidRDefault="00110FE6">
      <w:pPr>
        <w:pStyle w:val="BodyText"/>
      </w:pPr>
      <w:r>
        <w:rPr>
          <w:b/>
          <w:bCs/>
        </w:rPr>
        <w:t>Sous-propriété de</w:t>
      </w:r>
    </w:p>
    <w:p w14:paraId="41356C73"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P12_a_eu_lieu_en_présence_de (a_été_présent_à)</w:t>
      </w:r>
      <w:r w:rsidRPr="1B9E7434">
        <w:rPr>
          <w:lang w:val="fr-FR"/>
        </w:rPr>
        <w:t xml:space="preserve"> : </w:t>
      </w:r>
      <w:r w:rsidRPr="1B9E7434">
        <w:rPr>
          <w:rStyle w:val="VerbatimChar"/>
          <w:lang w:val="fr-FR"/>
        </w:rPr>
        <w:t>E77_Entité_persistante</w:t>
      </w:r>
    </w:p>
    <w:p w14:paraId="398E3CDD" w14:textId="77777777" w:rsidR="0084489F" w:rsidRDefault="00110FE6">
      <w:pPr>
        <w:pStyle w:val="BodyText"/>
      </w:pPr>
      <w:r>
        <w:rPr>
          <w:b/>
          <w:bCs/>
        </w:rPr>
        <w:t>Super-propriété de</w:t>
      </w:r>
    </w:p>
    <w:p w14:paraId="20C1AFE5"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P14_a_été_effectué_par (a_effectué)</w:t>
      </w:r>
      <w:r w:rsidRPr="1B9E7434">
        <w:rPr>
          <w:lang w:val="fr-FR"/>
        </w:rPr>
        <w:t xml:space="preserve"> : </w:t>
      </w:r>
      <w:r w:rsidRPr="1B9E7434">
        <w:rPr>
          <w:rStyle w:val="VerbatimChar"/>
          <w:lang w:val="fr-FR"/>
        </w:rPr>
        <w:t>E39_Actant</w:t>
      </w:r>
    </w:p>
    <w:p w14:paraId="4185B437" w14:textId="77777777" w:rsidR="0084489F" w:rsidRDefault="00110FE6">
      <w:pPr>
        <w:pStyle w:val="BodyText"/>
      </w:pPr>
      <w:r w:rsidRPr="1B9E7434">
        <w:rPr>
          <w:rStyle w:val="VerbatimChar"/>
          <w:lang w:val="fr-FR"/>
        </w:rPr>
        <w:t>E67_Naissance</w:t>
      </w:r>
      <w:r w:rsidRPr="1B9E7434">
        <w:rPr>
          <w:lang w:val="fr-FR"/>
        </w:rPr>
        <w:t xml:space="preserve">. </w:t>
      </w:r>
      <w:r w:rsidRPr="1B9E7434">
        <w:rPr>
          <w:rStyle w:val="VerbatimChar"/>
          <w:lang w:val="fr-FR"/>
        </w:rPr>
        <w:t>P96_de_mère (a_donné_naissance_à)</w:t>
      </w:r>
      <w:r w:rsidRPr="1B9E7434">
        <w:rPr>
          <w:lang w:val="fr-FR"/>
        </w:rPr>
        <w:t xml:space="preserve"> : </w:t>
      </w:r>
      <w:r w:rsidRPr="1B9E7434">
        <w:rPr>
          <w:rStyle w:val="VerbatimChar"/>
          <w:lang w:val="fr-FR"/>
        </w:rPr>
        <w:t>E21_Personne</w:t>
      </w:r>
    </w:p>
    <w:p w14:paraId="415F7B85" w14:textId="77777777" w:rsidR="0084489F" w:rsidRDefault="00110FE6">
      <w:pPr>
        <w:pStyle w:val="BodyText"/>
      </w:pPr>
      <w:r w:rsidRPr="1B9E7434">
        <w:rPr>
          <w:rStyle w:val="VerbatimChar"/>
          <w:lang w:val="fr-FR"/>
        </w:rPr>
        <w:t>E68_Dissolution</w:t>
      </w:r>
      <w:r w:rsidRPr="1B9E7434">
        <w:rPr>
          <w:lang w:val="fr-FR"/>
        </w:rPr>
        <w:t xml:space="preserve">. </w:t>
      </w:r>
      <w:r w:rsidRPr="1B9E7434">
        <w:rPr>
          <w:rStyle w:val="VerbatimChar"/>
          <w:lang w:val="fr-FR"/>
        </w:rPr>
        <w:t>P99_a_dissous (a_été_dissous_par)</w:t>
      </w:r>
      <w:r w:rsidRPr="1B9E7434">
        <w:rPr>
          <w:lang w:val="fr-FR"/>
        </w:rPr>
        <w:t xml:space="preserve"> : </w:t>
      </w:r>
      <w:r w:rsidRPr="1B9E7434">
        <w:rPr>
          <w:rStyle w:val="VerbatimChar"/>
          <w:lang w:val="fr-FR"/>
        </w:rPr>
        <w:t>E74_Groupe</w:t>
      </w:r>
    </w:p>
    <w:p w14:paraId="0712797B" w14:textId="77777777" w:rsidR="0084489F" w:rsidRDefault="00110FE6">
      <w:pPr>
        <w:pStyle w:val="BodyText"/>
      </w:pPr>
      <w:r w:rsidRPr="1B9E7434">
        <w:rPr>
          <w:rStyle w:val="VerbatimChar"/>
          <w:lang w:val="fr-FR"/>
        </w:rPr>
        <w:t>E85_Adhésion</w:t>
      </w:r>
      <w:r w:rsidRPr="1B9E7434">
        <w:rPr>
          <w:lang w:val="fr-FR"/>
        </w:rPr>
        <w:t xml:space="preserve">. </w:t>
      </w:r>
      <w:r w:rsidRPr="1B9E7434">
        <w:rPr>
          <w:rStyle w:val="VerbatimChar"/>
          <w:lang w:val="fr-FR"/>
        </w:rPr>
        <w:t>P143_a_fait_adhérer (a_adhéré_par)</w:t>
      </w:r>
      <w:r w:rsidRPr="1B9E7434">
        <w:rPr>
          <w:lang w:val="fr-FR"/>
        </w:rPr>
        <w:t xml:space="preserve"> : </w:t>
      </w:r>
      <w:r w:rsidRPr="1B9E7434">
        <w:rPr>
          <w:rStyle w:val="VerbatimChar"/>
          <w:lang w:val="fr-FR"/>
        </w:rPr>
        <w:t>E39_Actant</w:t>
      </w:r>
    </w:p>
    <w:p w14:paraId="6ACB2731" w14:textId="77777777" w:rsidR="0084489F" w:rsidRDefault="00110FE6">
      <w:pPr>
        <w:pStyle w:val="BodyText"/>
      </w:pPr>
      <w:r w:rsidRPr="1B9E7434">
        <w:rPr>
          <w:rStyle w:val="VerbatimChar"/>
          <w:lang w:val="fr-FR"/>
        </w:rPr>
        <w:t>E85_Adhésion</w:t>
      </w:r>
      <w:r w:rsidRPr="1B9E7434">
        <w:rPr>
          <w:lang w:val="fr-FR"/>
        </w:rPr>
        <w:t xml:space="preserve">. </w:t>
      </w:r>
      <w:r w:rsidRPr="1B9E7434">
        <w:rPr>
          <w:rStyle w:val="VerbatimChar"/>
          <w:lang w:val="fr-FR"/>
        </w:rPr>
        <w:t>P144_a_fait_adhérer_à (a_accueilli_le_membre_par)</w:t>
      </w:r>
      <w:r w:rsidRPr="1B9E7434">
        <w:rPr>
          <w:lang w:val="fr-FR"/>
        </w:rPr>
        <w:t xml:space="preserve"> : </w:t>
      </w:r>
      <w:r w:rsidRPr="1B9E7434">
        <w:rPr>
          <w:rStyle w:val="VerbatimChar"/>
          <w:lang w:val="fr-FR"/>
        </w:rPr>
        <w:t>E74_Groupe</w:t>
      </w:r>
    </w:p>
    <w:p w14:paraId="0EAB75E5" w14:textId="77777777" w:rsidR="0084489F" w:rsidRDefault="00110FE6">
      <w:pPr>
        <w:pStyle w:val="BodyText"/>
      </w:pPr>
      <w:r w:rsidRPr="1B9E7434">
        <w:rPr>
          <w:rStyle w:val="VerbatimChar"/>
          <w:lang w:val="fr-FR"/>
        </w:rPr>
        <w:t>E86_Départ</w:t>
      </w:r>
      <w:r w:rsidRPr="1B9E7434">
        <w:rPr>
          <w:lang w:val="fr-FR"/>
        </w:rPr>
        <w:t xml:space="preserve">. </w:t>
      </w:r>
      <w:r w:rsidRPr="1B9E7434">
        <w:rPr>
          <w:rStyle w:val="VerbatimChar"/>
          <w:lang w:val="fr-FR"/>
        </w:rPr>
        <w:t>P145_a_dissocié (est_dissocié_par)</w:t>
      </w:r>
      <w:r w:rsidRPr="1B9E7434">
        <w:rPr>
          <w:lang w:val="fr-FR"/>
        </w:rPr>
        <w:t xml:space="preserve"> : </w:t>
      </w:r>
      <w:r w:rsidRPr="1B9E7434">
        <w:rPr>
          <w:rStyle w:val="VerbatimChar"/>
          <w:lang w:val="fr-FR"/>
        </w:rPr>
        <w:t>E39_Actant</w:t>
      </w:r>
    </w:p>
    <w:p w14:paraId="62D685AA" w14:textId="77777777" w:rsidR="0084489F" w:rsidRDefault="00110FE6">
      <w:pPr>
        <w:pStyle w:val="BodyText"/>
      </w:pPr>
      <w:r w:rsidRPr="1B9E7434">
        <w:rPr>
          <w:rStyle w:val="VerbatimChar"/>
          <w:lang w:val="fr-FR"/>
        </w:rPr>
        <w:t>E86_Départ</w:t>
      </w:r>
      <w:r w:rsidRPr="1B9E7434">
        <w:rPr>
          <w:lang w:val="fr-FR"/>
        </w:rPr>
        <w:t xml:space="preserve">. </w:t>
      </w:r>
      <w:r w:rsidRPr="1B9E7434">
        <w:rPr>
          <w:rStyle w:val="VerbatimChar"/>
          <w:lang w:val="fr-FR"/>
        </w:rPr>
        <w:t>P146_a_dissocié_de (a_perdu_le_membre_par)</w:t>
      </w:r>
      <w:r w:rsidRPr="1B9E7434">
        <w:rPr>
          <w:lang w:val="fr-FR"/>
        </w:rPr>
        <w:t xml:space="preserve"> : </w:t>
      </w:r>
      <w:r w:rsidRPr="1B9E7434">
        <w:rPr>
          <w:rStyle w:val="VerbatimChar"/>
          <w:lang w:val="fr-FR"/>
        </w:rPr>
        <w:t>E74_Groupe</w:t>
      </w:r>
    </w:p>
    <w:p w14:paraId="5AD2C2CB" w14:textId="77777777" w:rsidR="0084489F" w:rsidRDefault="00110FE6">
      <w:pPr>
        <w:pStyle w:val="BodyText"/>
      </w:pPr>
      <w:r w:rsidRPr="1B9E7434">
        <w:rPr>
          <w:rStyle w:val="VerbatimChar"/>
          <w:lang w:val="fr-FR"/>
        </w:rPr>
        <w:t>E66_Formation</w:t>
      </w:r>
      <w:r w:rsidRPr="1B9E7434">
        <w:rPr>
          <w:lang w:val="fr-FR"/>
        </w:rPr>
        <w:t xml:space="preserve">. </w:t>
      </w:r>
      <w:r w:rsidRPr="1B9E7434">
        <w:rPr>
          <w:rStyle w:val="VerbatimChar"/>
          <w:lang w:val="fr-FR"/>
        </w:rPr>
        <w:t>P151_a_été_formé_à_partir_de (a_participé_à)</w:t>
      </w:r>
      <w:r w:rsidRPr="1B9E7434">
        <w:rPr>
          <w:lang w:val="fr-FR"/>
        </w:rPr>
        <w:t xml:space="preserve"> : </w:t>
      </w:r>
      <w:r w:rsidRPr="1B9E7434">
        <w:rPr>
          <w:rStyle w:val="VerbatimChar"/>
          <w:lang w:val="fr-FR"/>
        </w:rPr>
        <w:t>E74_Groupe</w:t>
      </w:r>
    </w:p>
    <w:p w14:paraId="6287BF22" w14:textId="77777777" w:rsidR="0084489F" w:rsidRDefault="00110FE6">
      <w:pPr>
        <w:pStyle w:val="BodyText"/>
      </w:pPr>
      <w:r>
        <w:rPr>
          <w:b/>
          <w:bCs/>
        </w:rPr>
        <w:t>Quantification</w:t>
      </w:r>
    </w:p>
    <w:p w14:paraId="0CBC6FF2" w14:textId="77777777" w:rsidR="0084489F" w:rsidRDefault="00110FE6">
      <w:pPr>
        <w:pStyle w:val="BodyText"/>
      </w:pPr>
      <w:r w:rsidRPr="1B9E7434">
        <w:rPr>
          <w:lang w:val="fr-FR"/>
        </w:rPr>
        <w:t>plusieurs à plusieurs (0,n:0,n)</w:t>
      </w:r>
    </w:p>
    <w:p w14:paraId="341F3C4E" w14:textId="77777777" w:rsidR="0084489F" w:rsidRDefault="00110FE6">
      <w:pPr>
        <w:pStyle w:val="BodyText"/>
      </w:pPr>
      <w:r>
        <w:rPr>
          <w:b/>
          <w:bCs/>
        </w:rPr>
        <w:lastRenderedPageBreak/>
        <w:t>Note d’application</w:t>
      </w:r>
    </w:p>
    <w:p w14:paraId="2D594851" w14:textId="77777777" w:rsidR="0084489F" w:rsidRDefault="00110FE6">
      <w:pPr>
        <w:pStyle w:val="BodyText"/>
      </w:pPr>
      <w:r>
        <w:t xml:space="preserve">Cette propriété décrit la participation active ou passive d’une instance de </w:t>
      </w:r>
      <w:r>
        <w:rPr>
          <w:rStyle w:val="VerbatimChar"/>
        </w:rPr>
        <w:t>E39_Actant</w:t>
      </w:r>
      <w:r>
        <w:t xml:space="preserve"> à une instance de </w:t>
      </w:r>
      <w:r>
        <w:rPr>
          <w:rStyle w:val="VerbatimChar"/>
        </w:rPr>
        <w:t>E5_Évènement</w:t>
      </w:r>
      <w:r>
        <w:t>.</w:t>
      </w:r>
    </w:p>
    <w:p w14:paraId="553805F2" w14:textId="77777777" w:rsidR="0084489F" w:rsidRDefault="00110FE6">
      <w:pPr>
        <w:pStyle w:val="BodyText"/>
      </w:pPr>
      <w:r>
        <w:t xml:space="preserve">Elle documente les évènements connus auxquels une instance de </w:t>
      </w:r>
      <w:r>
        <w:rPr>
          <w:rStyle w:val="VerbatimChar"/>
        </w:rPr>
        <w:t>E39_Actant</w:t>
      </w:r>
      <w:r>
        <w:t xml:space="preserve"> a pris part durant le cours de sa vie ou de son histoire.</w:t>
      </w:r>
    </w:p>
    <w:p w14:paraId="6148E96E" w14:textId="77777777" w:rsidR="0084489F" w:rsidRDefault="00110FE6">
      <w:pPr>
        <w:pStyle w:val="BodyText"/>
      </w:pPr>
      <w:r>
        <w:t xml:space="preserve">Les instances de </w:t>
      </w:r>
      <w:r>
        <w:rPr>
          <w:rStyle w:val="VerbatimChar"/>
        </w:rPr>
        <w:t>E53_Lieu</w:t>
      </w:r>
      <w:r>
        <w:t xml:space="preserve"> et de </w:t>
      </w:r>
      <w:r>
        <w:rPr>
          <w:rStyle w:val="VerbatimChar"/>
        </w:rPr>
        <w:t>E52_Intervalle_temporel</w:t>
      </w:r>
      <w:r>
        <w:t xml:space="preserve"> précisant où et quand ces évènements ont eu lieu indiquent des contraintes quant à la présence dans le passé des instances de </w:t>
      </w:r>
      <w:r>
        <w:rPr>
          <w:rStyle w:val="VerbatimChar"/>
        </w:rPr>
        <w:t>E39_Actant</w:t>
      </w:r>
      <w:r>
        <w:t xml:space="preserve"> impliquées dans ces évènements.</w:t>
      </w:r>
    </w:p>
    <w:p w14:paraId="45301CF8" w14:textId="77777777" w:rsidR="0084489F" w:rsidRDefault="00110FE6">
      <w:pPr>
        <w:pStyle w:val="BodyText"/>
      </w:pPr>
      <w:r>
        <w:t xml:space="preserve">Les actants collectifs, c.-à-d. les instances de </w:t>
      </w:r>
      <w:r>
        <w:rPr>
          <w:rStyle w:val="VerbatimChar"/>
        </w:rPr>
        <w:t>E74_Groupe</w:t>
      </w:r>
      <w:r>
        <w:t xml:space="preserve">, ne peuvent participer physiquement à des évènements que par l’intermédiaire des instances de </w:t>
      </w:r>
      <w:r>
        <w:rPr>
          <w:rStyle w:val="VerbatimChar"/>
        </w:rPr>
        <w:t>E21_Personne</w:t>
      </w:r>
      <w:r>
        <w:t xml:space="preserve"> qui les caractérisent. La participation de plusieurs actants à un évènement est très probablement une indication de leurs connaissances et interactions.</w:t>
      </w:r>
    </w:p>
    <w:p w14:paraId="61D4212C" w14:textId="77777777" w:rsidR="0084489F" w:rsidRDefault="00110FE6">
      <w:pPr>
        <w:pStyle w:val="BodyText"/>
      </w:pPr>
      <w:r>
        <w:t>Cette propriété signifie qu’un actant a été impliqué dans un évènement, mais n’implique aucune relation causale. Par exemple, une personne dépeinte peut être considérée comme ayant participé à la création de son portrait.</w:t>
      </w:r>
    </w:p>
    <w:p w14:paraId="22096EFA" w14:textId="77777777" w:rsidR="0084489F" w:rsidRDefault="00110FE6" w:rsidP="008D6B6D">
      <w:pPr>
        <w:pStyle w:val="BodyText"/>
        <w:keepNext/>
      </w:pPr>
      <w:r>
        <w:rPr>
          <w:b/>
          <w:bCs/>
        </w:rPr>
        <w:t>Exemples</w:t>
      </w:r>
    </w:p>
    <w:p w14:paraId="5EF32610" w14:textId="77777777" w:rsidR="0084489F" w:rsidRDefault="00110FE6" w:rsidP="00806324">
      <w:pPr>
        <w:keepNext/>
        <w:numPr>
          <w:ilvl w:val="0"/>
          <w:numId w:val="148"/>
        </w:numPr>
      </w:pPr>
      <w:r>
        <w:t>Napoléon (</w:t>
      </w:r>
      <w:r>
        <w:rPr>
          <w:rStyle w:val="VerbatimChar"/>
        </w:rPr>
        <w:t>E21_Personne</w:t>
      </w:r>
      <w:r>
        <w:t>) a participé à (</w:t>
      </w:r>
      <w:r>
        <w:rPr>
          <w:rStyle w:val="VerbatimChar"/>
        </w:rPr>
        <w:t>P11i_a_participé_à</w:t>
      </w:r>
      <w:r>
        <w:t>) la Bataille de Waterloo (</w:t>
      </w:r>
      <w:r>
        <w:rPr>
          <w:rStyle w:val="VerbatimChar"/>
        </w:rPr>
        <w:t>E7_Activité</w:t>
      </w:r>
      <w:r>
        <w:t>) (Dawson, 2018)</w:t>
      </w:r>
    </w:p>
    <w:p w14:paraId="31082B53" w14:textId="77777777" w:rsidR="0084489F" w:rsidRDefault="00110FE6" w:rsidP="00806324">
      <w:pPr>
        <w:numPr>
          <w:ilvl w:val="0"/>
          <w:numId w:val="148"/>
        </w:numPr>
      </w:pPr>
      <w:r>
        <w:t>Maria (</w:t>
      </w:r>
      <w:r>
        <w:rPr>
          <w:rStyle w:val="VerbatimChar"/>
        </w:rPr>
        <w:t>E21_Personne</w:t>
      </w:r>
      <w:r>
        <w:t>) a participé à (</w:t>
      </w:r>
      <w:r>
        <w:rPr>
          <w:rStyle w:val="VerbatimChar"/>
        </w:rPr>
        <w:t>P11i_a_participé_à</w:t>
      </w:r>
      <w:r>
        <w:t>) la Photographie de Maria (</w:t>
      </w:r>
      <w:r>
        <w:rPr>
          <w:rStyle w:val="VerbatimChar"/>
        </w:rPr>
        <w:t>E7_Activité</w:t>
      </w:r>
      <w:r>
        <w:t>)</w:t>
      </w:r>
    </w:p>
    <w:p w14:paraId="2172DE21" w14:textId="77777777" w:rsidR="0084489F" w:rsidRDefault="00110FE6">
      <w:pPr>
        <w:pStyle w:val="FirstParagraph"/>
      </w:pPr>
      <w:r>
        <w:rPr>
          <w:b/>
          <w:bCs/>
        </w:rPr>
        <w:t>Logique</w:t>
      </w:r>
    </w:p>
    <w:p w14:paraId="4EC05CB2" w14:textId="77777777" w:rsidR="0084489F" w:rsidRDefault="00110FE6">
      <w:pPr>
        <w:pStyle w:val="BodyText"/>
      </w:pPr>
      <w:r w:rsidRPr="1B9E7434">
        <w:rPr>
          <w:lang w:val="fr-FR"/>
        </w:rPr>
        <w:t>P11(x,y) ⇒ E5(x)</w:t>
      </w:r>
    </w:p>
    <w:p w14:paraId="44B10828" w14:textId="77777777" w:rsidR="0084489F" w:rsidRDefault="00110FE6">
      <w:pPr>
        <w:pStyle w:val="BodyText"/>
      </w:pPr>
      <w:r w:rsidRPr="1B9E7434">
        <w:rPr>
          <w:lang w:val="fr-FR"/>
        </w:rPr>
        <w:t>P11(x,y) ⇒ E39(y)</w:t>
      </w:r>
    </w:p>
    <w:p w14:paraId="5692CB29" w14:textId="77777777" w:rsidR="0084489F" w:rsidRDefault="00110FE6">
      <w:pPr>
        <w:pStyle w:val="BodyText"/>
      </w:pPr>
      <w:r w:rsidRPr="1B9E7434">
        <w:rPr>
          <w:lang w:val="fr-FR"/>
        </w:rPr>
        <w:t>P11(x,y) ⇒ P12(x,y)</w:t>
      </w:r>
    </w:p>
    <w:p w14:paraId="5888BB8F" w14:textId="77777777" w:rsidR="0084489F" w:rsidRDefault="00110FE6">
      <w:pPr>
        <w:pStyle w:val="BodyText"/>
      </w:pPr>
      <w:r>
        <w:rPr>
          <w:b/>
          <w:bCs/>
        </w:rPr>
        <w:t>Propriétés</w:t>
      </w:r>
    </w:p>
    <w:p w14:paraId="10904AB9" w14:textId="77777777" w:rsidR="0084489F" w:rsidRDefault="00110FE6">
      <w:pPr>
        <w:pStyle w:val="BlockText"/>
      </w:pPr>
      <w:r>
        <w:rPr>
          <w:b/>
          <w:bCs/>
          <w:i/>
          <w:iCs/>
        </w:rPr>
        <w:t>Note de traduction</w:t>
      </w:r>
    </w:p>
    <w:p w14:paraId="0A8F52A8" w14:textId="77777777" w:rsidR="0084489F" w:rsidRDefault="00110FE6">
      <w:pPr>
        <w:pStyle w:val="BlockText"/>
      </w:pPr>
      <w:r>
        <w:rPr>
          <w:b/>
          <w:bCs/>
          <w:i/>
          <w:iCs/>
        </w:rPr>
        <w:t>Références</w:t>
      </w:r>
    </w:p>
    <w:p w14:paraId="3762BA65" w14:textId="77777777" w:rsidR="0084489F" w:rsidRDefault="0084489F">
      <w:pPr>
        <w:pStyle w:val="BlockText"/>
      </w:pPr>
    </w:p>
    <w:p w14:paraId="6195737B" w14:textId="77777777" w:rsidR="0084489F" w:rsidRDefault="00110FE6">
      <w:pPr>
        <w:pStyle w:val="Heading2"/>
      </w:pPr>
      <w:bookmarkStart w:id="294" w:name="_Toc176864527"/>
      <w:bookmarkStart w:id="295" w:name="Xf265938c6d8c7c696b9c9e3cd4813b14819ba8e"/>
      <w:bookmarkEnd w:id="293"/>
      <w:r>
        <w:t>P12 a eu lieu en présence de (a été présent à)</w:t>
      </w:r>
      <w:bookmarkEnd w:id="294"/>
    </w:p>
    <w:p w14:paraId="3D7C17C4" w14:textId="77777777" w:rsidR="0084489F" w:rsidRDefault="00110FE6">
      <w:pPr>
        <w:pStyle w:val="FirstParagraph"/>
      </w:pPr>
      <w:r>
        <w:rPr>
          <w:b/>
          <w:bCs/>
        </w:rPr>
        <w:t>Domaine</w:t>
      </w:r>
    </w:p>
    <w:p w14:paraId="5CA88B20" w14:textId="77777777" w:rsidR="0084489F" w:rsidRDefault="00110FE6">
      <w:pPr>
        <w:pStyle w:val="BodyText"/>
      </w:pPr>
      <w:r>
        <w:rPr>
          <w:rStyle w:val="VerbatimChar"/>
        </w:rPr>
        <w:t>E5_Évènement</w:t>
      </w:r>
    </w:p>
    <w:p w14:paraId="48EE2B0F" w14:textId="77777777" w:rsidR="0084489F" w:rsidRDefault="00110FE6">
      <w:pPr>
        <w:pStyle w:val="BodyText"/>
      </w:pPr>
      <w:r>
        <w:rPr>
          <w:b/>
          <w:bCs/>
        </w:rPr>
        <w:t>Portée</w:t>
      </w:r>
    </w:p>
    <w:p w14:paraId="73F6AF85" w14:textId="77777777" w:rsidR="0084489F" w:rsidRDefault="00110FE6">
      <w:pPr>
        <w:pStyle w:val="BodyText"/>
      </w:pPr>
      <w:r>
        <w:rPr>
          <w:rStyle w:val="VerbatimChar"/>
        </w:rPr>
        <w:t>E77_Entité_persistante</w:t>
      </w:r>
    </w:p>
    <w:p w14:paraId="59B86FAF" w14:textId="77777777" w:rsidR="0084489F" w:rsidRDefault="00110FE6">
      <w:pPr>
        <w:pStyle w:val="BodyText"/>
      </w:pPr>
      <w:r>
        <w:rPr>
          <w:b/>
          <w:bCs/>
        </w:rPr>
        <w:t>Sous-propriété de</w:t>
      </w:r>
    </w:p>
    <w:p w14:paraId="13A17BD9" w14:textId="77777777" w:rsidR="0084489F" w:rsidRDefault="00110FE6">
      <w:pPr>
        <w:pStyle w:val="BodyText"/>
      </w:pPr>
      <w:r>
        <w:rPr>
          <w:b/>
          <w:bCs/>
        </w:rPr>
        <w:t>Super-propriété de</w:t>
      </w:r>
    </w:p>
    <w:p w14:paraId="3518DD32"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P11_a eu_pour_actant_participant (a_participé_à)</w:t>
      </w:r>
      <w:r w:rsidRPr="1B9E7434">
        <w:rPr>
          <w:lang w:val="fr-FR"/>
        </w:rPr>
        <w:t xml:space="preserve"> : </w:t>
      </w:r>
      <w:r w:rsidRPr="1B9E7434">
        <w:rPr>
          <w:rStyle w:val="VerbatimChar"/>
          <w:lang w:val="fr-FR"/>
        </w:rPr>
        <w:t>E39_Actant</w:t>
      </w:r>
    </w:p>
    <w:p w14:paraId="15EA84D5" w14:textId="77777777" w:rsidR="0084489F" w:rsidRDefault="00110FE6">
      <w:pPr>
        <w:pStyle w:val="BodyText"/>
      </w:pPr>
      <w:r w:rsidRPr="1B9E7434">
        <w:rPr>
          <w:rStyle w:val="VerbatimChar"/>
          <w:lang w:val="fr-FR"/>
        </w:rPr>
        <w:lastRenderedPageBreak/>
        <w:t>E7_Activité</w:t>
      </w:r>
      <w:r w:rsidRPr="1B9E7434">
        <w:rPr>
          <w:lang w:val="fr-FR"/>
        </w:rPr>
        <w:t xml:space="preserve">. </w:t>
      </w:r>
      <w:r w:rsidRPr="1B9E7434">
        <w:rPr>
          <w:rStyle w:val="VerbatimChar"/>
          <w:lang w:val="fr-FR"/>
        </w:rPr>
        <w:t>P16_a_mobilisé_l'objet_spécifique (a_été_mobilisé_pour)</w:t>
      </w:r>
      <w:r w:rsidRPr="1B9E7434">
        <w:rPr>
          <w:lang w:val="fr-FR"/>
        </w:rPr>
        <w:t xml:space="preserve"> : </w:t>
      </w:r>
      <w:r w:rsidRPr="1B9E7434">
        <w:rPr>
          <w:rStyle w:val="VerbatimChar"/>
          <w:lang w:val="fr-FR"/>
        </w:rPr>
        <w:t>E70_Chose</w:t>
      </w:r>
    </w:p>
    <w:p w14:paraId="60F6A5A9" w14:textId="77777777" w:rsidR="0084489F" w:rsidRDefault="00110FE6">
      <w:pPr>
        <w:pStyle w:val="BodyText"/>
      </w:pPr>
      <w:r w:rsidRPr="1B9E7434">
        <w:rPr>
          <w:rStyle w:val="VerbatimChar"/>
          <w:lang w:val="fr-FR"/>
        </w:rPr>
        <w:t>E9_Déplacement</w:t>
      </w:r>
      <w:r w:rsidRPr="1B9E7434">
        <w:rPr>
          <w:lang w:val="fr-FR"/>
        </w:rPr>
        <w:t xml:space="preserve">. </w:t>
      </w:r>
      <w:r w:rsidRPr="1B9E7434">
        <w:rPr>
          <w:rStyle w:val="VerbatimChar"/>
          <w:lang w:val="fr-FR"/>
        </w:rPr>
        <w:t>P25_a_déplacé (a_été_déplacé_par)</w:t>
      </w:r>
      <w:r w:rsidRPr="1B9E7434">
        <w:rPr>
          <w:lang w:val="fr-FR"/>
        </w:rPr>
        <w:t xml:space="preserve"> : </w:t>
      </w:r>
      <w:r w:rsidRPr="1B9E7434">
        <w:rPr>
          <w:rStyle w:val="VerbatimChar"/>
          <w:lang w:val="fr-FR"/>
        </w:rPr>
        <w:t>E18_Chose_matérielle</w:t>
      </w:r>
    </w:p>
    <w:p w14:paraId="713E2CC4" w14:textId="77777777" w:rsidR="0084489F" w:rsidRDefault="00110FE6">
      <w:pPr>
        <w:pStyle w:val="BodyText"/>
      </w:pPr>
      <w:r w:rsidRPr="1B9E7434">
        <w:rPr>
          <w:rStyle w:val="VerbatimChar"/>
          <w:lang w:val="fr-FR"/>
        </w:rPr>
        <w:t>E63_Début_d'existence</w:t>
      </w:r>
      <w:r w:rsidRPr="1B9E7434">
        <w:rPr>
          <w:lang w:val="fr-FR"/>
        </w:rPr>
        <w:t xml:space="preserve">. </w:t>
      </w:r>
      <w:r w:rsidRPr="1B9E7434">
        <w:rPr>
          <w:rStyle w:val="VerbatimChar"/>
          <w:lang w:val="fr-FR"/>
        </w:rPr>
        <w:t>P92_a_fait_exister (a_commencé_à_exister_par)</w:t>
      </w:r>
      <w:r w:rsidRPr="1B9E7434">
        <w:rPr>
          <w:lang w:val="fr-FR"/>
        </w:rPr>
        <w:t xml:space="preserve"> : </w:t>
      </w:r>
      <w:r w:rsidRPr="1B9E7434">
        <w:rPr>
          <w:rStyle w:val="VerbatimChar"/>
          <w:lang w:val="fr-FR"/>
        </w:rPr>
        <w:t>E77_Entité_persistante</w:t>
      </w:r>
    </w:p>
    <w:p w14:paraId="79485C60" w14:textId="77777777" w:rsidR="0084489F" w:rsidRDefault="00110FE6">
      <w:pPr>
        <w:pStyle w:val="BodyText"/>
      </w:pPr>
      <w:r w:rsidRPr="1B9E7434">
        <w:rPr>
          <w:rStyle w:val="VerbatimChar"/>
          <w:lang w:val="fr-FR"/>
        </w:rPr>
        <w:t>E64_Fin_d'existence</w:t>
      </w:r>
      <w:r w:rsidRPr="1B9E7434">
        <w:rPr>
          <w:lang w:val="fr-FR"/>
        </w:rPr>
        <w:t xml:space="preserve">. </w:t>
      </w:r>
      <w:r w:rsidRPr="1B9E7434">
        <w:rPr>
          <w:rStyle w:val="VerbatimChar"/>
          <w:lang w:val="fr-FR"/>
        </w:rPr>
        <w:t>P93_a_mis_fin_à_l'existence_de (a_cessé_d'exister_par)</w:t>
      </w:r>
      <w:r w:rsidRPr="1B9E7434">
        <w:rPr>
          <w:lang w:val="fr-FR"/>
        </w:rPr>
        <w:t xml:space="preserve"> : </w:t>
      </w:r>
      <w:r w:rsidRPr="1B9E7434">
        <w:rPr>
          <w:rStyle w:val="VerbatimChar"/>
          <w:lang w:val="fr-FR"/>
        </w:rPr>
        <w:t>E77_Entité_persistante</w:t>
      </w:r>
    </w:p>
    <w:p w14:paraId="680CD4C5" w14:textId="77777777" w:rsidR="0084489F" w:rsidRDefault="00110FE6">
      <w:pPr>
        <w:pStyle w:val="BodyText"/>
      </w:pPr>
      <w:r w:rsidRPr="1B9E7434">
        <w:rPr>
          <w:rStyle w:val="VerbatimChar"/>
          <w:lang w:val="fr-FR"/>
        </w:rPr>
        <w:t>E80_Retrait_d'élément</w:t>
      </w:r>
      <w:r w:rsidRPr="1B9E7434">
        <w:rPr>
          <w:lang w:val="fr-FR"/>
        </w:rPr>
        <w:t xml:space="preserve">. </w:t>
      </w:r>
      <w:r w:rsidRPr="1B9E7434">
        <w:rPr>
          <w:rStyle w:val="VerbatimChar"/>
          <w:lang w:val="fr-FR"/>
        </w:rPr>
        <w:t>P113_a_retiré (a_été_retiré_par)</w:t>
      </w:r>
      <w:r w:rsidRPr="1B9E7434">
        <w:rPr>
          <w:lang w:val="fr-FR"/>
        </w:rPr>
        <w:t xml:space="preserve"> : </w:t>
      </w:r>
      <w:r w:rsidRPr="1B9E7434">
        <w:rPr>
          <w:rStyle w:val="VerbatimChar"/>
          <w:lang w:val="fr-FR"/>
        </w:rPr>
        <w:t>E18_Chose_matérielle</w:t>
      </w:r>
    </w:p>
    <w:p w14:paraId="4F4B7A2F" w14:textId="77777777" w:rsidR="0084489F" w:rsidRDefault="00110FE6">
      <w:pPr>
        <w:pStyle w:val="BodyText"/>
      </w:pPr>
      <w:r>
        <w:rPr>
          <w:b/>
          <w:bCs/>
        </w:rPr>
        <w:t>Quantification</w:t>
      </w:r>
    </w:p>
    <w:p w14:paraId="1D9B3724" w14:textId="77777777" w:rsidR="0084489F" w:rsidRDefault="00110FE6">
      <w:pPr>
        <w:pStyle w:val="BodyText"/>
      </w:pPr>
      <w:r w:rsidRPr="1B9E7434">
        <w:rPr>
          <w:lang w:val="fr-FR"/>
        </w:rPr>
        <w:t>plusieurs à plusieurs, nécessaire (1,n:0,n)</w:t>
      </w:r>
    </w:p>
    <w:p w14:paraId="669F204A" w14:textId="77777777" w:rsidR="0084489F" w:rsidRDefault="00110FE6">
      <w:pPr>
        <w:pStyle w:val="BodyText"/>
      </w:pPr>
      <w:r>
        <w:rPr>
          <w:b/>
          <w:bCs/>
        </w:rPr>
        <w:t>Note d’application</w:t>
      </w:r>
    </w:p>
    <w:p w14:paraId="01A6AA47" w14:textId="77777777" w:rsidR="0084489F" w:rsidRDefault="00110FE6">
      <w:pPr>
        <w:pStyle w:val="BodyText"/>
      </w:pPr>
      <w:r>
        <w:t xml:space="preserve">Cette propriété décrit la présence active ou passive [n.d.t. d’une instance de] </w:t>
      </w:r>
      <w:r>
        <w:rPr>
          <w:rStyle w:val="VerbatimChar"/>
        </w:rPr>
        <w:t>E77_Entité_Persistante</w:t>
      </w:r>
      <w:r>
        <w:t xml:space="preserve"> à une instance de </w:t>
      </w:r>
      <w:r>
        <w:rPr>
          <w:rStyle w:val="VerbatimChar"/>
        </w:rPr>
        <w:t>E5_Évènement</w:t>
      </w:r>
      <w:r>
        <w:t xml:space="preserve"> sans impliquer de rôle spécifique.</w:t>
      </w:r>
    </w:p>
    <w:p w14:paraId="71DF0EC7" w14:textId="77777777" w:rsidR="0084489F" w:rsidRDefault="00110FE6">
      <w:pPr>
        <w:pStyle w:val="BodyText"/>
      </w:pPr>
      <w:r>
        <w:t xml:space="preserve">Elle documente les évènements connus au cours desquels une instance de </w:t>
      </w:r>
      <w:r>
        <w:rPr>
          <w:rStyle w:val="VerbatimChar"/>
        </w:rPr>
        <w:t>E77_Entité_persistante</w:t>
      </w:r>
      <w:r>
        <w:t xml:space="preserve"> était présente pendant le cours de son existence ou de son histoire.</w:t>
      </w:r>
    </w:p>
    <w:p w14:paraId="1546CFD9" w14:textId="77777777" w:rsidR="0084489F" w:rsidRDefault="00110FE6">
      <w:pPr>
        <w:pStyle w:val="BodyText"/>
      </w:pPr>
      <w:r>
        <w:t>Par exemple, l’objet peut être un bureau sur lequel un traité a été signé et qui se trouve maintenant dans un musée.</w:t>
      </w:r>
    </w:p>
    <w:p w14:paraId="58A077E5" w14:textId="77777777" w:rsidR="0084489F" w:rsidRDefault="00110FE6">
      <w:pPr>
        <w:pStyle w:val="BodyText"/>
      </w:pPr>
      <w:r>
        <w:t xml:space="preserve">L’instance de </w:t>
      </w:r>
      <w:r>
        <w:rPr>
          <w:rStyle w:val="VerbatimChar"/>
        </w:rPr>
        <w:t>E53_Lieu</w:t>
      </w:r>
      <w:r>
        <w:t xml:space="preserve"> et l’instance de </w:t>
      </w:r>
      <w:r>
        <w:rPr>
          <w:rStyle w:val="VerbatimChar"/>
        </w:rPr>
        <w:t>E52_Intervalle_temporel</w:t>
      </w:r>
      <w:r>
        <w:t xml:space="preserve"> précisant où et quand ces évènements ont eu lieu indiquent des contraintes quant à la présence dans le passé de l’instance de </w:t>
      </w:r>
      <w:r>
        <w:rPr>
          <w:rStyle w:val="VerbatimChar"/>
        </w:rPr>
        <w:t>E77_Entité_persistante</w:t>
      </w:r>
      <w:r>
        <w:t xml:space="preserve"> impliquée dans ces évènements.</w:t>
      </w:r>
    </w:p>
    <w:p w14:paraId="1F2471A6" w14:textId="77777777" w:rsidR="0084489F" w:rsidRDefault="00110FE6">
      <w:pPr>
        <w:pStyle w:val="BodyText"/>
      </w:pPr>
      <w:r>
        <w:t xml:space="preserve">Les instances de </w:t>
      </w:r>
      <w:r>
        <w:rPr>
          <w:rStyle w:val="VerbatimChar"/>
        </w:rPr>
        <w:t>E90_Objet_symbolique</w:t>
      </w:r>
      <w:r>
        <w:t xml:space="preserve">, en particulier les objets informationnels, sont physiquement présentes lors d’évènements via au moins une des instances de </w:t>
      </w:r>
      <w:r>
        <w:rPr>
          <w:rStyle w:val="VerbatimChar"/>
        </w:rPr>
        <w:t>E18_Chose_matérielle</w:t>
      </w:r>
      <w:r>
        <w:t xml:space="preserve"> qui en sont les supports. Il est à noter que l’esprit humain peut être l’un de ces supports.</w:t>
      </w:r>
    </w:p>
    <w:p w14:paraId="54289E88" w14:textId="77777777" w:rsidR="0084489F" w:rsidRDefault="00110FE6">
      <w:pPr>
        <w:pStyle w:val="BodyText"/>
      </w:pPr>
      <w:r>
        <w:t>Une condition préalable au transfert de l’information vers une personne ou un nouveau support physique est la présence [n.d.t. conjointe] de l’objet informationnel et de cette personne ou de cette chose matérielle à un même évènement.</w:t>
      </w:r>
    </w:p>
    <w:p w14:paraId="3556AE35" w14:textId="77777777" w:rsidR="0084489F" w:rsidRDefault="00110FE6">
      <w:pPr>
        <w:pStyle w:val="BodyText"/>
      </w:pPr>
      <w:r>
        <w:rPr>
          <w:b/>
          <w:bCs/>
        </w:rPr>
        <w:t>Exemples</w:t>
      </w:r>
    </w:p>
    <w:p w14:paraId="5966092F" w14:textId="55CD6CA7" w:rsidR="0084489F" w:rsidRDefault="00110FE6" w:rsidP="00806324">
      <w:pPr>
        <w:numPr>
          <w:ilvl w:val="0"/>
          <w:numId w:val="149"/>
        </w:numPr>
      </w:pPr>
      <w:r w:rsidRPr="1B9E7434">
        <w:rPr>
          <w:lang w:val="fr-FR"/>
        </w:rPr>
        <w:t>La Chaise longue 42 (</w:t>
      </w:r>
      <w:r w:rsidRPr="1B9E7434">
        <w:rPr>
          <w:rStyle w:val="VerbatimChar"/>
          <w:lang w:val="fr-FR"/>
        </w:rPr>
        <w:t>E19_Objet_matériel</w:t>
      </w:r>
      <w:r w:rsidRPr="1B9E7434">
        <w:rPr>
          <w:lang w:val="fr-FR"/>
        </w:rPr>
        <w:t>) a été présente au (</w:t>
      </w:r>
      <w:r w:rsidRPr="1B9E7434">
        <w:rPr>
          <w:rStyle w:val="VerbatimChar"/>
          <w:lang w:val="fr-FR"/>
        </w:rPr>
        <w:t>P12i_a_été présent_à</w:t>
      </w:r>
      <w:r w:rsidRPr="1B9E7434">
        <w:rPr>
          <w:lang w:val="fr-FR"/>
        </w:rPr>
        <w:t>) naufrage du Titanic (</w:t>
      </w:r>
      <w:r w:rsidRPr="1B9E7434">
        <w:rPr>
          <w:rStyle w:val="VerbatimChar"/>
          <w:lang w:val="fr-FR"/>
        </w:rPr>
        <w:t>E5_Évènement</w:t>
      </w:r>
      <w:r w:rsidRPr="1B9E7434">
        <w:rPr>
          <w:lang w:val="fr-FR"/>
        </w:rPr>
        <w:t>) (Aldridge, 2008)</w:t>
      </w:r>
    </w:p>
    <w:p w14:paraId="3A7B396D" w14:textId="77777777" w:rsidR="0084489F" w:rsidRDefault="00110FE6">
      <w:pPr>
        <w:pStyle w:val="FirstParagraph"/>
      </w:pPr>
      <w:r>
        <w:rPr>
          <w:b/>
          <w:bCs/>
        </w:rPr>
        <w:t>Logique</w:t>
      </w:r>
    </w:p>
    <w:p w14:paraId="2456CCE9" w14:textId="77777777" w:rsidR="0084489F" w:rsidRDefault="00110FE6">
      <w:pPr>
        <w:pStyle w:val="BodyText"/>
      </w:pPr>
      <w:r w:rsidRPr="1B9E7434">
        <w:rPr>
          <w:lang w:val="fr-FR"/>
        </w:rPr>
        <w:t>P12(x,y) ⇒ E5(x)</w:t>
      </w:r>
    </w:p>
    <w:p w14:paraId="30FFD6F8" w14:textId="77777777" w:rsidR="0084489F" w:rsidRDefault="00110FE6">
      <w:pPr>
        <w:pStyle w:val="BodyText"/>
      </w:pPr>
      <w:r w:rsidRPr="1B9E7434">
        <w:rPr>
          <w:lang w:val="fr-FR"/>
        </w:rPr>
        <w:t>P12(x,y) ⇒ E77(y)</w:t>
      </w:r>
    </w:p>
    <w:p w14:paraId="61E6B724" w14:textId="77777777" w:rsidR="0084489F" w:rsidRDefault="00110FE6">
      <w:pPr>
        <w:pStyle w:val="BodyText"/>
      </w:pPr>
      <w:r>
        <w:rPr>
          <w:b/>
          <w:bCs/>
        </w:rPr>
        <w:t>Propriétés</w:t>
      </w:r>
    </w:p>
    <w:p w14:paraId="6B0CD21E" w14:textId="77777777" w:rsidR="0084489F" w:rsidRDefault="00110FE6">
      <w:pPr>
        <w:pStyle w:val="BlockText"/>
      </w:pPr>
      <w:r>
        <w:rPr>
          <w:b/>
          <w:bCs/>
          <w:i/>
          <w:iCs/>
        </w:rPr>
        <w:t>Note de traduction</w:t>
      </w:r>
    </w:p>
    <w:p w14:paraId="65E5B445" w14:textId="77777777" w:rsidR="0084489F" w:rsidRDefault="00110FE6">
      <w:pPr>
        <w:pStyle w:val="BlockText"/>
      </w:pPr>
      <w:r w:rsidRPr="1B9E7434">
        <w:rPr>
          <w:lang w:val="fr-FR"/>
        </w:rPr>
        <w:t xml:space="preserve">Les termes « its life and history [of an instance of </w:t>
      </w:r>
      <w:r w:rsidRPr="1B9E7434">
        <w:rPr>
          <w:rStyle w:val="VerbatimChar"/>
          <w:lang w:val="fr-FR"/>
        </w:rPr>
        <w:t>E77_Persistent_Item</w:t>
      </w:r>
      <w:r w:rsidRPr="1B9E7434">
        <w:rPr>
          <w:lang w:val="fr-FR"/>
        </w:rPr>
        <w:t>] » ont été traduits par « de son existence ou de son histoire », étant donné que le mot « vie » est davantage utilisé pour décrire l’existence d’un être vivant que d’un objet.</w:t>
      </w:r>
    </w:p>
    <w:p w14:paraId="3841A025" w14:textId="77777777" w:rsidR="0084489F" w:rsidRDefault="00110FE6">
      <w:pPr>
        <w:pStyle w:val="BlockText"/>
      </w:pPr>
      <w:r>
        <w:rPr>
          <w:b/>
          <w:bCs/>
          <w:i/>
          <w:iCs/>
        </w:rPr>
        <w:t>Références</w:t>
      </w:r>
    </w:p>
    <w:p w14:paraId="48A9868E" w14:textId="77777777" w:rsidR="0084489F" w:rsidRDefault="0084489F">
      <w:pPr>
        <w:pStyle w:val="BlockText"/>
      </w:pPr>
    </w:p>
    <w:p w14:paraId="2A9BCAA2" w14:textId="77777777" w:rsidR="0084489F" w:rsidRDefault="00110FE6">
      <w:pPr>
        <w:pStyle w:val="Heading2"/>
      </w:pPr>
      <w:bookmarkStart w:id="296" w:name="_Toc176864528"/>
      <w:bookmarkStart w:id="297" w:name="p13-a-detruit-(a-ete-detruit-par)"/>
      <w:bookmarkEnd w:id="295"/>
      <w:r>
        <w:t>P13 a détruit (a été détruit par)</w:t>
      </w:r>
      <w:bookmarkEnd w:id="296"/>
    </w:p>
    <w:p w14:paraId="35B9628C" w14:textId="77777777" w:rsidR="0084489F" w:rsidRDefault="00110FE6">
      <w:pPr>
        <w:pStyle w:val="FirstParagraph"/>
      </w:pPr>
      <w:r>
        <w:rPr>
          <w:b/>
          <w:bCs/>
        </w:rPr>
        <w:t>Domaine</w:t>
      </w:r>
    </w:p>
    <w:p w14:paraId="24066975" w14:textId="77777777" w:rsidR="0084489F" w:rsidRDefault="00110FE6">
      <w:pPr>
        <w:pStyle w:val="BodyText"/>
      </w:pPr>
      <w:r>
        <w:rPr>
          <w:rStyle w:val="VerbatimChar"/>
        </w:rPr>
        <w:t>E6_Destruction</w:t>
      </w:r>
    </w:p>
    <w:p w14:paraId="250863C1" w14:textId="77777777" w:rsidR="0084489F" w:rsidRDefault="00110FE6">
      <w:pPr>
        <w:pStyle w:val="BodyText"/>
      </w:pPr>
      <w:r>
        <w:rPr>
          <w:b/>
          <w:bCs/>
        </w:rPr>
        <w:t>Portée</w:t>
      </w:r>
    </w:p>
    <w:p w14:paraId="4DE7AA12" w14:textId="77777777" w:rsidR="0084489F" w:rsidRDefault="00110FE6">
      <w:pPr>
        <w:pStyle w:val="BodyText"/>
      </w:pPr>
      <w:r>
        <w:rPr>
          <w:rStyle w:val="VerbatimChar"/>
        </w:rPr>
        <w:t>E18_Chose_matérielle</w:t>
      </w:r>
    </w:p>
    <w:p w14:paraId="4B744EE7" w14:textId="77777777" w:rsidR="0084489F" w:rsidRDefault="00110FE6">
      <w:pPr>
        <w:pStyle w:val="BodyText"/>
      </w:pPr>
      <w:r>
        <w:rPr>
          <w:b/>
          <w:bCs/>
        </w:rPr>
        <w:t>Sous-propriété de</w:t>
      </w:r>
    </w:p>
    <w:p w14:paraId="4803D001" w14:textId="77777777" w:rsidR="0084489F" w:rsidRDefault="00110FE6">
      <w:pPr>
        <w:pStyle w:val="BodyText"/>
      </w:pPr>
      <w:r w:rsidRPr="1B9E7434">
        <w:rPr>
          <w:rStyle w:val="VerbatimChar"/>
          <w:lang w:val="fr-FR"/>
        </w:rPr>
        <w:t>E64_Fin_d’existence</w:t>
      </w:r>
      <w:r w:rsidRPr="1B9E7434">
        <w:rPr>
          <w:lang w:val="fr-FR"/>
        </w:rPr>
        <w:t xml:space="preserve">. </w:t>
      </w:r>
      <w:r w:rsidRPr="1B9E7434">
        <w:rPr>
          <w:rStyle w:val="VerbatimChar"/>
          <w:lang w:val="fr-FR"/>
        </w:rPr>
        <w:t>P93_a_mis_fin_à_l’existence_de (a_cessé_d’exister_par)</w:t>
      </w:r>
      <w:r w:rsidRPr="1B9E7434">
        <w:rPr>
          <w:lang w:val="fr-FR"/>
        </w:rPr>
        <w:t xml:space="preserve"> : </w:t>
      </w:r>
      <w:r w:rsidRPr="1B9E7434">
        <w:rPr>
          <w:rStyle w:val="VerbatimChar"/>
          <w:lang w:val="fr-FR"/>
        </w:rPr>
        <w:t>E77_Entité_persistante</w:t>
      </w:r>
    </w:p>
    <w:p w14:paraId="554F9945" w14:textId="77777777" w:rsidR="0084489F" w:rsidRDefault="00110FE6">
      <w:pPr>
        <w:pStyle w:val="BodyText"/>
      </w:pPr>
      <w:r>
        <w:rPr>
          <w:b/>
          <w:bCs/>
        </w:rPr>
        <w:t>Super-propriété de</w:t>
      </w:r>
    </w:p>
    <w:p w14:paraId="69B7BCE9" w14:textId="77777777" w:rsidR="0084489F" w:rsidRDefault="00110FE6" w:rsidP="008D6B6D">
      <w:pPr>
        <w:pStyle w:val="BodyText"/>
        <w:keepNext/>
      </w:pPr>
      <w:r>
        <w:rPr>
          <w:b/>
          <w:bCs/>
        </w:rPr>
        <w:t>Quantification</w:t>
      </w:r>
    </w:p>
    <w:p w14:paraId="48D73679" w14:textId="77777777" w:rsidR="0084489F" w:rsidRDefault="00110FE6" w:rsidP="008D6B6D">
      <w:pPr>
        <w:pStyle w:val="BodyText"/>
        <w:keepNext/>
      </w:pPr>
      <w:r w:rsidRPr="1B9E7434">
        <w:rPr>
          <w:lang w:val="fr-FR"/>
        </w:rPr>
        <w:t>un à plusieurs, nécessaire (1,n:0,1)</w:t>
      </w:r>
    </w:p>
    <w:p w14:paraId="03519528" w14:textId="77777777" w:rsidR="0084489F" w:rsidRDefault="00110FE6">
      <w:pPr>
        <w:pStyle w:val="BodyText"/>
      </w:pPr>
      <w:r>
        <w:rPr>
          <w:b/>
          <w:bCs/>
        </w:rPr>
        <w:t>Note d’application</w:t>
      </w:r>
    </w:p>
    <w:p w14:paraId="6BD3C0CC" w14:textId="77777777" w:rsidR="0084489F" w:rsidRDefault="00110FE6">
      <w:pPr>
        <w:pStyle w:val="BodyText"/>
      </w:pPr>
      <w:r>
        <w:t xml:space="preserve">Cette propriété lie une instance de </w:t>
      </w:r>
      <w:r>
        <w:rPr>
          <w:rStyle w:val="VerbatimChar"/>
        </w:rPr>
        <w:t>E6_Destruction</w:t>
      </w:r>
      <w:r>
        <w:t xml:space="preserve"> à une instance de </w:t>
      </w:r>
      <w:r>
        <w:rPr>
          <w:rStyle w:val="VerbatimChar"/>
        </w:rPr>
        <w:t>E18_Chose_matérielle</w:t>
      </w:r>
      <w:r>
        <w:t xml:space="preserve"> qu’elle a détruite.</w:t>
      </w:r>
    </w:p>
    <w:p w14:paraId="359844D4" w14:textId="77777777" w:rsidR="0084489F" w:rsidRDefault="00110FE6">
      <w:pPr>
        <w:pStyle w:val="BodyText"/>
      </w:pPr>
      <w:r>
        <w:t xml:space="preserve">La destruction implique la fin de l’existence d’une entité, en tant que sujet de la documentation culturelle - la matière physique qui composait l’entité peut en fait continuer d’exister. Une instance de </w:t>
      </w:r>
      <w:r>
        <w:rPr>
          <w:rStyle w:val="VerbatimChar"/>
        </w:rPr>
        <w:t>E6_Destruction</w:t>
      </w:r>
      <w:r>
        <w:t xml:space="preserve"> peut être contiguë à une instance de </w:t>
      </w:r>
      <w:r>
        <w:rPr>
          <w:rStyle w:val="VerbatimChar"/>
        </w:rPr>
        <w:t>E12_Production</w:t>
      </w:r>
      <w:r>
        <w:t xml:space="preserve"> qui permet l’avènement d’un objet dérivé composé en partie de matière provenant de l’objet détruit.</w:t>
      </w:r>
    </w:p>
    <w:p w14:paraId="2D954704" w14:textId="77777777" w:rsidR="0084489F" w:rsidRDefault="00110FE6">
      <w:pPr>
        <w:pStyle w:val="BodyText"/>
      </w:pPr>
      <w:r>
        <w:rPr>
          <w:b/>
          <w:bCs/>
        </w:rPr>
        <w:t>Exemples</w:t>
      </w:r>
    </w:p>
    <w:p w14:paraId="52D241AA" w14:textId="77777777" w:rsidR="0084489F" w:rsidRDefault="00110FE6" w:rsidP="00806324">
      <w:pPr>
        <w:numPr>
          <w:ilvl w:val="0"/>
          <w:numId w:val="150"/>
        </w:numPr>
      </w:pPr>
      <w:r>
        <w:t>La catastrophe ferroviaire du pont du Tay (</w:t>
      </w:r>
      <w:r>
        <w:rPr>
          <w:rStyle w:val="VerbatimChar"/>
        </w:rPr>
        <w:t>E6_Destruction</w:t>
      </w:r>
      <w:r>
        <w:t>) a détruit (</w:t>
      </w:r>
      <w:r>
        <w:rPr>
          <w:rStyle w:val="VerbatimChar"/>
        </w:rPr>
        <w:t>P13_a_détruit</w:t>
      </w:r>
      <w:r>
        <w:t>) le pont du Tay (</w:t>
      </w:r>
      <w:r>
        <w:rPr>
          <w:rStyle w:val="VerbatimChar"/>
        </w:rPr>
        <w:t>E22_Objet_élaboré_par_l’humain</w:t>
      </w:r>
      <w:r>
        <w:t>) (Thomas, 1972)</w:t>
      </w:r>
    </w:p>
    <w:p w14:paraId="672DEF19" w14:textId="77777777" w:rsidR="0084489F" w:rsidRDefault="00110FE6">
      <w:pPr>
        <w:pStyle w:val="FirstParagraph"/>
      </w:pPr>
      <w:r>
        <w:rPr>
          <w:b/>
          <w:bCs/>
        </w:rPr>
        <w:t>Logique</w:t>
      </w:r>
    </w:p>
    <w:p w14:paraId="683A71D7" w14:textId="77777777" w:rsidR="0084489F" w:rsidRDefault="00110FE6">
      <w:pPr>
        <w:pStyle w:val="BodyText"/>
      </w:pPr>
      <w:r w:rsidRPr="1B9E7434">
        <w:rPr>
          <w:lang w:val="fr-FR"/>
        </w:rPr>
        <w:t>P13(x,y) ⇒ E6 (x)</w:t>
      </w:r>
    </w:p>
    <w:p w14:paraId="252E2431" w14:textId="77777777" w:rsidR="0084489F" w:rsidRDefault="00110FE6">
      <w:pPr>
        <w:pStyle w:val="BodyText"/>
      </w:pPr>
      <w:r w:rsidRPr="1B9E7434">
        <w:rPr>
          <w:lang w:val="fr-FR"/>
        </w:rPr>
        <w:t>P13(x,y) ⇒ E18(y)</w:t>
      </w:r>
    </w:p>
    <w:p w14:paraId="762F3288" w14:textId="77777777" w:rsidR="0084489F" w:rsidRDefault="00110FE6">
      <w:pPr>
        <w:pStyle w:val="BodyText"/>
      </w:pPr>
      <w:r w:rsidRPr="1B9E7434">
        <w:rPr>
          <w:lang w:val="fr-FR"/>
        </w:rPr>
        <w:t>P13(x,y) ⇒ P93(x,y)</w:t>
      </w:r>
    </w:p>
    <w:p w14:paraId="0BB2773B" w14:textId="77777777" w:rsidR="0084489F" w:rsidRDefault="00110FE6">
      <w:pPr>
        <w:pStyle w:val="BodyText"/>
      </w:pPr>
      <w:r>
        <w:rPr>
          <w:b/>
          <w:bCs/>
        </w:rPr>
        <w:t>Propriétés</w:t>
      </w:r>
    </w:p>
    <w:p w14:paraId="5894D498" w14:textId="77777777" w:rsidR="0084489F" w:rsidRDefault="00110FE6">
      <w:pPr>
        <w:pStyle w:val="BlockText"/>
      </w:pPr>
      <w:r>
        <w:rPr>
          <w:b/>
          <w:bCs/>
          <w:i/>
          <w:iCs/>
        </w:rPr>
        <w:t>Note de traduction</w:t>
      </w:r>
    </w:p>
    <w:p w14:paraId="60ACB3F8" w14:textId="77777777" w:rsidR="0084489F" w:rsidRDefault="00110FE6">
      <w:pPr>
        <w:pStyle w:val="BlockText"/>
      </w:pPr>
      <w:r w:rsidRPr="1B9E7434">
        <w:rPr>
          <w:lang w:val="fr-FR"/>
        </w:rPr>
        <w:t>Le terme « contiguous » a été traduit par « contigu(ë) », conformément à la traduction suggérée par Termium Plus.</w:t>
      </w:r>
    </w:p>
    <w:p w14:paraId="5C810862" w14:textId="77777777" w:rsidR="0084489F" w:rsidRDefault="00110FE6">
      <w:pPr>
        <w:pStyle w:val="BlockText"/>
      </w:pPr>
      <w:r>
        <w:rPr>
          <w:b/>
          <w:bCs/>
          <w:i/>
          <w:iCs/>
        </w:rPr>
        <w:t>Références</w:t>
      </w:r>
    </w:p>
    <w:p w14:paraId="5D2B88E4" w14:textId="77777777" w:rsidR="0084489F" w:rsidRDefault="00110FE6">
      <w:pPr>
        <w:pStyle w:val="BlockText"/>
      </w:pPr>
      <w:r w:rsidRPr="1B9E7434">
        <w:rPr>
          <w:lang w:val="fr-FR"/>
        </w:rPr>
        <w:t xml:space="preserve">Termium. « contiguous ». Dans </w:t>
      </w:r>
      <w:r w:rsidRPr="1B9E7434">
        <w:rPr>
          <w:i/>
          <w:iCs/>
          <w:lang w:val="fr-FR"/>
        </w:rPr>
        <w:t>Termium Plus</w:t>
      </w:r>
      <w:r w:rsidRPr="1B9E7434">
        <w:rPr>
          <w:lang w:val="fr-FR"/>
        </w:rPr>
        <w:t>. Ottawa, CA-ON: Gouvernement du Canada, 8 octobre 2009.</w:t>
      </w:r>
      <w:hyperlink r:id="rId242" w:anchor="resultrecs">
        <w:r w:rsidRPr="1B9E7434">
          <w:rPr>
            <w:rStyle w:val="Hyperlink"/>
            <w:lang w:val="fr-FR"/>
          </w:rPr>
          <w:t xml:space="preserve"> </w:t>
        </w:r>
      </w:hyperlink>
      <w:hyperlink r:id="rId243" w:anchor="resultrecs">
        <w:r w:rsidRPr="1B9E7434">
          <w:rPr>
            <w:rStyle w:val="Hyperlink"/>
            <w:lang w:val="fr-FR"/>
          </w:rPr>
          <w:t>https://www.btb.termiumplus.gc.ca/tpv2alpha/alpha-fra.html?lang=fra&amp;i=1&amp;srchtxt=contiguous&amp;codom2nd_wet=1#resultrecs</w:t>
        </w:r>
      </w:hyperlink>
      <w:r w:rsidRPr="1B9E7434">
        <w:rPr>
          <w:lang w:val="fr-FR"/>
        </w:rPr>
        <w:t>.</w:t>
      </w:r>
    </w:p>
    <w:p w14:paraId="12F79F8D" w14:textId="77777777" w:rsidR="008D6B6D" w:rsidRPr="008D6B6D" w:rsidRDefault="008D6B6D" w:rsidP="008D6B6D">
      <w:pPr>
        <w:pStyle w:val="BodyText"/>
      </w:pPr>
    </w:p>
    <w:p w14:paraId="6A2F853E" w14:textId="77777777" w:rsidR="0084489F" w:rsidRDefault="00110FE6">
      <w:pPr>
        <w:pStyle w:val="Heading2"/>
      </w:pPr>
      <w:bookmarkStart w:id="298" w:name="_Toc176864529"/>
      <w:bookmarkStart w:id="299" w:name="p14-a-ete-effectue-par-(a-effectue)"/>
      <w:bookmarkEnd w:id="297"/>
      <w:r>
        <w:lastRenderedPageBreak/>
        <w:t>P14 a été effectué par (a effectué)</w:t>
      </w:r>
      <w:bookmarkEnd w:id="298"/>
    </w:p>
    <w:p w14:paraId="3C178360" w14:textId="77777777" w:rsidR="0084489F" w:rsidRDefault="00110FE6">
      <w:pPr>
        <w:pStyle w:val="FirstParagraph"/>
      </w:pPr>
      <w:r>
        <w:rPr>
          <w:b/>
          <w:bCs/>
        </w:rPr>
        <w:t>Domaine</w:t>
      </w:r>
    </w:p>
    <w:p w14:paraId="6D17CA45" w14:textId="77777777" w:rsidR="0084489F" w:rsidRDefault="00110FE6">
      <w:pPr>
        <w:pStyle w:val="BodyText"/>
      </w:pPr>
      <w:r>
        <w:rPr>
          <w:rStyle w:val="VerbatimChar"/>
        </w:rPr>
        <w:t>E7_Activité</w:t>
      </w:r>
    </w:p>
    <w:p w14:paraId="44B7B573" w14:textId="77777777" w:rsidR="0084489F" w:rsidRDefault="00110FE6">
      <w:pPr>
        <w:pStyle w:val="BodyText"/>
      </w:pPr>
      <w:r>
        <w:rPr>
          <w:b/>
          <w:bCs/>
        </w:rPr>
        <w:t>Portée</w:t>
      </w:r>
    </w:p>
    <w:p w14:paraId="56B8C455" w14:textId="77777777" w:rsidR="0084489F" w:rsidRDefault="00110FE6">
      <w:pPr>
        <w:pStyle w:val="BodyText"/>
      </w:pPr>
      <w:r>
        <w:rPr>
          <w:rStyle w:val="VerbatimChar"/>
        </w:rPr>
        <w:t>E39_Actant</w:t>
      </w:r>
    </w:p>
    <w:p w14:paraId="0950DCA1" w14:textId="77777777" w:rsidR="0084489F" w:rsidRDefault="00110FE6">
      <w:pPr>
        <w:pStyle w:val="BodyText"/>
      </w:pPr>
      <w:r>
        <w:rPr>
          <w:b/>
          <w:bCs/>
        </w:rPr>
        <w:t>Sous-propriété de</w:t>
      </w:r>
    </w:p>
    <w:p w14:paraId="7E2CC79A"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P11_a eu_pour_actant_participant (a_participé_à)</w:t>
      </w:r>
      <w:r w:rsidRPr="1B9E7434">
        <w:rPr>
          <w:lang w:val="fr-FR"/>
        </w:rPr>
        <w:t xml:space="preserve"> : </w:t>
      </w:r>
      <w:r w:rsidRPr="1B9E7434">
        <w:rPr>
          <w:rStyle w:val="VerbatimChar"/>
          <w:lang w:val="fr-FR"/>
        </w:rPr>
        <w:t>E39_Actant</w:t>
      </w:r>
    </w:p>
    <w:p w14:paraId="16F26B37" w14:textId="77777777" w:rsidR="0084489F" w:rsidRDefault="00110FE6">
      <w:pPr>
        <w:pStyle w:val="BodyText"/>
      </w:pPr>
      <w:r>
        <w:rPr>
          <w:b/>
          <w:bCs/>
        </w:rPr>
        <w:t>Super-propriété de</w:t>
      </w:r>
    </w:p>
    <w:p w14:paraId="6D07D1A7" w14:textId="77777777" w:rsidR="0084489F" w:rsidRDefault="00110FE6">
      <w:pPr>
        <w:pStyle w:val="BodyText"/>
      </w:pPr>
      <w:r w:rsidRPr="1B9E7434">
        <w:rPr>
          <w:rStyle w:val="VerbatimChar"/>
          <w:lang w:val="fr-FR"/>
        </w:rPr>
        <w:t>E8_Acquisition</w:t>
      </w:r>
      <w:r w:rsidRPr="1B9E7434">
        <w:rPr>
          <w:lang w:val="fr-FR"/>
        </w:rPr>
        <w:t xml:space="preserve">. </w:t>
      </w:r>
      <w:r w:rsidRPr="1B9E7434">
        <w:rPr>
          <w:rStyle w:val="VerbatimChar"/>
          <w:lang w:val="fr-FR"/>
        </w:rPr>
        <w:t>P22_a_transféré_le_titre_de_propriété_à (a_acquis_le_titre_de_propriété_par)</w:t>
      </w:r>
      <w:r w:rsidRPr="1B9E7434">
        <w:rPr>
          <w:lang w:val="fr-FR"/>
        </w:rPr>
        <w:t xml:space="preserve"> : </w:t>
      </w:r>
      <w:r w:rsidRPr="1B9E7434">
        <w:rPr>
          <w:rStyle w:val="VerbatimChar"/>
          <w:lang w:val="fr-FR"/>
        </w:rPr>
        <w:t>E39_Actant</w:t>
      </w:r>
    </w:p>
    <w:p w14:paraId="6002E81B" w14:textId="77777777" w:rsidR="0084489F" w:rsidRDefault="00110FE6">
      <w:pPr>
        <w:pStyle w:val="BodyText"/>
      </w:pPr>
      <w:r w:rsidRPr="1B9E7434">
        <w:rPr>
          <w:rStyle w:val="VerbatimChar"/>
          <w:lang w:val="fr-FR"/>
        </w:rPr>
        <w:t>E8_Acquisition</w:t>
      </w:r>
      <w:r w:rsidRPr="1B9E7434">
        <w:rPr>
          <w:lang w:val="fr-FR"/>
        </w:rPr>
        <w:t xml:space="preserve">. </w:t>
      </w:r>
      <w:r w:rsidRPr="1B9E7434">
        <w:rPr>
          <w:rStyle w:val="VerbatimChar"/>
          <w:lang w:val="fr-FR"/>
        </w:rPr>
        <w:t>P23_a_transféré_le_titre_de_propriété_de (a_cédé_le_titre_de_propriété_à)</w:t>
      </w:r>
      <w:r w:rsidRPr="1B9E7434">
        <w:rPr>
          <w:lang w:val="fr-FR"/>
        </w:rPr>
        <w:t xml:space="preserve"> : </w:t>
      </w:r>
      <w:r w:rsidRPr="1B9E7434">
        <w:rPr>
          <w:rStyle w:val="VerbatimChar"/>
          <w:lang w:val="fr-FR"/>
        </w:rPr>
        <w:t>E39_Actant</w:t>
      </w:r>
    </w:p>
    <w:p w14:paraId="6A8F3823" w14:textId="77777777" w:rsidR="0084489F" w:rsidRDefault="00110FE6">
      <w:pPr>
        <w:pStyle w:val="BodyText"/>
      </w:pPr>
      <w:r w:rsidRPr="1B9E7434">
        <w:rPr>
          <w:rStyle w:val="VerbatimChar"/>
          <w:lang w:val="fr-FR"/>
        </w:rPr>
        <w:t>E10_Transfert_de_la_garde</w:t>
      </w:r>
      <w:r w:rsidRPr="1B9E7434">
        <w:rPr>
          <w:lang w:val="fr-FR"/>
        </w:rPr>
        <w:t xml:space="preserve">. </w:t>
      </w:r>
      <w:r w:rsidRPr="1B9E7434">
        <w:rPr>
          <w:rStyle w:val="VerbatimChar"/>
          <w:lang w:val="fr-FR"/>
        </w:rPr>
        <w:t>P28_a_mis_fin_à_la_garde_par (a_cédé_la_garde_par)</w:t>
      </w:r>
      <w:r w:rsidRPr="1B9E7434">
        <w:rPr>
          <w:lang w:val="fr-FR"/>
        </w:rPr>
        <w:t xml:space="preserve"> : </w:t>
      </w:r>
      <w:r w:rsidRPr="1B9E7434">
        <w:rPr>
          <w:rStyle w:val="VerbatimChar"/>
          <w:lang w:val="fr-FR"/>
        </w:rPr>
        <w:t>E39_Actant</w:t>
      </w:r>
    </w:p>
    <w:p w14:paraId="136978E0" w14:textId="77777777" w:rsidR="0084489F" w:rsidRDefault="00110FE6">
      <w:pPr>
        <w:pStyle w:val="BodyText"/>
      </w:pPr>
      <w:r w:rsidRPr="1B9E7434">
        <w:rPr>
          <w:rStyle w:val="VerbatimChar"/>
          <w:lang w:val="fr-FR"/>
        </w:rPr>
        <w:t>E10_Transfert_de_la_garde</w:t>
      </w:r>
      <w:r w:rsidRPr="1B9E7434">
        <w:rPr>
          <w:lang w:val="fr-FR"/>
        </w:rPr>
        <w:t xml:space="preserve">. </w:t>
      </w:r>
      <w:r w:rsidRPr="1B9E7434">
        <w:rPr>
          <w:rStyle w:val="VerbatimChar"/>
          <w:lang w:val="fr-FR"/>
        </w:rPr>
        <w:t>P29_a_confié_la_garde_par (a_reçu_la_garde_par)</w:t>
      </w:r>
      <w:r w:rsidRPr="1B9E7434">
        <w:rPr>
          <w:lang w:val="fr-FR"/>
        </w:rPr>
        <w:t xml:space="preserve"> : </w:t>
      </w:r>
      <w:r w:rsidRPr="1B9E7434">
        <w:rPr>
          <w:rStyle w:val="VerbatimChar"/>
          <w:lang w:val="fr-FR"/>
        </w:rPr>
        <w:t>E39_Actant</w:t>
      </w:r>
    </w:p>
    <w:p w14:paraId="504EDAE7" w14:textId="77777777" w:rsidR="0084489F" w:rsidRDefault="00110FE6">
      <w:pPr>
        <w:pStyle w:val="BodyText"/>
      </w:pPr>
      <w:r>
        <w:rPr>
          <w:b/>
          <w:bCs/>
        </w:rPr>
        <w:t>Quantification</w:t>
      </w:r>
    </w:p>
    <w:p w14:paraId="7C30AC3A" w14:textId="77777777" w:rsidR="0084489F" w:rsidRDefault="00110FE6">
      <w:pPr>
        <w:pStyle w:val="BodyText"/>
      </w:pPr>
      <w:r w:rsidRPr="1B9E7434">
        <w:rPr>
          <w:lang w:val="fr-FR"/>
        </w:rPr>
        <w:t>plusieurs à plusieurs, nécessaire (1,n:0,n)</w:t>
      </w:r>
    </w:p>
    <w:p w14:paraId="724C24E1" w14:textId="77777777" w:rsidR="0084489F" w:rsidRDefault="00110FE6">
      <w:pPr>
        <w:pStyle w:val="BodyText"/>
      </w:pPr>
      <w:r>
        <w:rPr>
          <w:b/>
          <w:bCs/>
        </w:rPr>
        <w:t>Note d’application</w:t>
      </w:r>
    </w:p>
    <w:p w14:paraId="6E2FB6A9" w14:textId="77777777" w:rsidR="0084489F" w:rsidRDefault="00110FE6">
      <w:pPr>
        <w:pStyle w:val="BodyText"/>
      </w:pPr>
      <w:r>
        <w:t xml:space="preserve">Cette propriété décrit la participation active d’une instance de </w:t>
      </w:r>
      <w:r>
        <w:rPr>
          <w:rStyle w:val="VerbatimChar"/>
        </w:rPr>
        <w:t>E39_Actant</w:t>
      </w:r>
      <w:r>
        <w:t xml:space="preserve"> à une instance de </w:t>
      </w:r>
      <w:r>
        <w:rPr>
          <w:rStyle w:val="VerbatimChar"/>
        </w:rPr>
        <w:t>E7_Activité</w:t>
      </w:r>
      <w:r>
        <w:t>.</w:t>
      </w:r>
    </w:p>
    <w:p w14:paraId="377F5307" w14:textId="77777777" w:rsidR="0084489F" w:rsidRDefault="00110FE6">
      <w:pPr>
        <w:pStyle w:val="BodyText"/>
      </w:pPr>
      <w:r w:rsidRPr="1B9E7434">
        <w:rPr>
          <w:lang w:val="fr-FR"/>
        </w:rPr>
        <w:t xml:space="preserve">La propriété </w:t>
      </w:r>
      <w:r w:rsidRPr="1B9E7434">
        <w:rPr>
          <w:rStyle w:val="VerbatimChar"/>
          <w:lang w:val="fr-FR"/>
        </w:rPr>
        <w:t>P14_a_été_effectué_par (a_effectué)</w:t>
      </w:r>
      <w:r w:rsidRPr="1B9E7434">
        <w:rPr>
          <w:lang w:val="fr-FR"/>
        </w:rPr>
        <w:t xml:space="preserve"> implique une responsabilité causale ou légale. La propriété </w:t>
      </w:r>
      <w:r w:rsidRPr="1B9E7434">
        <w:rPr>
          <w:rStyle w:val="VerbatimChar"/>
          <w:lang w:val="fr-FR"/>
        </w:rPr>
        <w:t>P14.1_dans_le_rôle_de</w:t>
      </w:r>
      <w:r w:rsidRPr="1B9E7434">
        <w:rPr>
          <w:lang w:val="fr-FR"/>
        </w:rPr>
        <w:t xml:space="preserve"> de la propriété </w:t>
      </w:r>
      <w:r w:rsidRPr="1B9E7434">
        <w:rPr>
          <w:rStyle w:val="VerbatimChar"/>
          <w:lang w:val="fr-FR"/>
        </w:rPr>
        <w:t>P14_a_été_effectué_par (a_effectué)</w:t>
      </w:r>
      <w:r w:rsidRPr="1B9E7434">
        <w:rPr>
          <w:lang w:val="fr-FR"/>
        </w:rPr>
        <w:t xml:space="preserve"> précise la nature de la participation d’un actant.</w:t>
      </w:r>
    </w:p>
    <w:p w14:paraId="2AA10118" w14:textId="77777777" w:rsidR="0084489F" w:rsidRDefault="00110FE6">
      <w:pPr>
        <w:pStyle w:val="BodyText"/>
      </w:pPr>
      <w:r>
        <w:rPr>
          <w:b/>
          <w:bCs/>
        </w:rPr>
        <w:t>Exemples</w:t>
      </w:r>
    </w:p>
    <w:p w14:paraId="7DB3CF7B" w14:textId="7FD1DBFD" w:rsidR="0084489F" w:rsidRDefault="00110FE6" w:rsidP="00806324">
      <w:pPr>
        <w:numPr>
          <w:ilvl w:val="0"/>
          <w:numId w:val="151"/>
        </w:numPr>
      </w:pPr>
      <w:r w:rsidRPr="1B9E7434">
        <w:rPr>
          <w:lang w:val="fr-FR"/>
        </w:rPr>
        <w:t>La fresque de la chapelle Sixtine (</w:t>
      </w:r>
      <w:r w:rsidRPr="1B9E7434">
        <w:rPr>
          <w:rStyle w:val="VerbatimChar"/>
          <w:lang w:val="fr-FR"/>
        </w:rPr>
        <w:t>E7_Activité</w:t>
      </w:r>
      <w:r w:rsidRPr="1B9E7434">
        <w:rPr>
          <w:lang w:val="fr-FR"/>
        </w:rPr>
        <w:t>) a été effectué par (</w:t>
      </w:r>
      <w:r w:rsidRPr="1B9E7434">
        <w:rPr>
          <w:rStyle w:val="VerbatimChar"/>
          <w:lang w:val="fr-FR"/>
        </w:rPr>
        <w:t>P14_a_été_effectué_par</w:t>
      </w:r>
      <w:r w:rsidRPr="1B9E7434">
        <w:rPr>
          <w:lang w:val="fr-FR"/>
        </w:rPr>
        <w:t>) Michel-Ange (</w:t>
      </w:r>
      <w:r w:rsidRPr="1B9E7434">
        <w:rPr>
          <w:rStyle w:val="VerbatimChar"/>
          <w:lang w:val="fr-FR"/>
        </w:rPr>
        <w:t>E21_Personne</w:t>
      </w:r>
      <w:r w:rsidRPr="1B9E7434">
        <w:rPr>
          <w:lang w:val="fr-FR"/>
        </w:rPr>
        <w:t>) dans le rôle de (</w:t>
      </w:r>
      <w:r w:rsidRPr="1B9E7434">
        <w:rPr>
          <w:rStyle w:val="VerbatimChar"/>
          <w:lang w:val="fr-FR"/>
        </w:rPr>
        <w:t>P14.1_dans_le_rôle_de</w:t>
      </w:r>
      <w:r w:rsidRPr="1B9E7434">
        <w:rPr>
          <w:lang w:val="fr-FR"/>
        </w:rPr>
        <w:t>) maître artisan (</w:t>
      </w:r>
      <w:r w:rsidRPr="1B9E7434">
        <w:rPr>
          <w:rStyle w:val="VerbatimChar"/>
          <w:lang w:val="fr-FR"/>
        </w:rPr>
        <w:t>E55_Type</w:t>
      </w:r>
      <w:r w:rsidRPr="1B9E7434">
        <w:rPr>
          <w:lang w:val="fr-FR"/>
        </w:rPr>
        <w:t>) (Goldscheider, 1953)</w:t>
      </w:r>
    </w:p>
    <w:p w14:paraId="762B92BF" w14:textId="77777777" w:rsidR="0084489F" w:rsidRDefault="00110FE6">
      <w:pPr>
        <w:pStyle w:val="FirstParagraph"/>
      </w:pPr>
      <w:r>
        <w:rPr>
          <w:b/>
          <w:bCs/>
        </w:rPr>
        <w:t>Logique</w:t>
      </w:r>
    </w:p>
    <w:p w14:paraId="00A9AD57" w14:textId="77777777" w:rsidR="0084489F" w:rsidRDefault="00110FE6">
      <w:pPr>
        <w:pStyle w:val="BodyText"/>
      </w:pPr>
      <w:r w:rsidRPr="1B9E7434">
        <w:rPr>
          <w:lang w:val="fr-FR"/>
        </w:rPr>
        <w:t>P14(x,y) ⇒ E7(x)</w:t>
      </w:r>
    </w:p>
    <w:p w14:paraId="086B9124" w14:textId="77777777" w:rsidR="0084489F" w:rsidRDefault="00110FE6">
      <w:pPr>
        <w:pStyle w:val="BodyText"/>
      </w:pPr>
      <w:r w:rsidRPr="1B9E7434">
        <w:rPr>
          <w:lang w:val="fr-FR"/>
        </w:rPr>
        <w:t>P14(x,y)⇒ E39(y)</w:t>
      </w:r>
    </w:p>
    <w:p w14:paraId="21ABBDD7" w14:textId="77777777" w:rsidR="0084489F" w:rsidRDefault="00110FE6">
      <w:pPr>
        <w:pStyle w:val="BodyText"/>
      </w:pPr>
      <w:r w:rsidRPr="1B9E7434">
        <w:rPr>
          <w:lang w:val="fr-FR"/>
        </w:rPr>
        <w:t>P14(x,y) ⇒ P11(x,y)</w:t>
      </w:r>
    </w:p>
    <w:p w14:paraId="549EA314" w14:textId="77777777" w:rsidR="0084489F" w:rsidRDefault="00110FE6">
      <w:pPr>
        <w:pStyle w:val="BodyText"/>
      </w:pPr>
      <w:r w:rsidRPr="1B9E7434">
        <w:rPr>
          <w:lang w:val="fr-FR"/>
        </w:rPr>
        <w:t>P14(x,y,z) ⇒ [P14(x,y) ∧ E55(z)]</w:t>
      </w:r>
    </w:p>
    <w:p w14:paraId="64E320C6" w14:textId="77777777" w:rsidR="0084489F" w:rsidRDefault="00110FE6">
      <w:pPr>
        <w:pStyle w:val="BodyText"/>
      </w:pPr>
      <w:r>
        <w:rPr>
          <w:b/>
          <w:bCs/>
        </w:rPr>
        <w:t>Propriétés</w:t>
      </w:r>
    </w:p>
    <w:p w14:paraId="786D40AA" w14:textId="77777777" w:rsidR="0084489F" w:rsidRDefault="00110FE6">
      <w:pPr>
        <w:pStyle w:val="BodyText"/>
      </w:pPr>
      <w:r>
        <w:rPr>
          <w:rStyle w:val="VerbatimChar"/>
        </w:rPr>
        <w:t>P14.1_dans_le_rôle_de</w:t>
      </w:r>
      <w:r>
        <w:t xml:space="preserve"> : </w:t>
      </w:r>
      <w:r>
        <w:rPr>
          <w:rStyle w:val="VerbatimChar"/>
        </w:rPr>
        <w:t>E55_Type</w:t>
      </w:r>
    </w:p>
    <w:p w14:paraId="1256B9D0" w14:textId="77777777" w:rsidR="0084489F" w:rsidRDefault="00110FE6">
      <w:pPr>
        <w:pStyle w:val="BlockText"/>
      </w:pPr>
      <w:r>
        <w:rPr>
          <w:b/>
          <w:bCs/>
          <w:i/>
          <w:iCs/>
        </w:rPr>
        <w:t>Note de traduction</w:t>
      </w:r>
    </w:p>
    <w:p w14:paraId="24232460" w14:textId="77777777" w:rsidR="0084489F" w:rsidRDefault="00110FE6">
      <w:pPr>
        <w:pStyle w:val="BlockText"/>
      </w:pPr>
      <w:r>
        <w:rPr>
          <w:b/>
          <w:bCs/>
          <w:i/>
          <w:iCs/>
        </w:rPr>
        <w:lastRenderedPageBreak/>
        <w:t>Références</w:t>
      </w:r>
    </w:p>
    <w:p w14:paraId="7337391C" w14:textId="77777777" w:rsidR="0084489F" w:rsidRDefault="0084489F">
      <w:pPr>
        <w:pStyle w:val="BlockText"/>
      </w:pPr>
    </w:p>
    <w:p w14:paraId="2896D6E4" w14:textId="77777777" w:rsidR="0084489F" w:rsidRDefault="00110FE6">
      <w:pPr>
        <w:pStyle w:val="Heading2"/>
      </w:pPr>
      <w:bookmarkStart w:id="300" w:name="_Toc176864530"/>
      <w:bookmarkStart w:id="301" w:name="p15-a-ete-influence-par-(a-influence)"/>
      <w:bookmarkEnd w:id="299"/>
      <w:r>
        <w:t>P15 a été influencé par (a influencé)</w:t>
      </w:r>
      <w:bookmarkEnd w:id="300"/>
    </w:p>
    <w:p w14:paraId="3DBEBC13" w14:textId="77777777" w:rsidR="0084489F" w:rsidRDefault="00110FE6">
      <w:pPr>
        <w:pStyle w:val="FirstParagraph"/>
      </w:pPr>
      <w:r>
        <w:rPr>
          <w:b/>
          <w:bCs/>
        </w:rPr>
        <w:t>Domaine</w:t>
      </w:r>
    </w:p>
    <w:p w14:paraId="5941F72C" w14:textId="77777777" w:rsidR="0084489F" w:rsidRDefault="00110FE6">
      <w:pPr>
        <w:pStyle w:val="BodyText"/>
      </w:pPr>
      <w:r>
        <w:rPr>
          <w:rStyle w:val="VerbatimChar"/>
        </w:rPr>
        <w:t>E7_Activité</w:t>
      </w:r>
    </w:p>
    <w:p w14:paraId="52B43DC2" w14:textId="77777777" w:rsidR="0084489F" w:rsidRDefault="00110FE6">
      <w:pPr>
        <w:pStyle w:val="BodyText"/>
      </w:pPr>
      <w:r>
        <w:rPr>
          <w:b/>
          <w:bCs/>
        </w:rPr>
        <w:t>Portée</w:t>
      </w:r>
    </w:p>
    <w:p w14:paraId="67B20F18" w14:textId="77777777" w:rsidR="0084489F" w:rsidRDefault="00110FE6">
      <w:pPr>
        <w:pStyle w:val="BodyText"/>
      </w:pPr>
      <w:r>
        <w:rPr>
          <w:rStyle w:val="VerbatimChar"/>
        </w:rPr>
        <w:t>E1_Entité_CRM</w:t>
      </w:r>
    </w:p>
    <w:p w14:paraId="34FA00D5" w14:textId="77777777" w:rsidR="0084489F" w:rsidRDefault="00110FE6">
      <w:pPr>
        <w:pStyle w:val="BodyText"/>
      </w:pPr>
      <w:r>
        <w:rPr>
          <w:b/>
          <w:bCs/>
        </w:rPr>
        <w:t>Sous-propriété de</w:t>
      </w:r>
    </w:p>
    <w:p w14:paraId="75FEC18B" w14:textId="77777777" w:rsidR="0084489F" w:rsidRDefault="00110FE6">
      <w:pPr>
        <w:pStyle w:val="BodyText"/>
      </w:pPr>
      <w:r>
        <w:rPr>
          <w:b/>
          <w:bCs/>
        </w:rPr>
        <w:t>Super-propriété de</w:t>
      </w:r>
    </w:p>
    <w:p w14:paraId="4953ED5A"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P16_a_mobilisé_l’objet_spécifique (a_été_mobilisé_pour)</w:t>
      </w:r>
      <w:r w:rsidRPr="1B9E7434">
        <w:rPr>
          <w:lang w:val="fr-FR"/>
        </w:rPr>
        <w:t xml:space="preserve"> : </w:t>
      </w:r>
      <w:r w:rsidRPr="1B9E7434">
        <w:rPr>
          <w:rStyle w:val="VerbatimChar"/>
          <w:lang w:val="fr-FR"/>
        </w:rPr>
        <w:t>E70_Chose</w:t>
      </w:r>
    </w:p>
    <w:p w14:paraId="33C57947"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P17_a_été_motivé_par (a_motivé)</w:t>
      </w:r>
      <w:r w:rsidRPr="1B9E7434">
        <w:rPr>
          <w:lang w:val="fr-FR"/>
        </w:rPr>
        <w:t xml:space="preserve"> : </w:t>
      </w:r>
      <w:r w:rsidRPr="1B9E7434">
        <w:rPr>
          <w:rStyle w:val="VerbatimChar"/>
          <w:lang w:val="fr-FR"/>
        </w:rPr>
        <w:t>E1_Entité_CRM</w:t>
      </w:r>
    </w:p>
    <w:p w14:paraId="39CA5BA1"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P134_a_continué (a_été_continué_par)</w:t>
      </w:r>
      <w:r w:rsidRPr="1B9E7434">
        <w:rPr>
          <w:lang w:val="fr-FR"/>
        </w:rPr>
        <w:t xml:space="preserve"> : </w:t>
      </w:r>
      <w:r w:rsidRPr="1B9E7434">
        <w:rPr>
          <w:rStyle w:val="VerbatimChar"/>
          <w:lang w:val="fr-FR"/>
        </w:rPr>
        <w:t>E7_Activité</w:t>
      </w:r>
    </w:p>
    <w:p w14:paraId="232A0A3B" w14:textId="77777777" w:rsidR="0084489F" w:rsidRDefault="00110FE6">
      <w:pPr>
        <w:pStyle w:val="BodyText"/>
      </w:pPr>
      <w:r w:rsidRPr="1B9E7434">
        <w:rPr>
          <w:rStyle w:val="VerbatimChar"/>
          <w:lang w:val="fr-FR"/>
        </w:rPr>
        <w:t>E83_Création_de_type</w:t>
      </w:r>
      <w:r w:rsidRPr="1B9E7434">
        <w:rPr>
          <w:lang w:val="fr-FR"/>
        </w:rPr>
        <w:t xml:space="preserve">. </w:t>
      </w:r>
      <w:r w:rsidRPr="1B9E7434">
        <w:rPr>
          <w:rStyle w:val="VerbatimChar"/>
          <w:lang w:val="fr-FR"/>
        </w:rPr>
        <w:t>P136_a_été_fondé_sur (a_fondé_la_création_du_type)</w:t>
      </w:r>
      <w:r w:rsidRPr="1B9E7434">
        <w:rPr>
          <w:lang w:val="fr-FR"/>
        </w:rPr>
        <w:t xml:space="preserve"> : </w:t>
      </w:r>
      <w:r w:rsidRPr="1B9E7434">
        <w:rPr>
          <w:rStyle w:val="VerbatimChar"/>
          <w:lang w:val="fr-FR"/>
        </w:rPr>
        <w:t>E1_Entité_CRM</w:t>
      </w:r>
    </w:p>
    <w:p w14:paraId="1ED72BA3" w14:textId="77777777" w:rsidR="0084489F" w:rsidRDefault="00110FE6">
      <w:pPr>
        <w:pStyle w:val="BodyText"/>
      </w:pPr>
      <w:r>
        <w:rPr>
          <w:b/>
          <w:bCs/>
        </w:rPr>
        <w:t>Quantification</w:t>
      </w:r>
    </w:p>
    <w:p w14:paraId="3FB1DA84" w14:textId="77777777" w:rsidR="0084489F" w:rsidRDefault="00110FE6">
      <w:pPr>
        <w:pStyle w:val="BodyText"/>
      </w:pPr>
      <w:r w:rsidRPr="1B9E7434">
        <w:rPr>
          <w:lang w:val="fr-FR"/>
        </w:rPr>
        <w:t>plusieurs à plusieurs (0,n:0,n)</w:t>
      </w:r>
    </w:p>
    <w:p w14:paraId="2518CCAD" w14:textId="77777777" w:rsidR="0084489F" w:rsidRDefault="00110FE6">
      <w:pPr>
        <w:pStyle w:val="BodyText"/>
      </w:pPr>
      <w:r>
        <w:rPr>
          <w:b/>
          <w:bCs/>
        </w:rPr>
        <w:t>Note d’application</w:t>
      </w:r>
    </w:p>
    <w:p w14:paraId="4370D0B4" w14:textId="77777777" w:rsidR="0084489F" w:rsidRDefault="00110FE6">
      <w:pPr>
        <w:pStyle w:val="BodyText"/>
      </w:pPr>
      <w:r>
        <w:t xml:space="preserve">Cette propriété de haut niveau capture la relation entre une instance de </w:t>
      </w:r>
      <w:r>
        <w:rPr>
          <w:rStyle w:val="VerbatimChar"/>
        </w:rPr>
        <w:t>E7_Activité</w:t>
      </w:r>
      <w:r>
        <w:t xml:space="preserve"> et toute instance de </w:t>
      </w:r>
      <w:r>
        <w:rPr>
          <w:rStyle w:val="VerbatimChar"/>
        </w:rPr>
        <w:t>E1_Entité_CRM</w:t>
      </w:r>
      <w:r>
        <w:t xml:space="preserve"> ayant pu avoir une incidence sur celle-ci.</w:t>
      </w:r>
    </w:p>
    <w:p w14:paraId="5A036AA5" w14:textId="77777777" w:rsidR="0084489F" w:rsidRDefault="00110FE6">
      <w:pPr>
        <w:pStyle w:val="BodyText"/>
      </w:pPr>
      <w:r>
        <w:t>La propriété a des sous-propriétés plus spécifiques.</w:t>
      </w:r>
    </w:p>
    <w:p w14:paraId="501F334D" w14:textId="77777777" w:rsidR="0084489F" w:rsidRDefault="00110FE6">
      <w:pPr>
        <w:pStyle w:val="BodyText"/>
      </w:pPr>
      <w:r>
        <w:rPr>
          <w:b/>
          <w:bCs/>
        </w:rPr>
        <w:t>Exemples</w:t>
      </w:r>
    </w:p>
    <w:p w14:paraId="57FFF85F" w14:textId="3FC859D7" w:rsidR="0084489F" w:rsidRDefault="00110FE6" w:rsidP="00806324">
      <w:pPr>
        <w:numPr>
          <w:ilvl w:val="0"/>
          <w:numId w:val="152"/>
        </w:numPr>
      </w:pPr>
      <w:r w:rsidRPr="1B9E7434">
        <w:rPr>
          <w:lang w:val="fr-FR"/>
        </w:rPr>
        <w:t xml:space="preserve">La conception du </w:t>
      </w:r>
      <w:r w:rsidRPr="1B9E7434">
        <w:rPr>
          <w:i/>
          <w:iCs/>
          <w:lang w:val="fr-FR"/>
        </w:rPr>
        <w:t>Harbour Bridge</w:t>
      </w:r>
      <w:r w:rsidRPr="1B9E7434">
        <w:rPr>
          <w:lang w:val="fr-FR"/>
        </w:rPr>
        <w:t xml:space="preserve"> (</w:t>
      </w:r>
      <w:r w:rsidRPr="1B9E7434">
        <w:rPr>
          <w:rStyle w:val="VerbatimChar"/>
          <w:lang w:val="fr-FR"/>
        </w:rPr>
        <w:t>E7_Activité</w:t>
      </w:r>
      <w:r w:rsidRPr="1B9E7434">
        <w:rPr>
          <w:lang w:val="fr-FR"/>
        </w:rPr>
        <w:t>) a été influencée par (</w:t>
      </w:r>
      <w:r w:rsidRPr="1B9E7434">
        <w:rPr>
          <w:rStyle w:val="VerbatimChar"/>
          <w:lang w:val="fr-FR"/>
        </w:rPr>
        <w:t>P15_a_été_influencé_par)</w:t>
      </w:r>
      <w:r w:rsidRPr="1B9E7434">
        <w:rPr>
          <w:lang w:val="fr-FR"/>
        </w:rPr>
        <w:t xml:space="preserve"> le </w:t>
      </w:r>
      <w:r w:rsidRPr="1B9E7434">
        <w:rPr>
          <w:i/>
          <w:iCs/>
          <w:lang w:val="fr-FR"/>
        </w:rPr>
        <w:t>Tyne Bridge</w:t>
      </w:r>
      <w:r w:rsidRPr="1B9E7434">
        <w:rPr>
          <w:lang w:val="fr-FR"/>
        </w:rPr>
        <w:t xml:space="preserve"> (</w:t>
      </w:r>
      <w:r w:rsidRPr="1B9E7434">
        <w:rPr>
          <w:rStyle w:val="VerbatimChar"/>
          <w:lang w:val="fr-FR"/>
        </w:rPr>
        <w:t>E22_Objet_élaboré_par_l’humain</w:t>
      </w:r>
      <w:r w:rsidRPr="1B9E7434">
        <w:rPr>
          <w:lang w:val="fr-FR"/>
        </w:rPr>
        <w:t>) (Dorman Long, 1932)</w:t>
      </w:r>
    </w:p>
    <w:p w14:paraId="11E847D4" w14:textId="77777777" w:rsidR="0084489F" w:rsidRDefault="00110FE6">
      <w:pPr>
        <w:pStyle w:val="FirstParagraph"/>
      </w:pPr>
      <w:r>
        <w:rPr>
          <w:b/>
          <w:bCs/>
        </w:rPr>
        <w:t>Logique</w:t>
      </w:r>
    </w:p>
    <w:p w14:paraId="17185866" w14:textId="77777777" w:rsidR="0084489F" w:rsidRDefault="00110FE6">
      <w:pPr>
        <w:pStyle w:val="BodyText"/>
      </w:pPr>
      <w:r w:rsidRPr="1B9E7434">
        <w:rPr>
          <w:lang w:val="fr-FR"/>
        </w:rPr>
        <w:t>P15(x,y) ⇒ E7(x)</w:t>
      </w:r>
    </w:p>
    <w:p w14:paraId="1C04065E" w14:textId="77777777" w:rsidR="0084489F" w:rsidRDefault="00110FE6">
      <w:pPr>
        <w:pStyle w:val="BodyText"/>
      </w:pPr>
      <w:r w:rsidRPr="1B9E7434">
        <w:rPr>
          <w:lang w:val="fr-FR"/>
        </w:rPr>
        <w:t>P15(x,y) ⇒ E1(y)</w:t>
      </w:r>
    </w:p>
    <w:p w14:paraId="6174F84C" w14:textId="77777777" w:rsidR="0084489F" w:rsidRDefault="00110FE6">
      <w:pPr>
        <w:pStyle w:val="BodyText"/>
      </w:pPr>
      <w:r>
        <w:rPr>
          <w:b/>
          <w:bCs/>
        </w:rPr>
        <w:t>Propriétés</w:t>
      </w:r>
    </w:p>
    <w:p w14:paraId="5F6665A2" w14:textId="77777777" w:rsidR="0084489F" w:rsidRDefault="00110FE6">
      <w:pPr>
        <w:pStyle w:val="BlockText"/>
      </w:pPr>
      <w:r>
        <w:rPr>
          <w:b/>
          <w:bCs/>
          <w:i/>
          <w:iCs/>
        </w:rPr>
        <w:t>Note de traduction</w:t>
      </w:r>
    </w:p>
    <w:p w14:paraId="7655D283" w14:textId="77777777" w:rsidR="0084489F" w:rsidRDefault="00110FE6">
      <w:pPr>
        <w:pStyle w:val="BlockText"/>
      </w:pPr>
      <w:r>
        <w:rPr>
          <w:b/>
          <w:bCs/>
          <w:i/>
          <w:iCs/>
        </w:rPr>
        <w:t>Références</w:t>
      </w:r>
    </w:p>
    <w:p w14:paraId="5579E38D" w14:textId="77777777" w:rsidR="0084489F" w:rsidRDefault="0084489F">
      <w:pPr>
        <w:pStyle w:val="BlockText"/>
      </w:pPr>
    </w:p>
    <w:p w14:paraId="401B6AB8" w14:textId="77777777" w:rsidR="0084489F" w:rsidRDefault="00110FE6">
      <w:pPr>
        <w:pStyle w:val="Heading2"/>
      </w:pPr>
      <w:bookmarkStart w:id="302" w:name="_Toc176864531"/>
      <w:bookmarkStart w:id="303" w:name="X0292ac6473000f28811c7c3639588eb14f6a104"/>
      <w:bookmarkEnd w:id="301"/>
      <w:r>
        <w:t>P16 a mobilisé l’objet spécifique (a été mobilisé pour)</w:t>
      </w:r>
      <w:bookmarkEnd w:id="302"/>
    </w:p>
    <w:p w14:paraId="76D9EE28" w14:textId="77777777" w:rsidR="0084489F" w:rsidRDefault="00110FE6">
      <w:pPr>
        <w:pStyle w:val="FirstParagraph"/>
      </w:pPr>
      <w:r>
        <w:rPr>
          <w:b/>
          <w:bCs/>
        </w:rPr>
        <w:t>Domaine</w:t>
      </w:r>
    </w:p>
    <w:p w14:paraId="21926227" w14:textId="77777777" w:rsidR="0084489F" w:rsidRDefault="00110FE6">
      <w:pPr>
        <w:pStyle w:val="BodyText"/>
      </w:pPr>
      <w:r>
        <w:rPr>
          <w:rStyle w:val="VerbatimChar"/>
        </w:rPr>
        <w:t>E7_Activité</w:t>
      </w:r>
    </w:p>
    <w:p w14:paraId="07CC421F" w14:textId="77777777" w:rsidR="0084489F" w:rsidRDefault="00110FE6">
      <w:pPr>
        <w:pStyle w:val="BodyText"/>
      </w:pPr>
      <w:r>
        <w:rPr>
          <w:b/>
          <w:bCs/>
        </w:rPr>
        <w:lastRenderedPageBreak/>
        <w:t>Portée</w:t>
      </w:r>
    </w:p>
    <w:p w14:paraId="42114B78" w14:textId="77777777" w:rsidR="0084489F" w:rsidRDefault="00110FE6">
      <w:pPr>
        <w:pStyle w:val="BodyText"/>
      </w:pPr>
      <w:r>
        <w:rPr>
          <w:rStyle w:val="VerbatimChar"/>
        </w:rPr>
        <w:t>E70_Chose</w:t>
      </w:r>
    </w:p>
    <w:p w14:paraId="2C891AE1" w14:textId="77777777" w:rsidR="0084489F" w:rsidRDefault="00110FE6">
      <w:pPr>
        <w:pStyle w:val="BodyText"/>
      </w:pPr>
      <w:r>
        <w:rPr>
          <w:b/>
          <w:bCs/>
        </w:rPr>
        <w:t>Sous-propriété de</w:t>
      </w:r>
    </w:p>
    <w:p w14:paraId="22D8ECE0"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P12_a_eu_lieu_en_présence_de (a_été_présent_à)</w:t>
      </w:r>
      <w:r w:rsidRPr="1B9E7434">
        <w:rPr>
          <w:lang w:val="fr-FR"/>
        </w:rPr>
        <w:t xml:space="preserve"> : </w:t>
      </w:r>
      <w:r w:rsidRPr="1B9E7434">
        <w:rPr>
          <w:rStyle w:val="VerbatimChar"/>
          <w:lang w:val="fr-FR"/>
        </w:rPr>
        <w:t>E77_Entité_persistante</w:t>
      </w:r>
    </w:p>
    <w:p w14:paraId="77041D9F"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P15_a_été_influencé_par (a_influencé)</w:t>
      </w:r>
      <w:r w:rsidRPr="1B9E7434">
        <w:rPr>
          <w:lang w:val="fr-FR"/>
        </w:rPr>
        <w:t xml:space="preserve"> : </w:t>
      </w:r>
      <w:r w:rsidRPr="1B9E7434">
        <w:rPr>
          <w:rStyle w:val="VerbatimChar"/>
          <w:lang w:val="fr-FR"/>
        </w:rPr>
        <w:t>E1 Entité CRM</w:t>
      </w:r>
    </w:p>
    <w:p w14:paraId="73F14B34" w14:textId="77777777" w:rsidR="0084489F" w:rsidRDefault="00110FE6">
      <w:pPr>
        <w:pStyle w:val="BodyText"/>
      </w:pPr>
      <w:r>
        <w:rPr>
          <w:b/>
          <w:bCs/>
        </w:rPr>
        <w:t>Super-propriété de</w:t>
      </w:r>
    </w:p>
    <w:p w14:paraId="0ADF0035"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P33_a_mobilisé_comme_technique_spécifique (a_été_la_technique_spécifique_mise_en_œuvre_dans)</w:t>
      </w:r>
      <w:r w:rsidRPr="1B9E7434">
        <w:rPr>
          <w:lang w:val="fr-FR"/>
        </w:rPr>
        <w:t xml:space="preserve"> : </w:t>
      </w:r>
      <w:r w:rsidRPr="1B9E7434">
        <w:rPr>
          <w:rStyle w:val="VerbatimChar"/>
          <w:lang w:val="fr-FR"/>
        </w:rPr>
        <w:t>E29_Conceptualisation_ou_procédure</w:t>
      </w:r>
    </w:p>
    <w:p w14:paraId="28179D8A" w14:textId="77777777" w:rsidR="0084489F" w:rsidRDefault="00110FE6">
      <w:pPr>
        <w:pStyle w:val="BodyText"/>
      </w:pPr>
      <w:r w:rsidRPr="1B9E7434">
        <w:rPr>
          <w:rStyle w:val="VerbatimChar"/>
          <w:lang w:val="fr-FR"/>
        </w:rPr>
        <w:t>E79_Ajout_d’élément</w:t>
      </w:r>
      <w:r w:rsidRPr="1B9E7434">
        <w:rPr>
          <w:lang w:val="fr-FR"/>
        </w:rPr>
        <w:t xml:space="preserve">. </w:t>
      </w:r>
      <w:r w:rsidRPr="1B9E7434">
        <w:rPr>
          <w:rStyle w:val="VerbatimChar"/>
          <w:lang w:val="fr-FR"/>
        </w:rPr>
        <w:t>P111_a_ajouté (a_été_ajouté_par)</w:t>
      </w:r>
      <w:r w:rsidRPr="1B9E7434">
        <w:rPr>
          <w:lang w:val="fr-FR"/>
        </w:rPr>
        <w:t xml:space="preserve"> : </w:t>
      </w:r>
      <w:r w:rsidRPr="1B9E7434">
        <w:rPr>
          <w:rStyle w:val="VerbatimChar"/>
          <w:lang w:val="fr-FR"/>
        </w:rPr>
        <w:t>E18_Chose_matérielle</w:t>
      </w:r>
      <w:r w:rsidRPr="1B9E7434">
        <w:rPr>
          <w:lang w:val="fr-FR"/>
        </w:rPr>
        <w:t xml:space="preserve"> </w:t>
      </w:r>
    </w:p>
    <w:p w14:paraId="2D037806" w14:textId="77777777" w:rsidR="0084489F" w:rsidRDefault="00110FE6">
      <w:pPr>
        <w:pStyle w:val="BodyText"/>
      </w:pPr>
      <w:r w:rsidRPr="1B9E7434">
        <w:rPr>
          <w:rStyle w:val="VerbatimChar"/>
          <w:lang w:val="fr-FR"/>
        </w:rPr>
        <w:t>E15_Assignation_d'identifiant</w:t>
      </w:r>
      <w:r w:rsidRPr="1B9E7434">
        <w:rPr>
          <w:lang w:val="fr-FR"/>
        </w:rPr>
        <w:t xml:space="preserve">. </w:t>
      </w:r>
      <w:r w:rsidRPr="1B9E7434">
        <w:rPr>
          <w:rStyle w:val="VerbatimChar"/>
          <w:lang w:val="fr-FR"/>
        </w:rPr>
        <w:t>P142_a_mobilisé_comme_élément (a_été_mobilisé_dans)</w:t>
      </w:r>
      <w:r w:rsidRPr="1B9E7434">
        <w:rPr>
          <w:lang w:val="fr-FR"/>
        </w:rPr>
        <w:t xml:space="preserve"> : </w:t>
      </w:r>
      <w:r w:rsidRPr="1B9E7434">
        <w:rPr>
          <w:rStyle w:val="VerbatimChar"/>
          <w:lang w:val="fr-FR"/>
        </w:rPr>
        <w:t>E90_Objet_symbolique</w:t>
      </w:r>
    </w:p>
    <w:p w14:paraId="79203D31" w14:textId="77777777" w:rsidR="0084489F" w:rsidRDefault="00110FE6">
      <w:pPr>
        <w:pStyle w:val="BodyText"/>
      </w:pPr>
      <w:r>
        <w:rPr>
          <w:b/>
          <w:bCs/>
        </w:rPr>
        <w:t>Quantification</w:t>
      </w:r>
    </w:p>
    <w:p w14:paraId="64D877C9" w14:textId="77777777" w:rsidR="0084489F" w:rsidRDefault="00110FE6">
      <w:pPr>
        <w:pStyle w:val="BodyText"/>
      </w:pPr>
      <w:r w:rsidRPr="1B9E7434">
        <w:rPr>
          <w:lang w:val="fr-FR"/>
        </w:rPr>
        <w:t>plusieurs à plusieurs (0,n:0,n)</w:t>
      </w:r>
    </w:p>
    <w:p w14:paraId="5F7844F1" w14:textId="77777777" w:rsidR="0084489F" w:rsidRDefault="00110FE6">
      <w:pPr>
        <w:pStyle w:val="BodyText"/>
      </w:pPr>
      <w:r>
        <w:rPr>
          <w:b/>
          <w:bCs/>
        </w:rPr>
        <w:t>Note d’application</w:t>
      </w:r>
    </w:p>
    <w:p w14:paraId="23F9B31C" w14:textId="77777777" w:rsidR="0084489F" w:rsidRDefault="00110FE6">
      <w:pPr>
        <w:pStyle w:val="BodyText"/>
      </w:pPr>
      <w:r>
        <w:t xml:space="preserve">Cette propriété décrit l’utilisation d’une chose matérielle ou immatérielle d’une manière essentielle à la réalisation ou au résultat d’une instance de </w:t>
      </w:r>
      <w:r>
        <w:rPr>
          <w:rStyle w:val="VerbatimChar"/>
        </w:rPr>
        <w:t>E7_Activité</w:t>
      </w:r>
      <w:r>
        <w:t>.</w:t>
      </w:r>
    </w:p>
    <w:p w14:paraId="3D58FFAE" w14:textId="77777777" w:rsidR="0084489F" w:rsidRDefault="00110FE6">
      <w:pPr>
        <w:pStyle w:val="BodyText"/>
      </w:pPr>
      <w:r>
        <w:t>Cette propriété s’applique particulièrement aux outils, instruments, moules, matières premières et entités impliqués dans une production. La présence de l’objet en question était donc une condition nécessaire à l’action.</w:t>
      </w:r>
    </w:p>
    <w:p w14:paraId="1A558D21" w14:textId="77777777" w:rsidR="0084489F" w:rsidRDefault="00110FE6">
      <w:pPr>
        <w:pStyle w:val="BodyText"/>
      </w:pPr>
      <w:r>
        <w:t>Par exemple, l’activité de rédaction de ce texte a nécessité l’utilisation d’un ordinateur. Une chose immatérielle peut être mobilisée si au moins un de ses supports est présent [n.d.t. lors de l’activité], par exemple les programmes informatiques installés sur un ordinateur.</w:t>
      </w:r>
    </w:p>
    <w:p w14:paraId="5F13F970" w14:textId="77777777" w:rsidR="0084489F" w:rsidRDefault="00110FE6">
      <w:pPr>
        <w:pStyle w:val="BodyText"/>
      </w:pPr>
      <w:r>
        <w:t>Un autre exemple est l’utilisation sur une certaine durée d’un nom précis par un groupe précis pour identifier une chose, tel que l’occupation d’un lieu. Dans ce cas, les supports physiques de ce nom sont au moins les individus ayant la compréhension de son usage.</w:t>
      </w:r>
    </w:p>
    <w:p w14:paraId="1C551E59" w14:textId="77777777" w:rsidR="0084489F" w:rsidRDefault="00110FE6">
      <w:pPr>
        <w:pStyle w:val="BodyText"/>
      </w:pPr>
      <w:r>
        <w:rPr>
          <w:b/>
          <w:bCs/>
        </w:rPr>
        <w:t>Exemples</w:t>
      </w:r>
    </w:p>
    <w:p w14:paraId="0879FBF3" w14:textId="79B8C81E" w:rsidR="0084489F" w:rsidRDefault="00110FE6" w:rsidP="00806324">
      <w:pPr>
        <w:numPr>
          <w:ilvl w:val="0"/>
          <w:numId w:val="153"/>
        </w:numPr>
      </w:pPr>
      <w:r w:rsidRPr="1B9E7434">
        <w:rPr>
          <w:lang w:val="fr-FR"/>
        </w:rPr>
        <w:t xml:space="preserve">L’écriture de la note d’application de la propriété CIDOC CRM </w:t>
      </w:r>
      <w:r w:rsidRPr="1B9E7434">
        <w:rPr>
          <w:rStyle w:val="VerbatimChar"/>
          <w:lang w:val="fr-FR"/>
        </w:rPr>
        <w:t>P16_a_mobilisé_l’objet_spécifique (a_été_mobilisé_pour)</w:t>
      </w:r>
      <w:r w:rsidRPr="1B9E7434">
        <w:rPr>
          <w:lang w:val="fr-FR"/>
        </w:rPr>
        <w:t xml:space="preserve"> incluse dans la version 4.1 du CIDOC CRM (</w:t>
      </w:r>
      <w:r w:rsidRPr="1B9E7434">
        <w:rPr>
          <w:rStyle w:val="VerbatimChar"/>
          <w:lang w:val="fr-FR"/>
        </w:rPr>
        <w:t>E7_Activité</w:t>
      </w:r>
      <w:r w:rsidRPr="1B9E7434">
        <w:rPr>
          <w:lang w:val="fr-FR"/>
        </w:rPr>
        <w:t>) a mobilisé comme objet spécifique (</w:t>
      </w:r>
      <w:r w:rsidRPr="1B9E7434">
        <w:rPr>
          <w:rStyle w:val="VerbatimChar"/>
          <w:lang w:val="fr-FR"/>
        </w:rPr>
        <w:t>P16_a_mobilisé_l’objet_spécifique</w:t>
      </w:r>
      <w:r w:rsidRPr="1B9E7434">
        <w:rPr>
          <w:lang w:val="fr-FR"/>
        </w:rPr>
        <w:t>) l’ordinateur de Nicholas Crofts (</w:t>
      </w:r>
      <w:r w:rsidRPr="1B9E7434">
        <w:rPr>
          <w:rStyle w:val="VerbatimChar"/>
          <w:lang w:val="fr-FR"/>
        </w:rPr>
        <w:t>E22_Objet_élaboré_par_l’humain</w:t>
      </w:r>
      <w:r w:rsidRPr="1B9E7434">
        <w:rPr>
          <w:lang w:val="fr-FR"/>
        </w:rPr>
        <w:t>) avec comme mode d’utilisation (</w:t>
      </w:r>
      <w:r w:rsidRPr="1B9E7434">
        <w:rPr>
          <w:rStyle w:val="VerbatimChar"/>
          <w:lang w:val="fr-FR"/>
        </w:rPr>
        <w:t>P16.1_mode_d'utilisation</w:t>
      </w:r>
      <w:r w:rsidRPr="1B9E7434">
        <w:rPr>
          <w:lang w:val="fr-FR"/>
        </w:rPr>
        <w:t>) un outil de saisie et un support de stockage (</w:t>
      </w:r>
      <w:r w:rsidRPr="1B9E7434">
        <w:rPr>
          <w:rStyle w:val="VerbatimChar"/>
          <w:lang w:val="fr-FR"/>
        </w:rPr>
        <w:t>E55_Type</w:t>
      </w:r>
      <w:r w:rsidRPr="1B9E7434">
        <w:rPr>
          <w:lang w:val="fr-FR"/>
        </w:rPr>
        <w:t>) [la note d’application originelle a été augmentée dans la version 4.3 du CIDOC CRM]</w:t>
      </w:r>
    </w:p>
    <w:p w14:paraId="4AC354EC" w14:textId="204F6F75" w:rsidR="0084489F" w:rsidRDefault="00110FE6" w:rsidP="00806324">
      <w:pPr>
        <w:numPr>
          <w:ilvl w:val="0"/>
          <w:numId w:val="153"/>
        </w:numPr>
      </w:pPr>
      <w:r w:rsidRPr="1B9E7434">
        <w:rPr>
          <w:lang w:val="fr-FR"/>
        </w:rPr>
        <w:t>Le peuple irakien appelant le lieu dont l’identifiant TGN est « 7017998 » (</w:t>
      </w:r>
      <w:r w:rsidRPr="1B9E7434">
        <w:rPr>
          <w:rStyle w:val="VerbatimChar"/>
          <w:lang w:val="fr-FR"/>
        </w:rPr>
        <w:t>E7_Activité</w:t>
      </w:r>
      <w:r w:rsidRPr="1B9E7434">
        <w:rPr>
          <w:lang w:val="fr-FR"/>
        </w:rPr>
        <w:t>) a mobilisé l’objet spécifique (</w:t>
      </w:r>
      <w:r w:rsidRPr="1B9E7434">
        <w:rPr>
          <w:rStyle w:val="VerbatimChar"/>
          <w:lang w:val="fr-FR"/>
        </w:rPr>
        <w:t>P16_a_mobilisé_l’objet_spécifique</w:t>
      </w:r>
      <w:r w:rsidRPr="1B9E7434">
        <w:rPr>
          <w:lang w:val="fr-FR"/>
        </w:rPr>
        <w:t>) « Quyunjig » (</w:t>
      </w:r>
      <w:r w:rsidRPr="1B9E7434">
        <w:rPr>
          <w:rStyle w:val="VerbatimChar"/>
          <w:lang w:val="fr-FR"/>
        </w:rPr>
        <w:t>E41_Appellation</w:t>
      </w:r>
      <w:r w:rsidRPr="1B9E7434">
        <w:rPr>
          <w:lang w:val="fr-FR"/>
        </w:rPr>
        <w:t>), ayant comme mode d’utilisation (</w:t>
      </w:r>
      <w:r w:rsidRPr="1B9E7434">
        <w:rPr>
          <w:rStyle w:val="VerbatimChar"/>
          <w:lang w:val="fr-FR"/>
        </w:rPr>
        <w:t>P16.1_mode_d'utilisation</w:t>
      </w:r>
      <w:r w:rsidRPr="1B9E7434">
        <w:rPr>
          <w:lang w:val="fr-FR"/>
        </w:rPr>
        <w:t>) actuel, vernaculaire (</w:t>
      </w:r>
      <w:r w:rsidRPr="1B9E7434">
        <w:rPr>
          <w:rStyle w:val="VerbatimChar"/>
          <w:lang w:val="fr-FR"/>
        </w:rPr>
        <w:t>E55_Type</w:t>
      </w:r>
      <w:r w:rsidRPr="1B9E7434">
        <w:rPr>
          <w:lang w:val="fr-FR"/>
        </w:rPr>
        <w:t>).</w:t>
      </w:r>
    </w:p>
    <w:p w14:paraId="429DABB0" w14:textId="77777777" w:rsidR="0084489F" w:rsidRDefault="00110FE6">
      <w:pPr>
        <w:pStyle w:val="FirstParagraph"/>
      </w:pPr>
      <w:r>
        <w:rPr>
          <w:b/>
          <w:bCs/>
        </w:rPr>
        <w:t>Logique</w:t>
      </w:r>
    </w:p>
    <w:p w14:paraId="35D0637E" w14:textId="77777777" w:rsidR="0084489F" w:rsidRDefault="00110FE6">
      <w:pPr>
        <w:pStyle w:val="BodyText"/>
      </w:pPr>
      <w:r w:rsidRPr="1B9E7434">
        <w:rPr>
          <w:lang w:val="fr-FR"/>
        </w:rPr>
        <w:t>P16(x,y) ⇒ E7(x)</w:t>
      </w:r>
    </w:p>
    <w:p w14:paraId="1685A979" w14:textId="77777777" w:rsidR="0084489F" w:rsidRDefault="00110FE6">
      <w:pPr>
        <w:pStyle w:val="BodyText"/>
      </w:pPr>
      <w:r w:rsidRPr="1B9E7434">
        <w:rPr>
          <w:lang w:val="fr-FR"/>
        </w:rPr>
        <w:lastRenderedPageBreak/>
        <w:t>P16(x,y) ⇒ E70(y)</w:t>
      </w:r>
    </w:p>
    <w:p w14:paraId="20C3527D" w14:textId="77777777" w:rsidR="0084489F" w:rsidRDefault="00110FE6">
      <w:pPr>
        <w:pStyle w:val="BodyText"/>
      </w:pPr>
      <w:r w:rsidRPr="1B9E7434">
        <w:rPr>
          <w:lang w:val="fr-FR"/>
        </w:rPr>
        <w:t>P16(x,y) ⇒ P12(x,y)</w:t>
      </w:r>
    </w:p>
    <w:p w14:paraId="00403C7D" w14:textId="77777777" w:rsidR="0084489F" w:rsidRDefault="00110FE6">
      <w:pPr>
        <w:pStyle w:val="BodyText"/>
      </w:pPr>
      <w:r w:rsidRPr="1B9E7434">
        <w:rPr>
          <w:lang w:val="fr-FR"/>
        </w:rPr>
        <w:t>P16(x,y) ⇒ P15(x,y)</w:t>
      </w:r>
    </w:p>
    <w:p w14:paraId="3B5D27EE" w14:textId="77777777" w:rsidR="0084489F" w:rsidRDefault="00110FE6">
      <w:pPr>
        <w:pStyle w:val="BodyText"/>
      </w:pPr>
      <w:r w:rsidRPr="1B9E7434">
        <w:rPr>
          <w:lang w:val="fr-FR"/>
        </w:rPr>
        <w:t>P16(x,y,z) ⇒ [P16(x,y) ∧ E55(z)]</w:t>
      </w:r>
    </w:p>
    <w:p w14:paraId="7FD1A8DB" w14:textId="77777777" w:rsidR="0084489F" w:rsidRDefault="00110FE6">
      <w:pPr>
        <w:pStyle w:val="BodyText"/>
      </w:pPr>
      <w:r>
        <w:rPr>
          <w:b/>
          <w:bCs/>
        </w:rPr>
        <w:t>Propriétés</w:t>
      </w:r>
    </w:p>
    <w:p w14:paraId="2947C828" w14:textId="77777777" w:rsidR="0084489F" w:rsidRDefault="00110FE6">
      <w:pPr>
        <w:pStyle w:val="BodyText"/>
      </w:pPr>
      <w:r>
        <w:rPr>
          <w:rStyle w:val="VerbatimChar"/>
        </w:rPr>
        <w:t>P16.1_mode_d'utilisation</w:t>
      </w:r>
      <w:r>
        <w:t xml:space="preserve"> : </w:t>
      </w:r>
      <w:r>
        <w:rPr>
          <w:rStyle w:val="VerbatimChar"/>
        </w:rPr>
        <w:t>E55_Type</w:t>
      </w:r>
    </w:p>
    <w:p w14:paraId="41D65DE7" w14:textId="77777777" w:rsidR="0084489F" w:rsidRDefault="00110FE6">
      <w:pPr>
        <w:pStyle w:val="BlockText"/>
      </w:pPr>
      <w:r>
        <w:rPr>
          <w:b/>
          <w:bCs/>
          <w:i/>
          <w:iCs/>
        </w:rPr>
        <w:t>Note de traduction</w:t>
      </w:r>
    </w:p>
    <w:p w14:paraId="57DD49AC" w14:textId="77777777" w:rsidR="0084489F" w:rsidRDefault="00110FE6">
      <w:pPr>
        <w:pStyle w:val="BlockText"/>
      </w:pPr>
      <w:r>
        <w:rPr>
          <w:b/>
          <w:bCs/>
          <w:i/>
          <w:iCs/>
        </w:rPr>
        <w:t>Références</w:t>
      </w:r>
    </w:p>
    <w:p w14:paraId="5F6034C2" w14:textId="77777777" w:rsidR="0084489F" w:rsidRDefault="0084489F">
      <w:pPr>
        <w:pStyle w:val="BlockText"/>
      </w:pPr>
    </w:p>
    <w:p w14:paraId="08D4D830" w14:textId="77777777" w:rsidR="0084489F" w:rsidRDefault="00110FE6">
      <w:pPr>
        <w:pStyle w:val="Heading2"/>
      </w:pPr>
      <w:bookmarkStart w:id="304" w:name="_Toc176864532"/>
      <w:bookmarkStart w:id="305" w:name="p17-a-ete-motive-par-(a-motive)"/>
      <w:bookmarkEnd w:id="303"/>
      <w:r>
        <w:t>P17 a été motivé par (a motivé)</w:t>
      </w:r>
      <w:bookmarkEnd w:id="304"/>
    </w:p>
    <w:p w14:paraId="68765784" w14:textId="77777777" w:rsidR="0084489F" w:rsidRDefault="00110FE6">
      <w:pPr>
        <w:pStyle w:val="FirstParagraph"/>
      </w:pPr>
      <w:r>
        <w:rPr>
          <w:b/>
          <w:bCs/>
        </w:rPr>
        <w:t>Domaine</w:t>
      </w:r>
    </w:p>
    <w:p w14:paraId="1F0857FE" w14:textId="77777777" w:rsidR="0084489F" w:rsidRDefault="00110FE6">
      <w:pPr>
        <w:pStyle w:val="BodyText"/>
      </w:pPr>
      <w:r>
        <w:rPr>
          <w:rStyle w:val="VerbatimChar"/>
        </w:rPr>
        <w:t>E7_Activité</w:t>
      </w:r>
    </w:p>
    <w:p w14:paraId="1E247A7A" w14:textId="77777777" w:rsidR="0084489F" w:rsidRDefault="00110FE6">
      <w:pPr>
        <w:pStyle w:val="BodyText"/>
      </w:pPr>
      <w:r>
        <w:rPr>
          <w:b/>
          <w:bCs/>
        </w:rPr>
        <w:t>Portée</w:t>
      </w:r>
    </w:p>
    <w:p w14:paraId="787B4D91" w14:textId="77777777" w:rsidR="0084489F" w:rsidRDefault="00110FE6">
      <w:pPr>
        <w:pStyle w:val="BodyText"/>
      </w:pPr>
      <w:r>
        <w:rPr>
          <w:rStyle w:val="VerbatimChar"/>
        </w:rPr>
        <w:t>E1_Entité_CRM</w:t>
      </w:r>
    </w:p>
    <w:p w14:paraId="2D5BBD2C" w14:textId="77777777" w:rsidR="0084489F" w:rsidRDefault="00110FE6">
      <w:pPr>
        <w:pStyle w:val="BodyText"/>
      </w:pPr>
      <w:r>
        <w:rPr>
          <w:b/>
          <w:bCs/>
        </w:rPr>
        <w:t>Sous-propriété de</w:t>
      </w:r>
    </w:p>
    <w:p w14:paraId="33750073"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P15_a_été_influencé_par (a_influencé)</w:t>
      </w:r>
      <w:r w:rsidRPr="1B9E7434">
        <w:rPr>
          <w:lang w:val="fr-FR"/>
        </w:rPr>
        <w:t xml:space="preserve"> : </w:t>
      </w:r>
      <w:r w:rsidRPr="1B9E7434">
        <w:rPr>
          <w:rStyle w:val="VerbatimChar"/>
          <w:lang w:val="fr-FR"/>
        </w:rPr>
        <w:t>E1_Entité_CRM</w:t>
      </w:r>
    </w:p>
    <w:p w14:paraId="2A9F0FD9" w14:textId="77777777" w:rsidR="0084489F" w:rsidRDefault="00110FE6">
      <w:pPr>
        <w:pStyle w:val="BodyText"/>
      </w:pPr>
      <w:r>
        <w:rPr>
          <w:b/>
          <w:bCs/>
        </w:rPr>
        <w:t>Super-propriété de</w:t>
      </w:r>
    </w:p>
    <w:p w14:paraId="332FCA08" w14:textId="77777777" w:rsidR="0084489F" w:rsidRDefault="00110FE6">
      <w:pPr>
        <w:pStyle w:val="BodyText"/>
      </w:pPr>
      <w:r>
        <w:rPr>
          <w:b/>
          <w:bCs/>
        </w:rPr>
        <w:t>Quantification</w:t>
      </w:r>
    </w:p>
    <w:p w14:paraId="4B665259" w14:textId="77777777" w:rsidR="0084489F" w:rsidRDefault="00110FE6">
      <w:pPr>
        <w:pStyle w:val="BodyText"/>
      </w:pPr>
      <w:r w:rsidRPr="1B9E7434">
        <w:rPr>
          <w:lang w:val="fr-FR"/>
        </w:rPr>
        <w:t>plusieurs à plusieurs (0,n:0,n)</w:t>
      </w:r>
    </w:p>
    <w:p w14:paraId="2F71F813" w14:textId="77777777" w:rsidR="0084489F" w:rsidRDefault="00110FE6">
      <w:pPr>
        <w:pStyle w:val="BodyText"/>
      </w:pPr>
      <w:r>
        <w:rPr>
          <w:b/>
          <w:bCs/>
        </w:rPr>
        <w:t>Note d’application</w:t>
      </w:r>
    </w:p>
    <w:p w14:paraId="4246BF47" w14:textId="77777777" w:rsidR="0084489F" w:rsidRDefault="00110FE6">
      <w:pPr>
        <w:pStyle w:val="BodyText"/>
      </w:pPr>
      <w:r>
        <w:t xml:space="preserve">Cette propriété décrit le fait qu’une ou des entités sont considérées comme ayant motivé la création d’une instance de </w:t>
      </w:r>
      <w:r>
        <w:rPr>
          <w:rStyle w:val="VerbatimChar"/>
        </w:rPr>
        <w:t>E7_Activité</w:t>
      </w:r>
      <w:r>
        <w:t>.</w:t>
      </w:r>
    </w:p>
    <w:p w14:paraId="2F24E07C" w14:textId="77777777" w:rsidR="0084489F" w:rsidRDefault="00110FE6">
      <w:pPr>
        <w:pStyle w:val="BodyText"/>
      </w:pPr>
      <w:r>
        <w:t>Par exemple, la découverte d’un important trésor peut donner lieu à une célébration, un ordre émanant du quartier général peut déclencher une manœuvre militaire.</w:t>
      </w:r>
    </w:p>
    <w:p w14:paraId="34C4B8C8" w14:textId="77777777" w:rsidR="0084489F" w:rsidRDefault="00110FE6">
      <w:pPr>
        <w:pStyle w:val="BodyText"/>
      </w:pPr>
      <w:r>
        <w:rPr>
          <w:b/>
          <w:bCs/>
        </w:rPr>
        <w:t>Exemples</w:t>
      </w:r>
    </w:p>
    <w:p w14:paraId="79F1B249" w14:textId="77777777" w:rsidR="0084489F" w:rsidRDefault="00110FE6" w:rsidP="00806324">
      <w:pPr>
        <w:numPr>
          <w:ilvl w:val="0"/>
          <w:numId w:val="154"/>
        </w:numPr>
      </w:pPr>
      <w:r>
        <w:t>La démission du chef de la direction (</w:t>
      </w:r>
      <w:r>
        <w:rPr>
          <w:rStyle w:val="VerbatimChar"/>
        </w:rPr>
        <w:t>E7_Activité</w:t>
      </w:r>
      <w:r>
        <w:t>) a été motivée par (</w:t>
      </w:r>
      <w:r>
        <w:rPr>
          <w:rStyle w:val="VerbatimChar"/>
        </w:rPr>
        <w:t>P17_a_été_motivé_par)</w:t>
      </w:r>
      <w:r>
        <w:t xml:space="preserve"> la faillite de Swissair (</w:t>
      </w:r>
      <w:r>
        <w:rPr>
          <w:rStyle w:val="VerbatimChar"/>
        </w:rPr>
        <w:t>E68_Dissolution</w:t>
      </w:r>
      <w:r>
        <w:t>)</w:t>
      </w:r>
    </w:p>
    <w:p w14:paraId="48518E5C" w14:textId="77777777" w:rsidR="0084489F" w:rsidRDefault="00110FE6" w:rsidP="00806324">
      <w:pPr>
        <w:numPr>
          <w:ilvl w:val="0"/>
          <w:numId w:val="154"/>
        </w:numPr>
      </w:pPr>
      <w:r>
        <w:t>Le couronnement d’Elizabeth II (</w:t>
      </w:r>
      <w:r>
        <w:rPr>
          <w:rStyle w:val="VerbatimChar"/>
        </w:rPr>
        <w:t>E7_Activité</w:t>
      </w:r>
      <w:r>
        <w:t>) a été motivé par (</w:t>
      </w:r>
      <w:r>
        <w:rPr>
          <w:rStyle w:val="VerbatimChar"/>
        </w:rPr>
        <w:t>P17_a_été_motivé_par)</w:t>
      </w:r>
      <w:r>
        <w:t xml:space="preserve"> la mort de George VI (</w:t>
      </w:r>
      <w:r>
        <w:rPr>
          <w:rStyle w:val="VerbatimChar"/>
        </w:rPr>
        <w:t>E69_Mort</w:t>
      </w:r>
      <w:r>
        <w:t>) (Strong, 2005)</w:t>
      </w:r>
    </w:p>
    <w:p w14:paraId="7BCF325D" w14:textId="77777777" w:rsidR="0084489F" w:rsidRDefault="00110FE6">
      <w:pPr>
        <w:pStyle w:val="FirstParagraph"/>
      </w:pPr>
      <w:r>
        <w:rPr>
          <w:b/>
          <w:bCs/>
        </w:rPr>
        <w:t>Logique</w:t>
      </w:r>
    </w:p>
    <w:p w14:paraId="56CC1CE9" w14:textId="77777777" w:rsidR="0084489F" w:rsidRDefault="00110FE6">
      <w:pPr>
        <w:pStyle w:val="BodyText"/>
      </w:pPr>
      <w:r w:rsidRPr="1B9E7434">
        <w:rPr>
          <w:lang w:val="fr-FR"/>
        </w:rPr>
        <w:t>P17(x,y) ⇒ E7(x)</w:t>
      </w:r>
    </w:p>
    <w:p w14:paraId="6F7DEBB0" w14:textId="77777777" w:rsidR="0084489F" w:rsidRDefault="00110FE6">
      <w:pPr>
        <w:pStyle w:val="BodyText"/>
      </w:pPr>
      <w:r w:rsidRPr="1B9E7434">
        <w:rPr>
          <w:lang w:val="fr-FR"/>
        </w:rPr>
        <w:t>P17(x,y) ⇒ E1(y)</w:t>
      </w:r>
    </w:p>
    <w:p w14:paraId="4CC79EFF" w14:textId="77777777" w:rsidR="0084489F" w:rsidRDefault="00110FE6">
      <w:pPr>
        <w:pStyle w:val="BodyText"/>
      </w:pPr>
      <w:r w:rsidRPr="1B9E7434">
        <w:rPr>
          <w:lang w:val="fr-FR"/>
        </w:rPr>
        <w:t>P17(x,y) ⇒ P15(x,y)</w:t>
      </w:r>
    </w:p>
    <w:p w14:paraId="212B7162" w14:textId="77777777" w:rsidR="0084489F" w:rsidRDefault="00110FE6">
      <w:pPr>
        <w:pStyle w:val="BodyText"/>
      </w:pPr>
      <w:r>
        <w:rPr>
          <w:b/>
          <w:bCs/>
        </w:rPr>
        <w:lastRenderedPageBreak/>
        <w:t>Propriétés</w:t>
      </w:r>
    </w:p>
    <w:p w14:paraId="1AA980CA" w14:textId="77777777" w:rsidR="0084489F" w:rsidRDefault="00110FE6">
      <w:pPr>
        <w:pStyle w:val="BlockText"/>
      </w:pPr>
      <w:r>
        <w:rPr>
          <w:b/>
          <w:bCs/>
          <w:i/>
          <w:iCs/>
        </w:rPr>
        <w:t>Note de traduction</w:t>
      </w:r>
    </w:p>
    <w:p w14:paraId="73BE8418" w14:textId="77777777" w:rsidR="0084489F" w:rsidRDefault="00110FE6">
      <w:pPr>
        <w:pStyle w:val="BlockText"/>
      </w:pPr>
      <w:r>
        <w:rPr>
          <w:b/>
          <w:bCs/>
          <w:i/>
          <w:iCs/>
        </w:rPr>
        <w:t>Références</w:t>
      </w:r>
    </w:p>
    <w:p w14:paraId="6EDE8E31" w14:textId="77777777" w:rsidR="0084489F" w:rsidRDefault="0084489F">
      <w:pPr>
        <w:pStyle w:val="BlockText"/>
      </w:pPr>
    </w:p>
    <w:p w14:paraId="6B01E935" w14:textId="77777777" w:rsidR="0084489F" w:rsidRDefault="00110FE6">
      <w:pPr>
        <w:pStyle w:val="Heading2"/>
      </w:pPr>
      <w:bookmarkStart w:id="306" w:name="_Toc176864533"/>
      <w:bookmarkStart w:id="307" w:name="X6306a2b3c142f5a278e7fd663d8f5d70c075fe2"/>
      <w:bookmarkEnd w:id="305"/>
      <w:r>
        <w:t>P19 a été l’usage prévu de (a été élaboré pour)</w:t>
      </w:r>
      <w:bookmarkEnd w:id="306"/>
    </w:p>
    <w:p w14:paraId="435C7663" w14:textId="77777777" w:rsidR="0084489F" w:rsidRDefault="00110FE6">
      <w:pPr>
        <w:pStyle w:val="FirstParagraph"/>
      </w:pPr>
      <w:r>
        <w:rPr>
          <w:b/>
          <w:bCs/>
        </w:rPr>
        <w:t>Domaine</w:t>
      </w:r>
    </w:p>
    <w:p w14:paraId="4D368F9A" w14:textId="77777777" w:rsidR="0084489F" w:rsidRDefault="00110FE6">
      <w:pPr>
        <w:pStyle w:val="BodyText"/>
      </w:pPr>
      <w:r>
        <w:rPr>
          <w:rStyle w:val="VerbatimChar"/>
        </w:rPr>
        <w:t>E7_Activité</w:t>
      </w:r>
    </w:p>
    <w:p w14:paraId="412FE667" w14:textId="77777777" w:rsidR="0084489F" w:rsidRDefault="00110FE6">
      <w:pPr>
        <w:pStyle w:val="BodyText"/>
      </w:pPr>
      <w:r>
        <w:rPr>
          <w:b/>
          <w:bCs/>
        </w:rPr>
        <w:t>Portée</w:t>
      </w:r>
    </w:p>
    <w:p w14:paraId="65A6E6FD" w14:textId="77777777" w:rsidR="0084489F" w:rsidRDefault="00110FE6">
      <w:pPr>
        <w:pStyle w:val="BodyText"/>
      </w:pPr>
      <w:r>
        <w:rPr>
          <w:rStyle w:val="VerbatimChar"/>
        </w:rPr>
        <w:t>E71_Chose_élaborée_par_l’humain</w:t>
      </w:r>
    </w:p>
    <w:p w14:paraId="4EF8757D" w14:textId="77777777" w:rsidR="0084489F" w:rsidRDefault="00110FE6">
      <w:pPr>
        <w:pStyle w:val="BodyText"/>
      </w:pPr>
      <w:r>
        <w:rPr>
          <w:b/>
          <w:bCs/>
        </w:rPr>
        <w:t>Sous-propriété de</w:t>
      </w:r>
    </w:p>
    <w:p w14:paraId="2CC026BC" w14:textId="77777777" w:rsidR="0084489F" w:rsidRDefault="00110FE6">
      <w:pPr>
        <w:pStyle w:val="BodyText"/>
      </w:pPr>
      <w:r>
        <w:rPr>
          <w:b/>
          <w:bCs/>
        </w:rPr>
        <w:t>Super-propriété de</w:t>
      </w:r>
    </w:p>
    <w:p w14:paraId="629ACA78" w14:textId="77777777" w:rsidR="0084489F" w:rsidRDefault="00110FE6">
      <w:pPr>
        <w:pStyle w:val="BodyText"/>
      </w:pPr>
      <w:r>
        <w:rPr>
          <w:b/>
          <w:bCs/>
        </w:rPr>
        <w:t>Quantification</w:t>
      </w:r>
    </w:p>
    <w:p w14:paraId="67564511" w14:textId="77777777" w:rsidR="0084489F" w:rsidRDefault="00110FE6">
      <w:pPr>
        <w:pStyle w:val="BodyText"/>
      </w:pPr>
      <w:r w:rsidRPr="1B9E7434">
        <w:rPr>
          <w:lang w:val="fr-FR"/>
        </w:rPr>
        <w:t>plusieurs à plusieurs (0,n:0,n)</w:t>
      </w:r>
    </w:p>
    <w:p w14:paraId="73A49775" w14:textId="77777777" w:rsidR="0084489F" w:rsidRDefault="00110FE6">
      <w:pPr>
        <w:pStyle w:val="BodyText"/>
      </w:pPr>
      <w:r>
        <w:rPr>
          <w:b/>
          <w:bCs/>
        </w:rPr>
        <w:t>Note d’application</w:t>
      </w:r>
    </w:p>
    <w:p w14:paraId="0C534E21" w14:textId="77777777" w:rsidR="0084489F" w:rsidRDefault="00110FE6">
      <w:pPr>
        <w:pStyle w:val="BodyText"/>
      </w:pPr>
      <w:r>
        <w:t xml:space="preserve">Cette propriété relie une instance de </w:t>
      </w:r>
      <w:r>
        <w:rPr>
          <w:rStyle w:val="VerbatimChar"/>
        </w:rPr>
        <w:t>E7_Activité</w:t>
      </w:r>
      <w:r>
        <w:t xml:space="preserve"> à des instances de </w:t>
      </w:r>
      <w:r>
        <w:rPr>
          <w:rStyle w:val="VerbatimChar"/>
        </w:rPr>
        <w:t>E71_Chose_élaborée_par_l’humain</w:t>
      </w:r>
      <w:r>
        <w:t>, créées spécifiquement pour être utilisées au cours de l’activité en question.</w:t>
      </w:r>
    </w:p>
    <w:p w14:paraId="72E90DBE" w14:textId="77777777" w:rsidR="0084489F" w:rsidRDefault="00110FE6">
      <w:pPr>
        <w:pStyle w:val="BodyText"/>
      </w:pPr>
      <w:r w:rsidRPr="1B9E7434">
        <w:rPr>
          <w:lang w:val="fr-FR"/>
        </w:rPr>
        <w:t xml:space="preserve">Ce cas est à distinguer de l’utilisation prévue d’une entité dans une activité de type général, tel que le livre de la prière commune, dont l’utilisation prévue était d’être lu pendant les offices de l’Église d’Angleterre (voir </w:t>
      </w:r>
      <w:r w:rsidRPr="1B9E7434">
        <w:rPr>
          <w:rStyle w:val="VerbatimChar"/>
          <w:lang w:val="fr-FR"/>
        </w:rPr>
        <w:t>P101_a_eu_pour_usage_général (a_été_l’usage_général_de)</w:t>
      </w:r>
      <w:r w:rsidRPr="1B9E7434">
        <w:rPr>
          <w:lang w:val="fr-FR"/>
        </w:rPr>
        <w:t>).</w:t>
      </w:r>
    </w:p>
    <w:p w14:paraId="71C13658" w14:textId="77777777" w:rsidR="0084489F" w:rsidRDefault="00110FE6">
      <w:pPr>
        <w:pStyle w:val="BodyText"/>
      </w:pPr>
      <w:r>
        <w:rPr>
          <w:b/>
          <w:bCs/>
        </w:rPr>
        <w:t>Exemples</w:t>
      </w:r>
    </w:p>
    <w:p w14:paraId="1C4EC5C8" w14:textId="77777777" w:rsidR="0084489F" w:rsidRDefault="00110FE6" w:rsidP="00806324">
      <w:pPr>
        <w:numPr>
          <w:ilvl w:val="0"/>
          <w:numId w:val="155"/>
        </w:numPr>
      </w:pPr>
      <w:r>
        <w:t>La robe de mariée de Lady Diana Spencer (</w:t>
      </w:r>
      <w:r>
        <w:rPr>
          <w:rStyle w:val="VerbatimChar"/>
        </w:rPr>
        <w:t>E71_Chose_élaborée_par_l’humain</w:t>
      </w:r>
      <w:r>
        <w:t>) a été élaborée pour (</w:t>
      </w:r>
      <w:r>
        <w:rPr>
          <w:rStyle w:val="VerbatimChar"/>
        </w:rPr>
        <w:t>P19i_a_été_élaboré_pour</w:t>
      </w:r>
      <w:r>
        <w:t>) le mariage de Lady Diana Spencer avec le Prince Charles (</w:t>
      </w:r>
      <w:r>
        <w:rPr>
          <w:rStyle w:val="VerbatimChar"/>
        </w:rPr>
        <w:t>E7_Activité</w:t>
      </w:r>
      <w:r>
        <w:t>) avec pour mode d’utilisation (</w:t>
      </w:r>
      <w:r>
        <w:rPr>
          <w:rStyle w:val="VerbatimChar"/>
        </w:rPr>
        <w:t>P19.1_mode_d’utilisation</w:t>
      </w:r>
      <w:r>
        <w:t>) être portée (</w:t>
      </w:r>
      <w:r>
        <w:rPr>
          <w:rStyle w:val="VerbatimChar"/>
        </w:rPr>
        <w:t>E55_Type</w:t>
      </w:r>
      <w:r>
        <w:t>) (Daly, 1981)</w:t>
      </w:r>
    </w:p>
    <w:p w14:paraId="15064E38" w14:textId="77777777" w:rsidR="0084489F" w:rsidRDefault="00110FE6">
      <w:pPr>
        <w:pStyle w:val="FirstParagraph"/>
      </w:pPr>
      <w:r>
        <w:rPr>
          <w:b/>
          <w:bCs/>
        </w:rPr>
        <w:t>Logique</w:t>
      </w:r>
    </w:p>
    <w:p w14:paraId="2DF3758A" w14:textId="77777777" w:rsidR="0084489F" w:rsidRDefault="00110FE6">
      <w:pPr>
        <w:pStyle w:val="BodyText"/>
      </w:pPr>
      <w:r w:rsidRPr="1B9E7434">
        <w:rPr>
          <w:lang w:val="fr-FR"/>
        </w:rPr>
        <w:t>P19(x,y) ⇒ E7(x)</w:t>
      </w:r>
    </w:p>
    <w:p w14:paraId="6FF0F5A3" w14:textId="77777777" w:rsidR="0084489F" w:rsidRDefault="00110FE6">
      <w:pPr>
        <w:pStyle w:val="BodyText"/>
      </w:pPr>
      <w:r w:rsidRPr="1B9E7434">
        <w:rPr>
          <w:lang w:val="fr-FR"/>
        </w:rPr>
        <w:t>P19(x,y) ⇒ E71(y)</w:t>
      </w:r>
    </w:p>
    <w:p w14:paraId="0A0C6B80" w14:textId="77777777" w:rsidR="0084489F" w:rsidRDefault="00110FE6">
      <w:pPr>
        <w:pStyle w:val="BodyText"/>
      </w:pPr>
      <w:r w:rsidRPr="1B9E7434">
        <w:rPr>
          <w:lang w:val="fr-FR"/>
        </w:rPr>
        <w:t>P19(x,y,z) ⇒ [P19(x,y) ∧ E55(z)]</w:t>
      </w:r>
    </w:p>
    <w:p w14:paraId="1984B597" w14:textId="77777777" w:rsidR="0084489F" w:rsidRDefault="00110FE6">
      <w:pPr>
        <w:pStyle w:val="BodyText"/>
      </w:pPr>
      <w:r>
        <w:rPr>
          <w:b/>
          <w:bCs/>
        </w:rPr>
        <w:t>Propriétés</w:t>
      </w:r>
    </w:p>
    <w:p w14:paraId="13371C27" w14:textId="77777777" w:rsidR="0084489F" w:rsidRDefault="00110FE6">
      <w:pPr>
        <w:pStyle w:val="BodyText"/>
      </w:pPr>
      <w:r>
        <w:rPr>
          <w:rStyle w:val="VerbatimChar"/>
        </w:rPr>
        <w:t>P19.1_mode_d’utilisation</w:t>
      </w:r>
      <w:r>
        <w:t xml:space="preserve"> : </w:t>
      </w:r>
      <w:r>
        <w:rPr>
          <w:rStyle w:val="VerbatimChar"/>
        </w:rPr>
        <w:t>E55_Type</w:t>
      </w:r>
    </w:p>
    <w:p w14:paraId="443FC3C8" w14:textId="77777777" w:rsidR="0084489F" w:rsidRDefault="00110FE6">
      <w:pPr>
        <w:pStyle w:val="BlockText"/>
      </w:pPr>
      <w:r>
        <w:rPr>
          <w:b/>
          <w:bCs/>
          <w:i/>
          <w:iCs/>
        </w:rPr>
        <w:t>Note de traduction</w:t>
      </w:r>
    </w:p>
    <w:p w14:paraId="5D46B1A9" w14:textId="77777777" w:rsidR="0084489F" w:rsidRDefault="00110FE6">
      <w:pPr>
        <w:pStyle w:val="BlockText"/>
      </w:pPr>
      <w:r>
        <w:rPr>
          <w:b/>
          <w:bCs/>
          <w:i/>
          <w:iCs/>
        </w:rPr>
        <w:t>Références</w:t>
      </w:r>
    </w:p>
    <w:p w14:paraId="7C1A90B5" w14:textId="77777777" w:rsidR="0084489F" w:rsidRDefault="0084489F">
      <w:pPr>
        <w:pStyle w:val="BlockText"/>
      </w:pPr>
    </w:p>
    <w:p w14:paraId="222E7AAC" w14:textId="77777777" w:rsidR="0084489F" w:rsidRDefault="00110FE6">
      <w:pPr>
        <w:pStyle w:val="Heading2"/>
      </w:pPr>
      <w:bookmarkStart w:id="308" w:name="_Toc176864534"/>
      <w:bookmarkStart w:id="309" w:name="X7460264ed6283bea91a1a38d6dda3951786f533"/>
      <w:bookmarkEnd w:id="307"/>
      <w:r>
        <w:lastRenderedPageBreak/>
        <w:t>P20 a eu pour finalité spécifique (a été la finalité de)</w:t>
      </w:r>
      <w:bookmarkEnd w:id="308"/>
    </w:p>
    <w:p w14:paraId="6C24E954" w14:textId="77777777" w:rsidR="0084489F" w:rsidRDefault="00110FE6">
      <w:pPr>
        <w:pStyle w:val="FirstParagraph"/>
      </w:pPr>
      <w:r>
        <w:rPr>
          <w:b/>
          <w:bCs/>
        </w:rPr>
        <w:t>Domaine</w:t>
      </w:r>
    </w:p>
    <w:p w14:paraId="5F183B57" w14:textId="77777777" w:rsidR="0084489F" w:rsidRDefault="00110FE6">
      <w:pPr>
        <w:pStyle w:val="BodyText"/>
      </w:pPr>
      <w:r>
        <w:rPr>
          <w:rStyle w:val="VerbatimChar"/>
        </w:rPr>
        <w:t>E7_Activité</w:t>
      </w:r>
    </w:p>
    <w:p w14:paraId="3FA97450" w14:textId="77777777" w:rsidR="0084489F" w:rsidRDefault="00110FE6">
      <w:pPr>
        <w:pStyle w:val="BodyText"/>
      </w:pPr>
      <w:r>
        <w:rPr>
          <w:b/>
          <w:bCs/>
        </w:rPr>
        <w:t>Portée</w:t>
      </w:r>
    </w:p>
    <w:p w14:paraId="62DFF6A1" w14:textId="77777777" w:rsidR="0084489F" w:rsidRDefault="00110FE6">
      <w:pPr>
        <w:pStyle w:val="BodyText"/>
      </w:pPr>
      <w:r>
        <w:rPr>
          <w:rStyle w:val="VerbatimChar"/>
        </w:rPr>
        <w:t>E5_Évènement</w:t>
      </w:r>
    </w:p>
    <w:p w14:paraId="450568F6" w14:textId="77777777" w:rsidR="0084489F" w:rsidRDefault="00110FE6">
      <w:pPr>
        <w:pStyle w:val="BodyText"/>
      </w:pPr>
      <w:r>
        <w:rPr>
          <w:b/>
          <w:bCs/>
        </w:rPr>
        <w:t>Sous-propriété de</w:t>
      </w:r>
    </w:p>
    <w:p w14:paraId="7B988379" w14:textId="77777777" w:rsidR="0084489F" w:rsidRDefault="00110FE6">
      <w:pPr>
        <w:pStyle w:val="BodyText"/>
      </w:pPr>
      <w:r>
        <w:rPr>
          <w:b/>
          <w:bCs/>
        </w:rPr>
        <w:t>Super-propriété de</w:t>
      </w:r>
    </w:p>
    <w:p w14:paraId="24F8BE8E" w14:textId="77777777" w:rsidR="0084489F" w:rsidRDefault="00110FE6">
      <w:pPr>
        <w:pStyle w:val="BodyText"/>
      </w:pPr>
      <w:r>
        <w:rPr>
          <w:b/>
          <w:bCs/>
        </w:rPr>
        <w:t>Quantification</w:t>
      </w:r>
    </w:p>
    <w:p w14:paraId="75B32254" w14:textId="77777777" w:rsidR="0084489F" w:rsidRDefault="00110FE6">
      <w:pPr>
        <w:pStyle w:val="BodyText"/>
      </w:pPr>
      <w:r w:rsidRPr="1B9E7434">
        <w:rPr>
          <w:lang w:val="fr-FR"/>
        </w:rPr>
        <w:t>plusieurs à plusieurs (0,n:0,n)</w:t>
      </w:r>
    </w:p>
    <w:p w14:paraId="7438DB10" w14:textId="77777777" w:rsidR="0084489F" w:rsidRDefault="00110FE6">
      <w:pPr>
        <w:pStyle w:val="BodyText"/>
      </w:pPr>
      <w:r>
        <w:rPr>
          <w:b/>
          <w:bCs/>
        </w:rPr>
        <w:t>Note d’application</w:t>
      </w:r>
    </w:p>
    <w:p w14:paraId="4438DA0A" w14:textId="77777777" w:rsidR="0084489F" w:rsidRDefault="00110FE6">
      <w:pPr>
        <w:pStyle w:val="BodyText"/>
      </w:pPr>
      <w:r>
        <w:t xml:space="preserve">Cette propriété décrit la relation entre une activité préparatoire (instance de </w:t>
      </w:r>
      <w:r>
        <w:rPr>
          <w:rStyle w:val="VerbatimChar"/>
        </w:rPr>
        <w:t>E7_Activité</w:t>
      </w:r>
      <w:r>
        <w:t xml:space="preserve">) et l’instance de </w:t>
      </w:r>
      <w:r>
        <w:rPr>
          <w:rStyle w:val="VerbatimChar"/>
        </w:rPr>
        <w:t>E5_Évènement</w:t>
      </w:r>
      <w:r>
        <w:t xml:space="preserve"> à laquelle elle se rattache.</w:t>
      </w:r>
    </w:p>
    <w:p w14:paraId="54119AC2" w14:textId="77777777" w:rsidR="0084489F" w:rsidRDefault="00110FE6">
      <w:pPr>
        <w:pStyle w:val="BodyText"/>
      </w:pPr>
      <w:r>
        <w:t>Cela comprend les activités, les directives et autres actions organisationnelles menées en préparation d'autres activités ou évènements.</w:t>
      </w:r>
    </w:p>
    <w:p w14:paraId="426AD83F" w14:textId="77777777" w:rsidR="0084489F" w:rsidRDefault="00110FE6">
      <w:pPr>
        <w:pStyle w:val="BodyText"/>
      </w:pPr>
      <w:r w:rsidRPr="1B9E7434">
        <w:rPr>
          <w:rStyle w:val="VerbatimChar"/>
          <w:lang w:val="fr-FR"/>
        </w:rPr>
        <w:t>P20_a_eu_pour_finalité_spécifique (a_été_la_finalité_de)</w:t>
      </w:r>
      <w:r w:rsidRPr="1B9E7434">
        <w:rPr>
          <w:lang w:val="fr-FR"/>
        </w:rPr>
        <w:t xml:space="preserve"> implique que l’objectif d’une activité a été atteint. Si cet objectif n’a pas été atteint, comme lorsque la pose d'un piège n'a pas permis d’attraper quoi que ce soit, l'intention qui n’a pas été réalisée devrait être documentée en utilisant </w:t>
      </w:r>
      <w:r w:rsidRPr="1B9E7434">
        <w:rPr>
          <w:rStyle w:val="VerbatimChar"/>
          <w:lang w:val="fr-FR"/>
        </w:rPr>
        <w:t>P21_a_eu_pour_finalité_générale (a_été_la_finalité_de)</w:t>
      </w:r>
      <w:r w:rsidRPr="1B9E7434">
        <w:rPr>
          <w:lang w:val="fr-FR"/>
        </w:rPr>
        <w:t xml:space="preserve"> : </w:t>
      </w:r>
      <w:r w:rsidRPr="1B9E7434">
        <w:rPr>
          <w:rStyle w:val="VerbatimChar"/>
          <w:lang w:val="fr-FR"/>
        </w:rPr>
        <w:t>E55_Type</w:t>
      </w:r>
      <w:r w:rsidRPr="1B9E7434">
        <w:rPr>
          <w:lang w:val="fr-FR"/>
        </w:rPr>
        <w:t xml:space="preserve"> et/ou </w:t>
      </w:r>
      <w:r w:rsidRPr="1B9E7434">
        <w:rPr>
          <w:rStyle w:val="VerbatimChar"/>
          <w:lang w:val="fr-FR"/>
        </w:rPr>
        <w:t>P33_a_mobilisé_comme_technique_spécifique (a_été_la_technique_spécifique_mise_en_œuvre_dans)</w:t>
      </w:r>
      <w:r w:rsidRPr="1B9E7434">
        <w:rPr>
          <w:lang w:val="fr-FR"/>
        </w:rPr>
        <w:t xml:space="preserve"> : </w:t>
      </w:r>
      <w:r w:rsidRPr="1B9E7434">
        <w:rPr>
          <w:rStyle w:val="VerbatimChar"/>
          <w:lang w:val="fr-FR"/>
        </w:rPr>
        <w:t>E29_Conceptualisation_ou_procédure</w:t>
      </w:r>
      <w:r w:rsidRPr="1B9E7434">
        <w:rPr>
          <w:lang w:val="fr-FR"/>
        </w:rPr>
        <w:t>.</w:t>
      </w:r>
    </w:p>
    <w:p w14:paraId="17F6C593" w14:textId="77777777" w:rsidR="0084489F" w:rsidRDefault="00110FE6">
      <w:pPr>
        <w:pStyle w:val="BodyText"/>
      </w:pPr>
      <w:r>
        <w:rPr>
          <w:b/>
          <w:bCs/>
        </w:rPr>
        <w:t>Exemples</w:t>
      </w:r>
    </w:p>
    <w:p w14:paraId="71066653" w14:textId="4DFBEAE4" w:rsidR="0084489F" w:rsidRDefault="00110FE6" w:rsidP="00806324">
      <w:pPr>
        <w:numPr>
          <w:ilvl w:val="0"/>
          <w:numId w:val="156"/>
        </w:numPr>
      </w:pPr>
      <w:r w:rsidRPr="1B9E7434">
        <w:rPr>
          <w:lang w:val="fr-FR"/>
        </w:rPr>
        <w:t>Le broyage des pigments par Van Eyck en 1432 (</w:t>
      </w:r>
      <w:r w:rsidRPr="1B9E7434">
        <w:rPr>
          <w:rStyle w:val="VerbatimChar"/>
          <w:lang w:val="fr-FR"/>
        </w:rPr>
        <w:t>E7_Activité</w:t>
      </w:r>
      <w:r w:rsidRPr="1B9E7434">
        <w:rPr>
          <w:lang w:val="fr-FR"/>
        </w:rPr>
        <w:t>) a eu pour finalité spécifique (</w:t>
      </w:r>
      <w:r w:rsidRPr="1B9E7434">
        <w:rPr>
          <w:rStyle w:val="VerbatimChar"/>
          <w:lang w:val="fr-FR"/>
        </w:rPr>
        <w:t>P20_a_eu_pour_finalité_spécifique</w:t>
      </w:r>
      <w:r w:rsidRPr="1B9E7434">
        <w:rPr>
          <w:lang w:val="fr-FR"/>
        </w:rPr>
        <w:t>) la peinture du retable de Gand (Het Lam Gods</w:t>
      </w:r>
      <w:r w:rsidRPr="1B9E7434">
        <w:rPr>
          <w:b/>
          <w:bCs/>
          <w:lang w:val="fr-FR"/>
        </w:rPr>
        <w:t>)</w:t>
      </w:r>
      <w:r w:rsidRPr="1B9E7434">
        <w:rPr>
          <w:lang w:val="fr-FR"/>
        </w:rPr>
        <w:t xml:space="preserve"> (</w:t>
      </w:r>
      <w:r w:rsidRPr="1B9E7434">
        <w:rPr>
          <w:rStyle w:val="VerbatimChar"/>
          <w:lang w:val="fr-FR"/>
        </w:rPr>
        <w:t>E12_Production</w:t>
      </w:r>
      <w:r w:rsidRPr="1B9E7434">
        <w:rPr>
          <w:lang w:val="fr-FR"/>
        </w:rPr>
        <w:t>) (Borchert, 2008)</w:t>
      </w:r>
    </w:p>
    <w:p w14:paraId="1D907AC3" w14:textId="77777777" w:rsidR="0084489F" w:rsidRDefault="00110FE6">
      <w:pPr>
        <w:pStyle w:val="FirstParagraph"/>
      </w:pPr>
      <w:r>
        <w:rPr>
          <w:b/>
          <w:bCs/>
        </w:rPr>
        <w:t>Logique</w:t>
      </w:r>
    </w:p>
    <w:p w14:paraId="4AC24103" w14:textId="77777777" w:rsidR="0084489F" w:rsidRDefault="00110FE6">
      <w:pPr>
        <w:pStyle w:val="BodyText"/>
      </w:pPr>
      <w:r w:rsidRPr="1B9E7434">
        <w:rPr>
          <w:lang w:val="fr-FR"/>
        </w:rPr>
        <w:t>P20(x,y) ⇒ E7(x)</w:t>
      </w:r>
    </w:p>
    <w:p w14:paraId="1944F672" w14:textId="77777777" w:rsidR="0084489F" w:rsidRDefault="00110FE6">
      <w:pPr>
        <w:pStyle w:val="BodyText"/>
      </w:pPr>
      <w:r w:rsidRPr="1B9E7434">
        <w:rPr>
          <w:lang w:val="fr-FR"/>
        </w:rPr>
        <w:t>P20(x,y) ⇒ E5(y)</w:t>
      </w:r>
    </w:p>
    <w:p w14:paraId="05AF2B8A" w14:textId="77777777" w:rsidR="0084489F" w:rsidRDefault="00110FE6">
      <w:pPr>
        <w:pStyle w:val="BodyText"/>
      </w:pPr>
      <w:r>
        <w:rPr>
          <w:b/>
          <w:bCs/>
        </w:rPr>
        <w:t>Propriétés</w:t>
      </w:r>
    </w:p>
    <w:p w14:paraId="2C26027C" w14:textId="77777777" w:rsidR="0084489F" w:rsidRDefault="00110FE6">
      <w:pPr>
        <w:pStyle w:val="BlockText"/>
      </w:pPr>
      <w:r>
        <w:rPr>
          <w:b/>
          <w:bCs/>
          <w:i/>
          <w:iCs/>
        </w:rPr>
        <w:t>Note de traduction</w:t>
      </w:r>
    </w:p>
    <w:p w14:paraId="493A0F1C" w14:textId="77777777" w:rsidR="0084489F" w:rsidRDefault="00110FE6">
      <w:pPr>
        <w:pStyle w:val="BlockText"/>
      </w:pPr>
      <w:r w:rsidRPr="1B9E7434">
        <w:rPr>
          <w:lang w:val="fr-FR"/>
        </w:rPr>
        <w:t>Une erreur s’est glissée dans la version anglophone, au premier paragraphe; on devrait lire « [...] an instance of E7 Activity and the instance of E5 Event [...] ».</w:t>
      </w:r>
    </w:p>
    <w:p w14:paraId="53628AA0" w14:textId="77777777" w:rsidR="0084489F" w:rsidRDefault="00110FE6">
      <w:pPr>
        <w:pStyle w:val="BlockText"/>
      </w:pPr>
      <w:r>
        <w:rPr>
          <w:b/>
          <w:bCs/>
          <w:i/>
          <w:iCs/>
        </w:rPr>
        <w:t>Références</w:t>
      </w:r>
    </w:p>
    <w:p w14:paraId="066CF3B8" w14:textId="77777777" w:rsidR="0084489F" w:rsidRDefault="0084489F">
      <w:pPr>
        <w:pStyle w:val="BlockText"/>
      </w:pPr>
    </w:p>
    <w:p w14:paraId="1CCE9A49" w14:textId="77777777" w:rsidR="0084489F" w:rsidRDefault="00110FE6" w:rsidP="00F361B3">
      <w:pPr>
        <w:pStyle w:val="Heading2"/>
      </w:pPr>
      <w:bookmarkStart w:id="310" w:name="_Toc176864535"/>
      <w:bookmarkStart w:id="311" w:name="X2b15468d4b2ccdbd504fdf5df90cd310f9f576b"/>
      <w:bookmarkEnd w:id="309"/>
      <w:r>
        <w:lastRenderedPageBreak/>
        <w:t>P21 a eu pour finalité générale (a été la finalité de)</w:t>
      </w:r>
      <w:bookmarkEnd w:id="310"/>
    </w:p>
    <w:p w14:paraId="3D019E17" w14:textId="77777777" w:rsidR="0084489F" w:rsidRDefault="00110FE6" w:rsidP="00F361B3">
      <w:pPr>
        <w:pStyle w:val="FirstParagraph"/>
        <w:keepNext/>
        <w:keepLines/>
      </w:pPr>
      <w:r>
        <w:rPr>
          <w:b/>
          <w:bCs/>
        </w:rPr>
        <w:t>Domaine</w:t>
      </w:r>
    </w:p>
    <w:p w14:paraId="021A9B58" w14:textId="77777777" w:rsidR="0084489F" w:rsidRDefault="00110FE6" w:rsidP="00F361B3">
      <w:pPr>
        <w:pStyle w:val="BodyText"/>
        <w:keepNext/>
        <w:keepLines/>
      </w:pPr>
      <w:r>
        <w:rPr>
          <w:rStyle w:val="VerbatimChar"/>
        </w:rPr>
        <w:t>E7_Activité</w:t>
      </w:r>
    </w:p>
    <w:p w14:paraId="51C64148" w14:textId="77777777" w:rsidR="0084489F" w:rsidRDefault="00110FE6">
      <w:pPr>
        <w:pStyle w:val="BodyText"/>
      </w:pPr>
      <w:r>
        <w:rPr>
          <w:b/>
          <w:bCs/>
        </w:rPr>
        <w:t>Portée</w:t>
      </w:r>
    </w:p>
    <w:p w14:paraId="3DC3377B" w14:textId="77777777" w:rsidR="0084489F" w:rsidRDefault="00110FE6">
      <w:pPr>
        <w:pStyle w:val="BodyText"/>
      </w:pPr>
      <w:r>
        <w:rPr>
          <w:rStyle w:val="VerbatimChar"/>
        </w:rPr>
        <w:t>E55_Type</w:t>
      </w:r>
    </w:p>
    <w:p w14:paraId="05344FBD" w14:textId="77777777" w:rsidR="0084489F" w:rsidRDefault="00110FE6">
      <w:pPr>
        <w:pStyle w:val="BodyText"/>
      </w:pPr>
      <w:r>
        <w:rPr>
          <w:b/>
          <w:bCs/>
        </w:rPr>
        <w:t>Sous-propriété de</w:t>
      </w:r>
    </w:p>
    <w:p w14:paraId="42E3C846" w14:textId="77777777" w:rsidR="0084489F" w:rsidRDefault="00110FE6">
      <w:pPr>
        <w:pStyle w:val="BodyText"/>
      </w:pPr>
      <w:r>
        <w:rPr>
          <w:b/>
          <w:bCs/>
        </w:rPr>
        <w:t>Super-propriété de</w:t>
      </w:r>
    </w:p>
    <w:p w14:paraId="3786EB44" w14:textId="77777777" w:rsidR="0084489F" w:rsidRDefault="00110FE6">
      <w:pPr>
        <w:pStyle w:val="BodyText"/>
      </w:pPr>
      <w:r>
        <w:rPr>
          <w:b/>
          <w:bCs/>
        </w:rPr>
        <w:t>Quantification</w:t>
      </w:r>
    </w:p>
    <w:p w14:paraId="4DFC4E45" w14:textId="77777777" w:rsidR="0084489F" w:rsidRDefault="00110FE6">
      <w:pPr>
        <w:pStyle w:val="BodyText"/>
      </w:pPr>
      <w:r w:rsidRPr="1B9E7434">
        <w:rPr>
          <w:lang w:val="fr-FR"/>
        </w:rPr>
        <w:t>plusieurs à plusieurs (0,n:0,n)</w:t>
      </w:r>
    </w:p>
    <w:p w14:paraId="63537A3E" w14:textId="77777777" w:rsidR="0084489F" w:rsidRDefault="00110FE6">
      <w:pPr>
        <w:pStyle w:val="BodyText"/>
      </w:pPr>
      <w:r>
        <w:rPr>
          <w:b/>
          <w:bCs/>
        </w:rPr>
        <w:t>Note d’application</w:t>
      </w:r>
    </w:p>
    <w:p w14:paraId="148579D0" w14:textId="77777777" w:rsidR="0084489F" w:rsidRDefault="00110FE6">
      <w:pPr>
        <w:pStyle w:val="BodyText"/>
      </w:pPr>
      <w:r>
        <w:t xml:space="preserve">Cette propriété décrit la relation intentionnelle [n.d.t. qu’établit un actant] entre une instance de </w:t>
      </w:r>
      <w:r>
        <w:rPr>
          <w:rStyle w:val="VerbatimChar"/>
        </w:rPr>
        <w:t>E7_Activité</w:t>
      </w:r>
      <w:r>
        <w:t xml:space="preserve"> et sa finalité ou son but généraux, décrits par une instance de </w:t>
      </w:r>
      <w:r>
        <w:rPr>
          <w:rStyle w:val="VerbatimChar"/>
        </w:rPr>
        <w:t>E55_Type</w:t>
      </w:r>
      <w:r>
        <w:t>.</w:t>
      </w:r>
    </w:p>
    <w:p w14:paraId="5F9ED982" w14:textId="77777777" w:rsidR="0084489F" w:rsidRDefault="00110FE6">
      <w:pPr>
        <w:pStyle w:val="BodyText"/>
      </w:pPr>
      <w:r w:rsidRPr="1B9E7434">
        <w:rPr>
          <w:lang w:val="fr-FR"/>
        </w:rPr>
        <w:t xml:space="preserve">Cela peut inclure des activités qui ont pour objectif la préparation d’une activité ou d’un évènement quelconque. </w:t>
      </w:r>
      <w:r w:rsidRPr="1B9E7434">
        <w:rPr>
          <w:rStyle w:val="VerbatimChar"/>
          <w:lang w:val="fr-FR"/>
        </w:rPr>
        <w:t>P21_a_eu_pour_finalité_générale (a_été_la_finalité_de)</w:t>
      </w:r>
      <w:r w:rsidRPr="1B9E7434">
        <w:rPr>
          <w:lang w:val="fr-FR"/>
        </w:rPr>
        <w:t xml:space="preserve"> se distingue de </w:t>
      </w:r>
      <w:r w:rsidRPr="1B9E7434">
        <w:rPr>
          <w:rStyle w:val="VerbatimChar"/>
          <w:lang w:val="fr-FR"/>
        </w:rPr>
        <w:t>P20_a_eu_pour_finalité_spécifique (a_été_la_finalité_de)</w:t>
      </w:r>
      <w:r w:rsidRPr="1B9E7434">
        <w:rPr>
          <w:lang w:val="fr-FR"/>
        </w:rPr>
        <w:t xml:space="preserve"> du fait qu'aucun évènement spécifique n'en constitue la finalité.</w:t>
      </w:r>
    </w:p>
    <w:p w14:paraId="6C0B2BDD" w14:textId="77777777" w:rsidR="0084489F" w:rsidRDefault="00110FE6">
      <w:pPr>
        <w:pStyle w:val="BodyText"/>
      </w:pPr>
      <w:r>
        <w:rPr>
          <w:b/>
          <w:bCs/>
        </w:rPr>
        <w:t>Exemples</w:t>
      </w:r>
    </w:p>
    <w:p w14:paraId="039E9CBF" w14:textId="4247FEDB" w:rsidR="0084489F" w:rsidRDefault="00110FE6" w:rsidP="00806324">
      <w:pPr>
        <w:numPr>
          <w:ilvl w:val="0"/>
          <w:numId w:val="157"/>
        </w:numPr>
      </w:pPr>
      <w:r w:rsidRPr="1B9E7434">
        <w:rPr>
          <w:lang w:val="fr-FR"/>
        </w:rPr>
        <w:t>Le broyage de pigments par Van Eyck (</w:t>
      </w:r>
      <w:r w:rsidRPr="1B9E7434">
        <w:rPr>
          <w:rStyle w:val="VerbatimChar"/>
          <w:lang w:val="fr-FR"/>
        </w:rPr>
        <w:t>E7_Activité</w:t>
      </w:r>
      <w:r w:rsidRPr="1B9E7434">
        <w:rPr>
          <w:lang w:val="fr-FR"/>
        </w:rPr>
        <w:t>) a eu pour finalité générale (</w:t>
      </w:r>
      <w:r w:rsidRPr="1B9E7434">
        <w:rPr>
          <w:rStyle w:val="VerbatimChar"/>
          <w:lang w:val="fr-FR"/>
        </w:rPr>
        <w:t>P21_a_eu_pour_finalité_générale</w:t>
      </w:r>
      <w:r w:rsidRPr="1B9E7434">
        <w:rPr>
          <w:lang w:val="fr-FR"/>
        </w:rPr>
        <w:t>) le fait de peindre (</w:t>
      </w:r>
      <w:r w:rsidRPr="1B9E7434">
        <w:rPr>
          <w:rStyle w:val="VerbatimChar"/>
          <w:lang w:val="fr-FR"/>
        </w:rPr>
        <w:t>E55_Type</w:t>
      </w:r>
      <w:r w:rsidRPr="1B9E7434">
        <w:rPr>
          <w:lang w:val="fr-FR"/>
        </w:rPr>
        <w:t>) (Brochert, 2008)</w:t>
      </w:r>
    </w:p>
    <w:p w14:paraId="76F00EBF" w14:textId="77777777" w:rsidR="0084489F" w:rsidRDefault="00110FE6" w:rsidP="00806324">
      <w:pPr>
        <w:numPr>
          <w:ilvl w:val="0"/>
          <w:numId w:val="157"/>
        </w:numPr>
      </w:pPr>
      <w:r>
        <w:t>La mise en place de la trappe « 2742 » le 17 mai 1874 (</w:t>
      </w:r>
      <w:r>
        <w:rPr>
          <w:rStyle w:val="VerbatimChar"/>
        </w:rPr>
        <w:t>E7_Activité</w:t>
      </w:r>
      <w:r>
        <w:t>) a eu pour finalité générale (</w:t>
      </w:r>
      <w:r>
        <w:rPr>
          <w:rStyle w:val="VerbatimChar"/>
        </w:rPr>
        <w:t>P21_a_eu_pour_finalité_générale</w:t>
      </w:r>
      <w:r>
        <w:t>) d’attraper un orignal (</w:t>
      </w:r>
      <w:r>
        <w:rPr>
          <w:rStyle w:val="VerbatimChar"/>
        </w:rPr>
        <w:t>E55_Type</w:t>
      </w:r>
      <w:r>
        <w:t>) [type d'activité] (fictif)</w:t>
      </w:r>
    </w:p>
    <w:p w14:paraId="72729A8A" w14:textId="77777777" w:rsidR="0084489F" w:rsidRDefault="00110FE6" w:rsidP="00806324">
      <w:pPr>
        <w:numPr>
          <w:ilvl w:val="0"/>
          <w:numId w:val="157"/>
        </w:numPr>
      </w:pPr>
      <w:r>
        <w:t>La construction du mur de Berlin, commencée le 13 août 1961 (</w:t>
      </w:r>
      <w:r>
        <w:rPr>
          <w:rStyle w:val="VerbatimChar"/>
        </w:rPr>
        <w:t>E12_Production</w:t>
      </w:r>
      <w:r>
        <w:t>), a eu pour finalité générale (</w:t>
      </w:r>
      <w:r>
        <w:rPr>
          <w:rStyle w:val="VerbatimChar"/>
        </w:rPr>
        <w:t>P21_a_eu_pour_finalité_générale</w:t>
      </w:r>
      <w:r>
        <w:t>) d’empêcher l’émigration (</w:t>
      </w:r>
      <w:r>
        <w:rPr>
          <w:rStyle w:val="VerbatimChar"/>
        </w:rPr>
        <w:t>E55_Type</w:t>
      </w:r>
      <w:r>
        <w:t>) (History.com Editors, 2020)</w:t>
      </w:r>
    </w:p>
    <w:p w14:paraId="319F825D" w14:textId="77777777" w:rsidR="0084489F" w:rsidRDefault="00110FE6" w:rsidP="00806324">
      <w:pPr>
        <w:numPr>
          <w:ilvl w:val="0"/>
          <w:numId w:val="157"/>
        </w:numPr>
      </w:pPr>
      <w:r>
        <w:t>Le renforcement de la barrière frontalière entre les États-Unis et le Mexique à l’automne 2019 (</w:t>
      </w:r>
      <w:r>
        <w:rPr>
          <w:rStyle w:val="VerbatimChar"/>
        </w:rPr>
        <w:t>E11_Modification</w:t>
      </w:r>
      <w:r>
        <w:t>) a eu pour finalité générale (</w:t>
      </w:r>
      <w:r>
        <w:rPr>
          <w:rStyle w:val="VerbatimChar"/>
        </w:rPr>
        <w:t>P21_a_eu_pour_finalité_générale</w:t>
      </w:r>
      <w:r>
        <w:t>) de prévenir l’immigration (</w:t>
      </w:r>
      <w:r>
        <w:rPr>
          <w:rStyle w:val="VerbatimChar"/>
        </w:rPr>
        <w:t>E55_Type</w:t>
      </w:r>
      <w:r>
        <w:t>)</w:t>
      </w:r>
    </w:p>
    <w:p w14:paraId="4F5908B8" w14:textId="77777777" w:rsidR="0084489F" w:rsidRDefault="00110FE6" w:rsidP="00806324">
      <w:pPr>
        <w:numPr>
          <w:ilvl w:val="0"/>
          <w:numId w:val="157"/>
        </w:numPr>
      </w:pPr>
      <w:r>
        <w:t>La reconstruction des murs de la ville d'Héraklion par les dirigeants vénitiens en 1492 (</w:t>
      </w:r>
      <w:r>
        <w:rPr>
          <w:rStyle w:val="VerbatimChar"/>
        </w:rPr>
        <w:t>E12_Production</w:t>
      </w:r>
      <w:r>
        <w:t>) a eu pour finalité générale (</w:t>
      </w:r>
      <w:r>
        <w:rPr>
          <w:rStyle w:val="VerbatimChar"/>
        </w:rPr>
        <w:t>P21_a_eu_pour_finalité_générale</w:t>
      </w:r>
      <w:r>
        <w:t>) de prévenir une conquête par des ennemis (</w:t>
      </w:r>
      <w:r>
        <w:rPr>
          <w:rStyle w:val="VerbatimChar"/>
        </w:rPr>
        <w:t>E55_Type</w:t>
      </w:r>
      <w:r>
        <w:t>) (YouIngGreece.com, 2020)</w:t>
      </w:r>
    </w:p>
    <w:p w14:paraId="25B05A01" w14:textId="77777777" w:rsidR="0084489F" w:rsidRDefault="00110FE6" w:rsidP="00806324">
      <w:pPr>
        <w:numPr>
          <w:ilvl w:val="0"/>
          <w:numId w:val="157"/>
        </w:numPr>
      </w:pPr>
      <w:r>
        <w:t>La construction d'une digue à Hamamatsu, dans la préfecture de Shizuoka au Japon, entre 2014 et 2020 (</w:t>
      </w:r>
      <w:r>
        <w:rPr>
          <w:rStyle w:val="VerbatimChar"/>
        </w:rPr>
        <w:t>E12_Production</w:t>
      </w:r>
      <w:r>
        <w:t>) a eu pour finalité générale (</w:t>
      </w:r>
      <w:r>
        <w:rPr>
          <w:rStyle w:val="VerbatimChar"/>
        </w:rPr>
        <w:t>P21_a_eu_pour_finalité_générale</w:t>
      </w:r>
      <w:r>
        <w:t>) de prévenir des inondations à l'intérieur des terres en cas de tsunami (</w:t>
      </w:r>
      <w:r>
        <w:rPr>
          <w:rStyle w:val="VerbatimChar"/>
        </w:rPr>
        <w:t>E55_Type</w:t>
      </w:r>
      <w:r>
        <w:t>)</w:t>
      </w:r>
    </w:p>
    <w:p w14:paraId="7979A610" w14:textId="77777777" w:rsidR="0084489F" w:rsidRDefault="00110FE6">
      <w:pPr>
        <w:pStyle w:val="FirstParagraph"/>
      </w:pPr>
      <w:r>
        <w:rPr>
          <w:b/>
          <w:bCs/>
        </w:rPr>
        <w:t>Logique</w:t>
      </w:r>
    </w:p>
    <w:p w14:paraId="4AE49B83" w14:textId="77777777" w:rsidR="0084489F" w:rsidRDefault="00110FE6">
      <w:pPr>
        <w:pStyle w:val="BodyText"/>
      </w:pPr>
      <w:r w:rsidRPr="1B9E7434">
        <w:rPr>
          <w:lang w:val="fr-FR"/>
        </w:rPr>
        <w:t>P21(x,y) ⇒ E7(x)</w:t>
      </w:r>
    </w:p>
    <w:p w14:paraId="3F2ED96A" w14:textId="77777777" w:rsidR="0084489F" w:rsidRDefault="00110FE6">
      <w:pPr>
        <w:pStyle w:val="BodyText"/>
      </w:pPr>
      <w:r w:rsidRPr="1B9E7434">
        <w:rPr>
          <w:lang w:val="fr-FR"/>
        </w:rPr>
        <w:t>P21(x,y) ⇒ E55(y)</w:t>
      </w:r>
    </w:p>
    <w:p w14:paraId="035795C6" w14:textId="77777777" w:rsidR="0084489F" w:rsidRDefault="00110FE6">
      <w:pPr>
        <w:pStyle w:val="BodyText"/>
      </w:pPr>
      <w:r>
        <w:rPr>
          <w:b/>
          <w:bCs/>
        </w:rPr>
        <w:lastRenderedPageBreak/>
        <w:t>Propriétés</w:t>
      </w:r>
    </w:p>
    <w:p w14:paraId="52196D5F" w14:textId="77777777" w:rsidR="0084489F" w:rsidRDefault="00110FE6">
      <w:pPr>
        <w:pStyle w:val="BlockText"/>
      </w:pPr>
      <w:r>
        <w:rPr>
          <w:b/>
          <w:bCs/>
          <w:i/>
          <w:iCs/>
        </w:rPr>
        <w:t>Note de traduction</w:t>
      </w:r>
    </w:p>
    <w:p w14:paraId="3485C84E" w14:textId="77777777" w:rsidR="0084489F" w:rsidRDefault="00110FE6">
      <w:pPr>
        <w:pStyle w:val="BlockText"/>
      </w:pPr>
      <w:r>
        <w:rPr>
          <w:b/>
          <w:bCs/>
          <w:i/>
          <w:iCs/>
        </w:rPr>
        <w:t>Références</w:t>
      </w:r>
    </w:p>
    <w:p w14:paraId="0B62164E" w14:textId="77777777" w:rsidR="0084489F" w:rsidRDefault="0084489F">
      <w:pPr>
        <w:pStyle w:val="BlockText"/>
      </w:pPr>
    </w:p>
    <w:p w14:paraId="4CFE6A21" w14:textId="77777777" w:rsidR="0084489F" w:rsidRDefault="00110FE6">
      <w:pPr>
        <w:pStyle w:val="Heading2"/>
      </w:pPr>
      <w:bookmarkStart w:id="312" w:name="_Toc176864536"/>
      <w:bookmarkStart w:id="313" w:name="X5cff46df4a85cc9ad269bdfc9f00bd333ddb60a"/>
      <w:bookmarkEnd w:id="311"/>
      <w:r>
        <w:t>P22 a transféré le titre de propriété à (a acquis le titre de propriété par)</w:t>
      </w:r>
      <w:bookmarkEnd w:id="312"/>
    </w:p>
    <w:p w14:paraId="573A4BE1" w14:textId="77777777" w:rsidR="0084489F" w:rsidRDefault="00110FE6">
      <w:pPr>
        <w:pStyle w:val="FirstParagraph"/>
      </w:pPr>
      <w:r>
        <w:rPr>
          <w:b/>
          <w:bCs/>
        </w:rPr>
        <w:t>Domaine</w:t>
      </w:r>
    </w:p>
    <w:p w14:paraId="727DD30C" w14:textId="77777777" w:rsidR="0084489F" w:rsidRDefault="00110FE6">
      <w:pPr>
        <w:pStyle w:val="BodyText"/>
      </w:pPr>
      <w:r>
        <w:rPr>
          <w:rStyle w:val="VerbatimChar"/>
        </w:rPr>
        <w:t>E8_Acquisition</w:t>
      </w:r>
    </w:p>
    <w:p w14:paraId="60166B2B" w14:textId="77777777" w:rsidR="0084489F" w:rsidRDefault="00110FE6">
      <w:pPr>
        <w:pStyle w:val="BodyText"/>
      </w:pPr>
      <w:r>
        <w:rPr>
          <w:b/>
          <w:bCs/>
        </w:rPr>
        <w:t>Portée</w:t>
      </w:r>
    </w:p>
    <w:p w14:paraId="571A3B8B" w14:textId="77777777" w:rsidR="0084489F" w:rsidRDefault="00110FE6">
      <w:pPr>
        <w:pStyle w:val="BodyText"/>
      </w:pPr>
      <w:r>
        <w:rPr>
          <w:rStyle w:val="VerbatimChar"/>
        </w:rPr>
        <w:t>E39_Actant</w:t>
      </w:r>
    </w:p>
    <w:p w14:paraId="246B250E" w14:textId="77777777" w:rsidR="0084489F" w:rsidRDefault="00110FE6">
      <w:pPr>
        <w:pStyle w:val="BodyText"/>
      </w:pPr>
      <w:r>
        <w:rPr>
          <w:b/>
          <w:bCs/>
        </w:rPr>
        <w:t>Sous-propriété de</w:t>
      </w:r>
    </w:p>
    <w:p w14:paraId="3D795098"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P14_a_été_effectué_par (a_effectué)</w:t>
      </w:r>
      <w:r w:rsidRPr="1B9E7434">
        <w:rPr>
          <w:lang w:val="fr-FR"/>
        </w:rPr>
        <w:t xml:space="preserve"> : </w:t>
      </w:r>
      <w:r w:rsidRPr="1B9E7434">
        <w:rPr>
          <w:rStyle w:val="VerbatimChar"/>
          <w:lang w:val="fr-FR"/>
        </w:rPr>
        <w:t>E39_Actant</w:t>
      </w:r>
    </w:p>
    <w:p w14:paraId="7215AE22" w14:textId="77777777" w:rsidR="0084489F" w:rsidRDefault="00110FE6">
      <w:pPr>
        <w:pStyle w:val="BodyText"/>
      </w:pPr>
      <w:r>
        <w:rPr>
          <w:b/>
          <w:bCs/>
        </w:rPr>
        <w:t>Super-propriété de</w:t>
      </w:r>
    </w:p>
    <w:p w14:paraId="44C6432A" w14:textId="77777777" w:rsidR="0084489F" w:rsidRDefault="00110FE6">
      <w:pPr>
        <w:pStyle w:val="BodyText"/>
      </w:pPr>
      <w:r>
        <w:rPr>
          <w:b/>
          <w:bCs/>
        </w:rPr>
        <w:t>Quantification</w:t>
      </w:r>
    </w:p>
    <w:p w14:paraId="050B82FF" w14:textId="77777777" w:rsidR="0084489F" w:rsidRDefault="00110FE6">
      <w:pPr>
        <w:pStyle w:val="BodyText"/>
      </w:pPr>
      <w:r w:rsidRPr="1B9E7434">
        <w:rPr>
          <w:lang w:val="fr-FR"/>
        </w:rPr>
        <w:t>plusieurs à plusieurs (0,n:0,n)</w:t>
      </w:r>
    </w:p>
    <w:p w14:paraId="25AD10DC" w14:textId="77777777" w:rsidR="0084489F" w:rsidRDefault="00110FE6">
      <w:pPr>
        <w:pStyle w:val="BodyText"/>
      </w:pPr>
      <w:r>
        <w:rPr>
          <w:b/>
          <w:bCs/>
        </w:rPr>
        <w:t>Note d’application</w:t>
      </w:r>
    </w:p>
    <w:p w14:paraId="7B6C7F71" w14:textId="77777777" w:rsidR="0084489F" w:rsidRDefault="00110FE6">
      <w:pPr>
        <w:pStyle w:val="BodyText"/>
      </w:pPr>
      <w:r>
        <w:t xml:space="preserve">Cette propriété identifie une instance de </w:t>
      </w:r>
      <w:r>
        <w:rPr>
          <w:rStyle w:val="VerbatimChar"/>
        </w:rPr>
        <w:t>E39_Actant</w:t>
      </w:r>
      <w:r>
        <w:t xml:space="preserve"> qui acquiert le droit de propriété légale d’un objet à l’issue d’une instance de </w:t>
      </w:r>
      <w:r>
        <w:rPr>
          <w:rStyle w:val="VerbatimChar"/>
        </w:rPr>
        <w:t>E8_Acquisition</w:t>
      </w:r>
      <w:r>
        <w:t>.</w:t>
      </w:r>
    </w:p>
    <w:p w14:paraId="0C6202BF" w14:textId="77777777" w:rsidR="0084489F" w:rsidRDefault="00110FE6">
      <w:pPr>
        <w:pStyle w:val="BodyText"/>
      </w:pPr>
      <w:r>
        <w:t>La propriété décrit typiquement un actant achetant ou acquérant un objet auprès d’un autre actant. Cependant, le titre de propriété peut aussi être acquis sans qu’il en résulte une perte correspondante de propriété chez un autre actant, dans le cas d’un prélèvement légal sur le terrain tel que la chasse, le tir ou la pêche.</w:t>
      </w:r>
    </w:p>
    <w:p w14:paraId="2710140F" w14:textId="77777777" w:rsidR="0084489F" w:rsidRDefault="00110FE6">
      <w:pPr>
        <w:pStyle w:val="BodyText"/>
      </w:pPr>
      <w:r>
        <w:t>Concrètement, le titre de propriété est soit transféré d’un actant ou à un actant, soit les deux.</w:t>
      </w:r>
    </w:p>
    <w:p w14:paraId="2EDE3F8B" w14:textId="77777777" w:rsidR="0084489F" w:rsidRDefault="00110FE6">
      <w:pPr>
        <w:pStyle w:val="BodyText"/>
      </w:pPr>
      <w:r>
        <w:rPr>
          <w:b/>
          <w:bCs/>
        </w:rPr>
        <w:t>Exemples</w:t>
      </w:r>
    </w:p>
    <w:p w14:paraId="1F3884E6" w14:textId="1E006276" w:rsidR="0084489F" w:rsidRDefault="00110FE6" w:rsidP="00806324">
      <w:pPr>
        <w:numPr>
          <w:ilvl w:val="0"/>
          <w:numId w:val="158"/>
        </w:numPr>
      </w:pPr>
      <w:r w:rsidRPr="1B9E7434">
        <w:rPr>
          <w:lang w:val="fr-FR"/>
        </w:rPr>
        <w:t>L’acquisition de la collection Amoudruz par le Musée d’ethnographie de Genève (</w:t>
      </w:r>
      <w:r w:rsidRPr="1B9E7434">
        <w:rPr>
          <w:rStyle w:val="VerbatimChar"/>
          <w:lang w:val="fr-FR"/>
        </w:rPr>
        <w:t>E8_Acquisition</w:t>
      </w:r>
      <w:r w:rsidRPr="1B9E7434">
        <w:rPr>
          <w:lang w:val="fr-FR"/>
        </w:rPr>
        <w:t>) a transféré le titre de propriété au (</w:t>
      </w:r>
      <w:r w:rsidRPr="1B9E7434">
        <w:rPr>
          <w:rStyle w:val="VerbatimChar"/>
          <w:lang w:val="fr-FR"/>
        </w:rPr>
        <w:t>P22_a_transféré_le_titre_de_propriété_à</w:t>
      </w:r>
      <w:r w:rsidRPr="1B9E7434">
        <w:rPr>
          <w:lang w:val="fr-FR"/>
        </w:rPr>
        <w:t>) Musée d’ethnographie de Genève (</w:t>
      </w:r>
      <w:r w:rsidRPr="1B9E7434">
        <w:rPr>
          <w:rStyle w:val="VerbatimChar"/>
          <w:lang w:val="fr-FR"/>
        </w:rPr>
        <w:t>E74_Groupe</w:t>
      </w:r>
      <w:r w:rsidRPr="1B9E7434">
        <w:rPr>
          <w:lang w:val="fr-FR"/>
        </w:rPr>
        <w:t>)</w:t>
      </w:r>
    </w:p>
    <w:p w14:paraId="564F3762" w14:textId="77777777" w:rsidR="0084489F" w:rsidRDefault="00110FE6">
      <w:pPr>
        <w:pStyle w:val="FirstParagraph"/>
      </w:pPr>
      <w:r>
        <w:rPr>
          <w:b/>
          <w:bCs/>
        </w:rPr>
        <w:t>Logique</w:t>
      </w:r>
    </w:p>
    <w:p w14:paraId="380C7D8C" w14:textId="77777777" w:rsidR="0084489F" w:rsidRDefault="00110FE6">
      <w:pPr>
        <w:pStyle w:val="BodyText"/>
      </w:pPr>
      <w:r w:rsidRPr="1B9E7434">
        <w:rPr>
          <w:lang w:val="fr-FR"/>
        </w:rPr>
        <w:t>P22(x,y) ⇒ E8(x)</w:t>
      </w:r>
    </w:p>
    <w:p w14:paraId="5239409F" w14:textId="77777777" w:rsidR="0084489F" w:rsidRDefault="00110FE6">
      <w:pPr>
        <w:pStyle w:val="BodyText"/>
      </w:pPr>
      <w:r w:rsidRPr="1B9E7434">
        <w:rPr>
          <w:lang w:val="fr-FR"/>
        </w:rPr>
        <w:t>P22(x,y) ⇒ E39(y)</w:t>
      </w:r>
    </w:p>
    <w:p w14:paraId="7970E8A7" w14:textId="77777777" w:rsidR="0084489F" w:rsidRDefault="00110FE6">
      <w:pPr>
        <w:pStyle w:val="BodyText"/>
      </w:pPr>
      <w:r w:rsidRPr="1B9E7434">
        <w:rPr>
          <w:lang w:val="fr-FR"/>
        </w:rPr>
        <w:t>P22(x,y) ⇒ P14(x,y)</w:t>
      </w:r>
    </w:p>
    <w:p w14:paraId="7B9A4726" w14:textId="77777777" w:rsidR="0084489F" w:rsidRDefault="00110FE6">
      <w:pPr>
        <w:pStyle w:val="BodyText"/>
      </w:pPr>
      <w:r>
        <w:rPr>
          <w:b/>
          <w:bCs/>
        </w:rPr>
        <w:t>Propriétés</w:t>
      </w:r>
    </w:p>
    <w:p w14:paraId="68A88001" w14:textId="77777777" w:rsidR="0084489F" w:rsidRDefault="00110FE6">
      <w:pPr>
        <w:pStyle w:val="BlockText"/>
      </w:pPr>
      <w:r>
        <w:rPr>
          <w:b/>
          <w:bCs/>
          <w:i/>
          <w:iCs/>
        </w:rPr>
        <w:t>Note de traduction</w:t>
      </w:r>
    </w:p>
    <w:p w14:paraId="2343824D" w14:textId="77777777" w:rsidR="0084489F" w:rsidRDefault="00110FE6">
      <w:pPr>
        <w:pStyle w:val="BlockText"/>
      </w:pPr>
      <w:r>
        <w:rPr>
          <w:b/>
          <w:bCs/>
          <w:i/>
          <w:iCs/>
        </w:rPr>
        <w:t>Références</w:t>
      </w:r>
    </w:p>
    <w:p w14:paraId="6FEA98F0" w14:textId="77777777" w:rsidR="0084489F" w:rsidRDefault="00110FE6">
      <w:pPr>
        <w:pStyle w:val="BlockText"/>
      </w:pPr>
      <w:r>
        <w:t xml:space="preserve">Wikipédia. </w:t>
      </w:r>
      <w:r w:rsidRPr="008C0D99">
        <w:rPr>
          <w:lang w:val="en-CA"/>
        </w:rPr>
        <w:t xml:space="preserve">« Georges Amoudruz ». Dans </w:t>
      </w:r>
      <w:r w:rsidRPr="008C0D99">
        <w:rPr>
          <w:i/>
          <w:iCs/>
          <w:lang w:val="en-CA"/>
        </w:rPr>
        <w:t>Wikipédia</w:t>
      </w:r>
      <w:r w:rsidRPr="008C0D99">
        <w:rPr>
          <w:lang w:val="en-CA"/>
        </w:rPr>
        <w:t>. San Francisco, US-CA: Wikipédia, 10 mars 2023.</w:t>
      </w:r>
      <w:hyperlink r:id="rId244">
        <w:r w:rsidRPr="008C0D99">
          <w:rPr>
            <w:rStyle w:val="Hyperlink"/>
            <w:lang w:val="en-CA"/>
          </w:rPr>
          <w:t xml:space="preserve"> </w:t>
        </w:r>
      </w:hyperlink>
      <w:hyperlink r:id="rId245">
        <w:r>
          <w:rPr>
            <w:rStyle w:val="Hyperlink"/>
          </w:rPr>
          <w:t>https://fr.wikipedia.org/w/index.php?title=Georges_Amoudruz&amp;oldid=202151566</w:t>
        </w:r>
      </w:hyperlink>
      <w:r>
        <w:t>.</w:t>
      </w:r>
    </w:p>
    <w:p w14:paraId="15FA2EA5" w14:textId="77777777" w:rsidR="0084489F" w:rsidRDefault="00110FE6">
      <w:pPr>
        <w:pStyle w:val="Heading2"/>
      </w:pPr>
      <w:bookmarkStart w:id="314" w:name="_Toc176864537"/>
      <w:bookmarkStart w:id="315" w:name="Xf499d02bf2048d0c64b9701cb5b1e162701fa19"/>
      <w:bookmarkEnd w:id="313"/>
      <w:r>
        <w:lastRenderedPageBreak/>
        <w:t>P23 a transféré le titre de propriété de (a cédé le titre de propriété à)</w:t>
      </w:r>
      <w:bookmarkEnd w:id="314"/>
    </w:p>
    <w:p w14:paraId="39DC225E" w14:textId="77777777" w:rsidR="0084489F" w:rsidRDefault="00110FE6">
      <w:pPr>
        <w:pStyle w:val="FirstParagraph"/>
      </w:pPr>
      <w:r>
        <w:rPr>
          <w:b/>
          <w:bCs/>
        </w:rPr>
        <w:t>Domaine</w:t>
      </w:r>
    </w:p>
    <w:p w14:paraId="4D1F535A" w14:textId="77777777" w:rsidR="0084489F" w:rsidRDefault="00110FE6">
      <w:pPr>
        <w:pStyle w:val="BodyText"/>
      </w:pPr>
      <w:r>
        <w:rPr>
          <w:rStyle w:val="VerbatimChar"/>
        </w:rPr>
        <w:t>E8_Acquisition</w:t>
      </w:r>
    </w:p>
    <w:p w14:paraId="45CD906B" w14:textId="77777777" w:rsidR="0084489F" w:rsidRDefault="00110FE6">
      <w:pPr>
        <w:pStyle w:val="BodyText"/>
      </w:pPr>
      <w:r>
        <w:rPr>
          <w:b/>
          <w:bCs/>
        </w:rPr>
        <w:t>Portée</w:t>
      </w:r>
    </w:p>
    <w:p w14:paraId="7A2A21D9" w14:textId="77777777" w:rsidR="0084489F" w:rsidRDefault="00110FE6">
      <w:pPr>
        <w:pStyle w:val="BodyText"/>
      </w:pPr>
      <w:r>
        <w:rPr>
          <w:rStyle w:val="VerbatimChar"/>
        </w:rPr>
        <w:t>E39_Actant</w:t>
      </w:r>
    </w:p>
    <w:p w14:paraId="3D617EE3" w14:textId="77777777" w:rsidR="0084489F" w:rsidRDefault="00110FE6">
      <w:pPr>
        <w:pStyle w:val="BodyText"/>
      </w:pPr>
      <w:r>
        <w:rPr>
          <w:b/>
          <w:bCs/>
        </w:rPr>
        <w:t>Sous-propriété de</w:t>
      </w:r>
    </w:p>
    <w:p w14:paraId="604DAA72"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P14_a_été_effectué_par (a_effectué)</w:t>
      </w:r>
      <w:r w:rsidRPr="1B9E7434">
        <w:rPr>
          <w:lang w:val="fr-FR"/>
        </w:rPr>
        <w:t xml:space="preserve"> : </w:t>
      </w:r>
      <w:r w:rsidRPr="1B9E7434">
        <w:rPr>
          <w:rStyle w:val="VerbatimChar"/>
          <w:lang w:val="fr-FR"/>
        </w:rPr>
        <w:t>E39_Actant</w:t>
      </w:r>
    </w:p>
    <w:p w14:paraId="1E90CB68" w14:textId="77777777" w:rsidR="0084489F" w:rsidRDefault="00110FE6">
      <w:pPr>
        <w:pStyle w:val="BodyText"/>
      </w:pPr>
      <w:r>
        <w:rPr>
          <w:b/>
          <w:bCs/>
        </w:rPr>
        <w:t>Super-propriété de</w:t>
      </w:r>
    </w:p>
    <w:p w14:paraId="33D80F27" w14:textId="77777777" w:rsidR="0084489F" w:rsidRDefault="00110FE6">
      <w:pPr>
        <w:pStyle w:val="BodyText"/>
      </w:pPr>
      <w:r>
        <w:rPr>
          <w:b/>
          <w:bCs/>
        </w:rPr>
        <w:t>Quantification</w:t>
      </w:r>
    </w:p>
    <w:p w14:paraId="02CA11C1" w14:textId="77777777" w:rsidR="0084489F" w:rsidRDefault="00110FE6">
      <w:pPr>
        <w:pStyle w:val="BodyText"/>
      </w:pPr>
      <w:r w:rsidRPr="1B9E7434">
        <w:rPr>
          <w:lang w:val="fr-FR"/>
        </w:rPr>
        <w:t>plusieurs à plusieurs (0,n:0,n)</w:t>
      </w:r>
    </w:p>
    <w:p w14:paraId="1D17D0A3" w14:textId="77777777" w:rsidR="0084489F" w:rsidRDefault="00110FE6">
      <w:pPr>
        <w:pStyle w:val="BodyText"/>
      </w:pPr>
      <w:r>
        <w:rPr>
          <w:b/>
          <w:bCs/>
        </w:rPr>
        <w:t>Note d’application</w:t>
      </w:r>
    </w:p>
    <w:p w14:paraId="35ABC78C" w14:textId="77777777" w:rsidR="0084489F" w:rsidRDefault="00110FE6">
      <w:pPr>
        <w:pStyle w:val="BodyText"/>
      </w:pPr>
      <w:r>
        <w:t xml:space="preserve">Cette propriété identifie la ou les instances de </w:t>
      </w:r>
      <w:r>
        <w:rPr>
          <w:rStyle w:val="VerbatimChar"/>
        </w:rPr>
        <w:t>E39_Actant</w:t>
      </w:r>
      <w:r>
        <w:t xml:space="preserve"> qui cèdent une propriété légale à l’issue d’une instance de </w:t>
      </w:r>
      <w:r>
        <w:rPr>
          <w:rStyle w:val="VerbatimChar"/>
        </w:rPr>
        <w:t>E8_Acquisition</w:t>
      </w:r>
      <w:r>
        <w:t>.</w:t>
      </w:r>
    </w:p>
    <w:p w14:paraId="1A131789" w14:textId="77777777" w:rsidR="0084489F" w:rsidRDefault="00110FE6">
      <w:pPr>
        <w:pStyle w:val="BodyText"/>
      </w:pPr>
      <w:r>
        <w:t>La propriété est utilisée typiquement pour décrire un actant donnant ou vendant un objet à un musée. Concrètement, le titre de propriété est soit transféré à un actant ou d’un actant, soit les deux.</w:t>
      </w:r>
    </w:p>
    <w:p w14:paraId="697A95CB" w14:textId="77777777" w:rsidR="0084489F" w:rsidRDefault="00110FE6">
      <w:pPr>
        <w:pStyle w:val="BodyText"/>
      </w:pPr>
      <w:r>
        <w:rPr>
          <w:b/>
          <w:bCs/>
        </w:rPr>
        <w:t>Exemples</w:t>
      </w:r>
    </w:p>
    <w:p w14:paraId="1ED18156" w14:textId="06176E86" w:rsidR="0084489F" w:rsidRDefault="00110FE6" w:rsidP="00806324">
      <w:pPr>
        <w:numPr>
          <w:ilvl w:val="0"/>
          <w:numId w:val="159"/>
        </w:numPr>
      </w:pPr>
      <w:r w:rsidRPr="1B9E7434">
        <w:rPr>
          <w:lang w:val="fr-FR"/>
        </w:rPr>
        <w:t>L’acquisition de la collection Amoudruz par le Musée d’ethnographie de Genève (</w:t>
      </w:r>
      <w:r w:rsidRPr="1B9E7434">
        <w:rPr>
          <w:rStyle w:val="VerbatimChar"/>
          <w:lang w:val="fr-FR"/>
        </w:rPr>
        <w:t>E8_Acquisition</w:t>
      </w:r>
      <w:r w:rsidRPr="1B9E7434">
        <w:rPr>
          <w:lang w:val="fr-FR"/>
        </w:rPr>
        <w:t>) a transféré le titre de propriété des (</w:t>
      </w:r>
      <w:r w:rsidRPr="1B9E7434">
        <w:rPr>
          <w:rStyle w:val="VerbatimChar"/>
          <w:lang w:val="fr-FR"/>
        </w:rPr>
        <w:t>P23_a_transféré_le_titre_de_propriété_de</w:t>
      </w:r>
      <w:r w:rsidRPr="1B9E7434">
        <w:rPr>
          <w:lang w:val="fr-FR"/>
        </w:rPr>
        <w:t>) héritiers de Georges Amoudruz (</w:t>
      </w:r>
      <w:r w:rsidRPr="1B9E7434">
        <w:rPr>
          <w:rStyle w:val="VerbatimChar"/>
          <w:lang w:val="fr-FR"/>
        </w:rPr>
        <w:t>E74_Groupe</w:t>
      </w:r>
      <w:r w:rsidRPr="1B9E7434">
        <w:rPr>
          <w:lang w:val="fr-FR"/>
        </w:rPr>
        <w:t>).</w:t>
      </w:r>
    </w:p>
    <w:p w14:paraId="665B8BFE" w14:textId="77777777" w:rsidR="0084489F" w:rsidRDefault="00110FE6">
      <w:pPr>
        <w:pStyle w:val="FirstParagraph"/>
      </w:pPr>
      <w:r>
        <w:rPr>
          <w:b/>
          <w:bCs/>
        </w:rPr>
        <w:t>Logique</w:t>
      </w:r>
    </w:p>
    <w:p w14:paraId="6116819D" w14:textId="77777777" w:rsidR="0084489F" w:rsidRDefault="00110FE6">
      <w:pPr>
        <w:pStyle w:val="BodyText"/>
      </w:pPr>
      <w:r w:rsidRPr="1B9E7434">
        <w:rPr>
          <w:lang w:val="fr-FR"/>
        </w:rPr>
        <w:t>P23(x,y) ⇒ E8(x)</w:t>
      </w:r>
    </w:p>
    <w:p w14:paraId="377744EB" w14:textId="77777777" w:rsidR="0084489F" w:rsidRDefault="00110FE6">
      <w:pPr>
        <w:pStyle w:val="BodyText"/>
      </w:pPr>
      <w:r w:rsidRPr="1B9E7434">
        <w:rPr>
          <w:lang w:val="fr-FR"/>
        </w:rPr>
        <w:t>P23(x,y) ⇒ E39(y)</w:t>
      </w:r>
    </w:p>
    <w:p w14:paraId="759BBFE3" w14:textId="77777777" w:rsidR="0084489F" w:rsidRDefault="00110FE6">
      <w:pPr>
        <w:pStyle w:val="BodyText"/>
      </w:pPr>
      <w:r w:rsidRPr="1B9E7434">
        <w:rPr>
          <w:lang w:val="fr-FR"/>
        </w:rPr>
        <w:t>P23(x,y) ⇒ P14(x,y)</w:t>
      </w:r>
    </w:p>
    <w:p w14:paraId="731D6378" w14:textId="77777777" w:rsidR="0084489F" w:rsidRDefault="00110FE6">
      <w:pPr>
        <w:pStyle w:val="BodyText"/>
      </w:pPr>
      <w:r>
        <w:rPr>
          <w:b/>
          <w:bCs/>
        </w:rPr>
        <w:t>Propriétés</w:t>
      </w:r>
    </w:p>
    <w:p w14:paraId="497DE41C" w14:textId="77777777" w:rsidR="0084489F" w:rsidRDefault="00110FE6">
      <w:pPr>
        <w:pStyle w:val="BlockText"/>
      </w:pPr>
      <w:r>
        <w:rPr>
          <w:b/>
          <w:bCs/>
          <w:i/>
          <w:iCs/>
        </w:rPr>
        <w:t>Note de traduction</w:t>
      </w:r>
    </w:p>
    <w:p w14:paraId="7DA4E733" w14:textId="77777777" w:rsidR="0084489F" w:rsidRDefault="00110FE6">
      <w:pPr>
        <w:pStyle w:val="BlockText"/>
      </w:pPr>
      <w:r>
        <w:rPr>
          <w:b/>
          <w:bCs/>
          <w:i/>
          <w:iCs/>
        </w:rPr>
        <w:t>Références</w:t>
      </w:r>
    </w:p>
    <w:p w14:paraId="3A469859" w14:textId="77777777" w:rsidR="0084489F" w:rsidRDefault="0084489F">
      <w:pPr>
        <w:pStyle w:val="BlockText"/>
      </w:pPr>
    </w:p>
    <w:p w14:paraId="414F5BE2" w14:textId="77777777" w:rsidR="0084489F" w:rsidRDefault="00110FE6">
      <w:pPr>
        <w:pStyle w:val="Heading2"/>
      </w:pPr>
      <w:bookmarkStart w:id="316" w:name="_Toc176864538"/>
      <w:bookmarkStart w:id="317" w:name="Xe43b2e0a8dfab646587356ada40c70671988800"/>
      <w:bookmarkEnd w:id="315"/>
      <w:r>
        <w:t>P24 a transféré le titre de propriété de (a changé de propriétaire par)</w:t>
      </w:r>
      <w:bookmarkEnd w:id="316"/>
    </w:p>
    <w:p w14:paraId="1C84C6DE" w14:textId="77777777" w:rsidR="0084489F" w:rsidRDefault="00110FE6">
      <w:pPr>
        <w:pStyle w:val="FirstParagraph"/>
      </w:pPr>
      <w:r>
        <w:rPr>
          <w:b/>
          <w:bCs/>
        </w:rPr>
        <w:t>Domaine</w:t>
      </w:r>
    </w:p>
    <w:p w14:paraId="2CCDFD5A" w14:textId="77777777" w:rsidR="0084489F" w:rsidRDefault="00110FE6">
      <w:pPr>
        <w:pStyle w:val="BodyText"/>
      </w:pPr>
      <w:r>
        <w:rPr>
          <w:rStyle w:val="VerbatimChar"/>
        </w:rPr>
        <w:t>E8_Acquisition</w:t>
      </w:r>
    </w:p>
    <w:p w14:paraId="757D4334" w14:textId="77777777" w:rsidR="0084489F" w:rsidRDefault="00110FE6">
      <w:pPr>
        <w:pStyle w:val="BodyText"/>
      </w:pPr>
      <w:r>
        <w:rPr>
          <w:b/>
          <w:bCs/>
        </w:rPr>
        <w:t>Portée</w:t>
      </w:r>
    </w:p>
    <w:p w14:paraId="6188161A" w14:textId="77777777" w:rsidR="0084489F" w:rsidRDefault="00110FE6">
      <w:pPr>
        <w:pStyle w:val="BodyText"/>
      </w:pPr>
      <w:r>
        <w:rPr>
          <w:rStyle w:val="VerbatimChar"/>
        </w:rPr>
        <w:t>E18_Chose_matérielle</w:t>
      </w:r>
    </w:p>
    <w:p w14:paraId="3CC4D928" w14:textId="77777777" w:rsidR="0084489F" w:rsidRDefault="00110FE6">
      <w:pPr>
        <w:pStyle w:val="BodyText"/>
      </w:pPr>
      <w:r>
        <w:rPr>
          <w:b/>
          <w:bCs/>
        </w:rPr>
        <w:t>Sous-propriété de</w:t>
      </w:r>
    </w:p>
    <w:p w14:paraId="66CBBB15" w14:textId="77777777" w:rsidR="0084489F" w:rsidRDefault="00110FE6">
      <w:pPr>
        <w:pStyle w:val="BodyText"/>
      </w:pPr>
      <w:r>
        <w:rPr>
          <w:b/>
          <w:bCs/>
        </w:rPr>
        <w:lastRenderedPageBreak/>
        <w:t>Super-propriété de</w:t>
      </w:r>
    </w:p>
    <w:p w14:paraId="30D4EF85" w14:textId="77777777" w:rsidR="0084489F" w:rsidRDefault="00110FE6">
      <w:pPr>
        <w:pStyle w:val="BodyText"/>
      </w:pPr>
      <w:r>
        <w:rPr>
          <w:b/>
          <w:bCs/>
        </w:rPr>
        <w:t>Quantification</w:t>
      </w:r>
    </w:p>
    <w:p w14:paraId="73F58174" w14:textId="77777777" w:rsidR="0084489F" w:rsidRDefault="00110FE6">
      <w:pPr>
        <w:pStyle w:val="BodyText"/>
      </w:pPr>
      <w:r w:rsidRPr="1B9E7434">
        <w:rPr>
          <w:lang w:val="fr-FR"/>
        </w:rPr>
        <w:t>plusieurs à plusieurs, nécessaire (1,n:0,n)</w:t>
      </w:r>
    </w:p>
    <w:p w14:paraId="2C742B90" w14:textId="77777777" w:rsidR="0084489F" w:rsidRDefault="00110FE6">
      <w:pPr>
        <w:pStyle w:val="BodyText"/>
      </w:pPr>
      <w:r>
        <w:rPr>
          <w:b/>
          <w:bCs/>
        </w:rPr>
        <w:t>Note d’application</w:t>
      </w:r>
    </w:p>
    <w:p w14:paraId="7FB806DB" w14:textId="77777777" w:rsidR="0084489F" w:rsidRDefault="00110FE6">
      <w:pPr>
        <w:pStyle w:val="BodyText"/>
      </w:pPr>
      <w:r>
        <w:t xml:space="preserve">Cette propriété identifie la ou les instances de </w:t>
      </w:r>
      <w:r>
        <w:rPr>
          <w:rStyle w:val="VerbatimChar"/>
        </w:rPr>
        <w:t>E18_Chose_matérielle</w:t>
      </w:r>
      <w:r>
        <w:t xml:space="preserve"> impliquées dans une instance de </w:t>
      </w:r>
      <w:r>
        <w:rPr>
          <w:rStyle w:val="VerbatimChar"/>
        </w:rPr>
        <w:t>E8_Acquisition</w:t>
      </w:r>
      <w:r>
        <w:t>.</w:t>
      </w:r>
    </w:p>
    <w:p w14:paraId="51EBEDB4" w14:textId="77777777" w:rsidR="0084489F" w:rsidRDefault="00110FE6">
      <w:pPr>
        <w:pStyle w:val="BodyText"/>
      </w:pPr>
      <w:r>
        <w:t>Concrètement, une acquisition doit se rapporter à au moins une chose matérielle transférée.</w:t>
      </w:r>
    </w:p>
    <w:p w14:paraId="630AECD4" w14:textId="77777777" w:rsidR="0084489F" w:rsidRDefault="00110FE6">
      <w:pPr>
        <w:pStyle w:val="BodyText"/>
      </w:pPr>
      <w:r>
        <w:rPr>
          <w:b/>
          <w:bCs/>
        </w:rPr>
        <w:t>Exemples</w:t>
      </w:r>
    </w:p>
    <w:p w14:paraId="352C6412" w14:textId="0C2EC3D9" w:rsidR="0084489F" w:rsidRDefault="00110FE6" w:rsidP="00806324">
      <w:pPr>
        <w:numPr>
          <w:ilvl w:val="0"/>
          <w:numId w:val="160"/>
        </w:numPr>
      </w:pPr>
      <w:r w:rsidRPr="1B9E7434">
        <w:rPr>
          <w:lang w:val="fr-FR"/>
        </w:rPr>
        <w:t>L’acquisition de la collection Amoudruz par le Musée d’ethnographie de Genève (</w:t>
      </w:r>
      <w:r w:rsidRPr="1B9E7434">
        <w:rPr>
          <w:rStyle w:val="VerbatimChar"/>
          <w:lang w:val="fr-FR"/>
        </w:rPr>
        <w:t>E8_Acquisition</w:t>
      </w:r>
      <w:r w:rsidRPr="1B9E7434">
        <w:rPr>
          <w:lang w:val="fr-FR"/>
        </w:rPr>
        <w:t>) a transféré le titre de propriété de (</w:t>
      </w:r>
      <w:r w:rsidRPr="1B9E7434">
        <w:rPr>
          <w:rStyle w:val="VerbatimChar"/>
          <w:lang w:val="fr-FR"/>
        </w:rPr>
        <w:t>P24_a_transféré_le_titre_de_propriété_de</w:t>
      </w:r>
      <w:r w:rsidRPr="1B9E7434">
        <w:rPr>
          <w:lang w:val="fr-FR"/>
        </w:rPr>
        <w:t>) la collection Amoudruz (</w:t>
      </w:r>
      <w:r w:rsidRPr="1B9E7434">
        <w:rPr>
          <w:rStyle w:val="VerbatimChar"/>
          <w:lang w:val="fr-FR"/>
        </w:rPr>
        <w:t>E78_Collection</w:t>
      </w:r>
      <w:r w:rsidRPr="1B9E7434">
        <w:rPr>
          <w:lang w:val="fr-FR"/>
        </w:rPr>
        <w:t>)</w:t>
      </w:r>
    </w:p>
    <w:p w14:paraId="0307E554" w14:textId="77777777" w:rsidR="0084489F" w:rsidRDefault="00110FE6">
      <w:pPr>
        <w:pStyle w:val="FirstParagraph"/>
      </w:pPr>
      <w:r>
        <w:rPr>
          <w:b/>
          <w:bCs/>
        </w:rPr>
        <w:t>Logique</w:t>
      </w:r>
    </w:p>
    <w:p w14:paraId="60F5725F" w14:textId="77777777" w:rsidR="0084489F" w:rsidRDefault="00110FE6">
      <w:pPr>
        <w:pStyle w:val="BodyText"/>
      </w:pPr>
      <w:r w:rsidRPr="1B9E7434">
        <w:rPr>
          <w:lang w:val="fr-FR"/>
        </w:rPr>
        <w:t>P24(x,y) ⇒ E8(x)</w:t>
      </w:r>
    </w:p>
    <w:p w14:paraId="4331A2D2" w14:textId="77777777" w:rsidR="0084489F" w:rsidRDefault="00110FE6">
      <w:pPr>
        <w:pStyle w:val="BodyText"/>
      </w:pPr>
      <w:r w:rsidRPr="1B9E7434">
        <w:rPr>
          <w:lang w:val="fr-FR"/>
        </w:rPr>
        <w:t>P24(x,y) ⇒ E18(y)</w:t>
      </w:r>
    </w:p>
    <w:p w14:paraId="624029E1" w14:textId="77777777" w:rsidR="0084489F" w:rsidRDefault="00110FE6">
      <w:pPr>
        <w:pStyle w:val="BodyText"/>
      </w:pPr>
      <w:r>
        <w:rPr>
          <w:b/>
          <w:bCs/>
        </w:rPr>
        <w:t>Propriétés</w:t>
      </w:r>
    </w:p>
    <w:p w14:paraId="5293838A" w14:textId="77777777" w:rsidR="0084489F" w:rsidRDefault="00110FE6">
      <w:pPr>
        <w:pStyle w:val="BlockText"/>
      </w:pPr>
      <w:r>
        <w:rPr>
          <w:b/>
          <w:bCs/>
          <w:i/>
          <w:iCs/>
        </w:rPr>
        <w:t>Note de traduction</w:t>
      </w:r>
    </w:p>
    <w:p w14:paraId="002A2711" w14:textId="77777777" w:rsidR="0084489F" w:rsidRDefault="00110FE6">
      <w:pPr>
        <w:pStyle w:val="BlockText"/>
      </w:pPr>
      <w:r>
        <w:rPr>
          <w:b/>
          <w:bCs/>
          <w:i/>
          <w:iCs/>
        </w:rPr>
        <w:t>Références</w:t>
      </w:r>
    </w:p>
    <w:p w14:paraId="6C297A29" w14:textId="77777777" w:rsidR="0084489F" w:rsidRDefault="0084489F">
      <w:pPr>
        <w:pStyle w:val="BlockText"/>
      </w:pPr>
    </w:p>
    <w:p w14:paraId="0E405F93" w14:textId="77777777" w:rsidR="0084489F" w:rsidRDefault="00110FE6">
      <w:pPr>
        <w:pStyle w:val="Heading2"/>
      </w:pPr>
      <w:bookmarkStart w:id="318" w:name="_Toc176864539"/>
      <w:bookmarkStart w:id="319" w:name="p25-a-deplace-(a-ete-deplace-par)"/>
      <w:bookmarkEnd w:id="317"/>
      <w:r>
        <w:t>P25 a déplacé (a été déplacé par)</w:t>
      </w:r>
      <w:bookmarkEnd w:id="318"/>
    </w:p>
    <w:p w14:paraId="569F42D3" w14:textId="77777777" w:rsidR="0084489F" w:rsidRDefault="00110FE6">
      <w:pPr>
        <w:pStyle w:val="FirstParagraph"/>
      </w:pPr>
      <w:r>
        <w:rPr>
          <w:b/>
          <w:bCs/>
        </w:rPr>
        <w:t>Domaine</w:t>
      </w:r>
    </w:p>
    <w:p w14:paraId="36D369E0" w14:textId="77777777" w:rsidR="0084489F" w:rsidRDefault="00110FE6">
      <w:pPr>
        <w:pStyle w:val="BodyText"/>
      </w:pPr>
      <w:r>
        <w:rPr>
          <w:rStyle w:val="VerbatimChar"/>
        </w:rPr>
        <w:t>E9_Déplacement</w:t>
      </w:r>
    </w:p>
    <w:p w14:paraId="67918C51" w14:textId="77777777" w:rsidR="0084489F" w:rsidRDefault="00110FE6">
      <w:pPr>
        <w:pStyle w:val="BodyText"/>
      </w:pPr>
      <w:r>
        <w:rPr>
          <w:b/>
          <w:bCs/>
        </w:rPr>
        <w:t>Portée</w:t>
      </w:r>
    </w:p>
    <w:p w14:paraId="55C0E660" w14:textId="77777777" w:rsidR="0084489F" w:rsidRDefault="00110FE6">
      <w:pPr>
        <w:pStyle w:val="BodyText"/>
      </w:pPr>
      <w:r>
        <w:rPr>
          <w:rStyle w:val="VerbatimChar"/>
        </w:rPr>
        <w:t>E19_Objet_matériel</w:t>
      </w:r>
    </w:p>
    <w:p w14:paraId="6452E0BE" w14:textId="77777777" w:rsidR="0084489F" w:rsidRDefault="00110FE6">
      <w:pPr>
        <w:pStyle w:val="BodyText"/>
      </w:pPr>
      <w:r>
        <w:rPr>
          <w:b/>
          <w:bCs/>
        </w:rPr>
        <w:t>Sous-propriété de</w:t>
      </w:r>
    </w:p>
    <w:p w14:paraId="5A84BA21"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P12_a_eu_lieu_en_présence_de (a_été_présent_à)</w:t>
      </w:r>
      <w:r w:rsidRPr="1B9E7434">
        <w:rPr>
          <w:lang w:val="fr-FR"/>
        </w:rPr>
        <w:t xml:space="preserve"> : </w:t>
      </w:r>
      <w:r w:rsidRPr="1B9E7434">
        <w:rPr>
          <w:rStyle w:val="VerbatimChar"/>
          <w:lang w:val="fr-FR"/>
        </w:rPr>
        <w:t>E77_Entité_persistante</w:t>
      </w:r>
    </w:p>
    <w:p w14:paraId="30E56D6A" w14:textId="77777777" w:rsidR="0084489F" w:rsidRDefault="00110FE6">
      <w:pPr>
        <w:pStyle w:val="BodyText"/>
      </w:pPr>
      <w:r>
        <w:rPr>
          <w:b/>
          <w:bCs/>
        </w:rPr>
        <w:t>Super-propriété de</w:t>
      </w:r>
    </w:p>
    <w:p w14:paraId="6CA344C9" w14:textId="77777777" w:rsidR="0084489F" w:rsidRDefault="00110FE6">
      <w:pPr>
        <w:pStyle w:val="BodyText"/>
      </w:pPr>
      <w:r>
        <w:rPr>
          <w:b/>
          <w:bCs/>
        </w:rPr>
        <w:t>Quantification</w:t>
      </w:r>
    </w:p>
    <w:p w14:paraId="4E92C596" w14:textId="77777777" w:rsidR="0084489F" w:rsidRDefault="00110FE6">
      <w:pPr>
        <w:pStyle w:val="BodyText"/>
      </w:pPr>
      <w:r w:rsidRPr="1B9E7434">
        <w:rPr>
          <w:lang w:val="fr-FR"/>
        </w:rPr>
        <w:t>plusieurs à plusieurs, nécessaire (1,n:0,n)</w:t>
      </w:r>
    </w:p>
    <w:p w14:paraId="6FB2DAFD" w14:textId="77777777" w:rsidR="0084489F" w:rsidRDefault="00110FE6">
      <w:pPr>
        <w:pStyle w:val="BodyText"/>
      </w:pPr>
      <w:r>
        <w:rPr>
          <w:b/>
          <w:bCs/>
        </w:rPr>
        <w:t>Note d’application</w:t>
      </w:r>
    </w:p>
    <w:p w14:paraId="3B881166" w14:textId="77777777" w:rsidR="0084489F" w:rsidRDefault="00110FE6">
      <w:pPr>
        <w:pStyle w:val="BodyText"/>
      </w:pPr>
      <w:r>
        <w:t xml:space="preserve">Cette propriété identifie une instance de </w:t>
      </w:r>
      <w:r>
        <w:rPr>
          <w:rStyle w:val="VerbatimChar"/>
        </w:rPr>
        <w:t>E19_Objet_matériel</w:t>
      </w:r>
      <w:r>
        <w:t xml:space="preserve"> qui a été déplacée par une instance de </w:t>
      </w:r>
      <w:r>
        <w:rPr>
          <w:rStyle w:val="VerbatimChar"/>
        </w:rPr>
        <w:t>E9_Déplacement</w:t>
      </w:r>
      <w:r>
        <w:t>. Un déplacement doit concerner au moins un objet.</w:t>
      </w:r>
    </w:p>
    <w:p w14:paraId="6E1048B3" w14:textId="77777777" w:rsidR="0084489F" w:rsidRDefault="00110FE6">
      <w:pPr>
        <w:pStyle w:val="BodyText"/>
      </w:pPr>
      <w:r>
        <w:t xml:space="preserve">La propriété implique la participation passive de l’objet. Par exemple, le tableau de Monet </w:t>
      </w:r>
      <w:r>
        <w:rPr>
          <w:i/>
          <w:iCs/>
        </w:rPr>
        <w:t>Impression, soleil levant</w:t>
      </w:r>
      <w:r>
        <w:t xml:space="preserve"> a été déplacé en vue de la première exposition impressionniste en 1874.</w:t>
      </w:r>
    </w:p>
    <w:p w14:paraId="01C1E248" w14:textId="77777777" w:rsidR="0084489F" w:rsidRDefault="00110FE6">
      <w:pPr>
        <w:pStyle w:val="BodyText"/>
      </w:pPr>
      <w:r>
        <w:rPr>
          <w:b/>
          <w:bCs/>
        </w:rPr>
        <w:lastRenderedPageBreak/>
        <w:t>Exemples</w:t>
      </w:r>
    </w:p>
    <w:p w14:paraId="0612A353" w14:textId="77777777" w:rsidR="0084489F" w:rsidRDefault="00110FE6" w:rsidP="00806324">
      <w:pPr>
        <w:numPr>
          <w:ilvl w:val="0"/>
          <w:numId w:val="161"/>
        </w:numPr>
      </w:pPr>
      <w:r>
        <w:rPr>
          <w:i/>
          <w:iCs/>
        </w:rPr>
        <w:t>Impression, soleil levant</w:t>
      </w:r>
      <w:r>
        <w:t xml:space="preserve"> de Monet (</w:t>
      </w:r>
      <w:r>
        <w:rPr>
          <w:rStyle w:val="VerbatimChar"/>
        </w:rPr>
        <w:t>E22_Objet_élaboré_par_l’humain</w:t>
      </w:r>
      <w:r>
        <w:t>) a été déplacé par (</w:t>
      </w:r>
      <w:r>
        <w:rPr>
          <w:rStyle w:val="VerbatimChar"/>
        </w:rPr>
        <w:t>P25i_a_été_déplacé_par)</w:t>
      </w:r>
      <w:r>
        <w:t xml:space="preserve"> les préparatifs de la première exposition impressionniste (</w:t>
      </w:r>
      <w:r>
        <w:rPr>
          <w:rStyle w:val="VerbatimChar"/>
        </w:rPr>
        <w:t>E9_Déplacement</w:t>
      </w:r>
      <w:r>
        <w:t>)</w:t>
      </w:r>
    </w:p>
    <w:p w14:paraId="14105F5B" w14:textId="77777777" w:rsidR="0084489F" w:rsidRDefault="00110FE6">
      <w:pPr>
        <w:pStyle w:val="FirstParagraph"/>
      </w:pPr>
      <w:r>
        <w:rPr>
          <w:b/>
          <w:bCs/>
        </w:rPr>
        <w:t>Logique</w:t>
      </w:r>
    </w:p>
    <w:p w14:paraId="5326D301" w14:textId="77777777" w:rsidR="0084489F" w:rsidRDefault="00110FE6">
      <w:pPr>
        <w:pStyle w:val="BodyText"/>
      </w:pPr>
      <w:r w:rsidRPr="1B9E7434">
        <w:rPr>
          <w:lang w:val="fr-FR"/>
        </w:rPr>
        <w:t>P25(x,y) ⇒ E9(x)</w:t>
      </w:r>
    </w:p>
    <w:p w14:paraId="1379BDB9" w14:textId="77777777" w:rsidR="0084489F" w:rsidRDefault="00110FE6">
      <w:pPr>
        <w:pStyle w:val="BodyText"/>
      </w:pPr>
      <w:r w:rsidRPr="1B9E7434">
        <w:rPr>
          <w:lang w:val="fr-FR"/>
        </w:rPr>
        <w:t>P25(x,y) ⇒ E19(y)</w:t>
      </w:r>
    </w:p>
    <w:p w14:paraId="407010AA" w14:textId="77777777" w:rsidR="0084489F" w:rsidRDefault="00110FE6">
      <w:pPr>
        <w:pStyle w:val="BodyText"/>
      </w:pPr>
      <w:r w:rsidRPr="1B9E7434">
        <w:rPr>
          <w:lang w:val="fr-FR"/>
        </w:rPr>
        <w:t>P25(x,y) ⇒ P12(x,y)</w:t>
      </w:r>
    </w:p>
    <w:p w14:paraId="263C14EA" w14:textId="77777777" w:rsidR="0084489F" w:rsidRDefault="00110FE6">
      <w:pPr>
        <w:pStyle w:val="BodyText"/>
      </w:pPr>
      <w:r>
        <w:rPr>
          <w:b/>
          <w:bCs/>
        </w:rPr>
        <w:t>Propriétés</w:t>
      </w:r>
    </w:p>
    <w:p w14:paraId="69FB0F99" w14:textId="77777777" w:rsidR="0084489F" w:rsidRDefault="00110FE6">
      <w:pPr>
        <w:pStyle w:val="BlockText"/>
      </w:pPr>
      <w:r>
        <w:rPr>
          <w:b/>
          <w:bCs/>
          <w:i/>
          <w:iCs/>
        </w:rPr>
        <w:t>Note de traduction</w:t>
      </w:r>
    </w:p>
    <w:p w14:paraId="5F92626E" w14:textId="77777777" w:rsidR="0084489F" w:rsidRDefault="00110FE6">
      <w:pPr>
        <w:pStyle w:val="BlockText"/>
      </w:pPr>
      <w:r>
        <w:rPr>
          <w:b/>
          <w:bCs/>
          <w:i/>
          <w:iCs/>
        </w:rPr>
        <w:t>Références</w:t>
      </w:r>
    </w:p>
    <w:p w14:paraId="0DD70DD9" w14:textId="77777777" w:rsidR="0084489F" w:rsidRDefault="0084489F">
      <w:pPr>
        <w:pStyle w:val="BlockText"/>
      </w:pPr>
    </w:p>
    <w:p w14:paraId="0E3B094A" w14:textId="77777777" w:rsidR="0084489F" w:rsidRDefault="00110FE6">
      <w:pPr>
        <w:pStyle w:val="Heading2"/>
      </w:pPr>
      <w:bookmarkStart w:id="320" w:name="_Toc176864540"/>
      <w:bookmarkStart w:id="321" w:name="X39c7193061710ada146f44a9f58cb6a5cbb76db"/>
      <w:bookmarkEnd w:id="319"/>
      <w:r>
        <w:t>P26 a déplacé vers (a été la destination de)</w:t>
      </w:r>
      <w:bookmarkEnd w:id="320"/>
    </w:p>
    <w:p w14:paraId="09E00BFE" w14:textId="77777777" w:rsidR="0084489F" w:rsidRDefault="00110FE6">
      <w:pPr>
        <w:pStyle w:val="FirstParagraph"/>
      </w:pPr>
      <w:r>
        <w:rPr>
          <w:b/>
          <w:bCs/>
        </w:rPr>
        <w:t>Domaine</w:t>
      </w:r>
    </w:p>
    <w:p w14:paraId="7338B3E9" w14:textId="77777777" w:rsidR="0084489F" w:rsidRDefault="00110FE6">
      <w:pPr>
        <w:pStyle w:val="BodyText"/>
      </w:pPr>
      <w:r>
        <w:rPr>
          <w:rStyle w:val="VerbatimChar"/>
        </w:rPr>
        <w:t>E9_Déplacement</w:t>
      </w:r>
    </w:p>
    <w:p w14:paraId="615AEB07" w14:textId="77777777" w:rsidR="0084489F" w:rsidRDefault="00110FE6">
      <w:pPr>
        <w:pStyle w:val="BodyText"/>
      </w:pPr>
      <w:r>
        <w:rPr>
          <w:b/>
          <w:bCs/>
        </w:rPr>
        <w:t>Portée</w:t>
      </w:r>
    </w:p>
    <w:p w14:paraId="77F74F45" w14:textId="77777777" w:rsidR="0084489F" w:rsidRDefault="00110FE6">
      <w:pPr>
        <w:pStyle w:val="BodyText"/>
      </w:pPr>
      <w:r>
        <w:rPr>
          <w:rStyle w:val="VerbatimChar"/>
        </w:rPr>
        <w:t>E53_Lieu</w:t>
      </w:r>
    </w:p>
    <w:p w14:paraId="65A90133" w14:textId="77777777" w:rsidR="0084489F" w:rsidRDefault="00110FE6">
      <w:pPr>
        <w:pStyle w:val="BodyText"/>
      </w:pPr>
      <w:r>
        <w:rPr>
          <w:b/>
          <w:bCs/>
        </w:rPr>
        <w:t>Sous-propriété de</w:t>
      </w:r>
    </w:p>
    <w:p w14:paraId="1F9FFA8A" w14:textId="77777777" w:rsidR="0084489F" w:rsidRDefault="00110FE6">
      <w:pPr>
        <w:pStyle w:val="BodyText"/>
      </w:pPr>
      <w:r>
        <w:rPr>
          <w:b/>
          <w:bCs/>
        </w:rPr>
        <w:t>Super-propriété de</w:t>
      </w:r>
    </w:p>
    <w:p w14:paraId="575B4105" w14:textId="77777777" w:rsidR="0084489F" w:rsidRDefault="00110FE6">
      <w:pPr>
        <w:pStyle w:val="BodyText"/>
      </w:pPr>
      <w:r>
        <w:rPr>
          <w:b/>
          <w:bCs/>
        </w:rPr>
        <w:t>Quantification</w:t>
      </w:r>
    </w:p>
    <w:p w14:paraId="62DA4231" w14:textId="77777777" w:rsidR="0084489F" w:rsidRDefault="00110FE6">
      <w:pPr>
        <w:pStyle w:val="BodyText"/>
      </w:pPr>
      <w:r w:rsidRPr="1B9E7434">
        <w:rPr>
          <w:lang w:val="fr-FR"/>
        </w:rPr>
        <w:t>plusieurs à plusieurs, nécessaire (1,n:0,n)</w:t>
      </w:r>
    </w:p>
    <w:p w14:paraId="6A2A48C9" w14:textId="77777777" w:rsidR="0084489F" w:rsidRDefault="00110FE6">
      <w:pPr>
        <w:pStyle w:val="BodyText"/>
      </w:pPr>
      <w:r>
        <w:rPr>
          <w:b/>
          <w:bCs/>
        </w:rPr>
        <w:t>Note d’application</w:t>
      </w:r>
    </w:p>
    <w:p w14:paraId="733731F0" w14:textId="77777777" w:rsidR="0084489F" w:rsidRDefault="00110FE6">
      <w:pPr>
        <w:pStyle w:val="BodyText"/>
      </w:pPr>
      <w:r>
        <w:t xml:space="preserve">Cette propriété identifie une destination, instance de </w:t>
      </w:r>
      <w:r>
        <w:rPr>
          <w:rStyle w:val="VerbatimChar"/>
        </w:rPr>
        <w:t>E53_Lieu</w:t>
      </w:r>
      <w:r>
        <w:t xml:space="preserve">, d’une instance de </w:t>
      </w:r>
      <w:r>
        <w:rPr>
          <w:rStyle w:val="VerbatimChar"/>
        </w:rPr>
        <w:t>E9_Déplacement</w:t>
      </w:r>
      <w:r>
        <w:t>.</w:t>
      </w:r>
    </w:p>
    <w:p w14:paraId="2783CC1C" w14:textId="77777777" w:rsidR="0084489F" w:rsidRDefault="00110FE6">
      <w:pPr>
        <w:pStyle w:val="BodyText"/>
      </w:pPr>
      <w:r>
        <w:t xml:space="preserve">Un déplacement est lié à une destination, par exemple le déplacement d’un artefact depuis son lieu d’entreposage vers son lieu d’exposition. Un déplacement peut être lié à de nombreuses destinations, instances de </w:t>
      </w:r>
      <w:r>
        <w:rPr>
          <w:rStyle w:val="VerbatimChar"/>
        </w:rPr>
        <w:t>E53_Lieu</w:t>
      </w:r>
      <w:r>
        <w:t>, par de multiples instances de cette propriété. Dans ce cas, le déplacement décrit la distribution d’un ensemble d’objets. L’étendue du déplacement inclut l’origine ou les origines, le trajet et la ou les destinations.</w:t>
      </w:r>
    </w:p>
    <w:p w14:paraId="063A14D5" w14:textId="77777777" w:rsidR="0084489F" w:rsidRDefault="00110FE6">
      <w:pPr>
        <w:pStyle w:val="BodyText"/>
      </w:pPr>
      <w:r>
        <w:t xml:space="preserve">Par conséquent, la destination décrite est une instance de </w:t>
      </w:r>
      <w:r>
        <w:rPr>
          <w:rStyle w:val="VerbatimChar"/>
        </w:rPr>
        <w:t>E53_Lieu</w:t>
      </w:r>
      <w:r>
        <w:t xml:space="preserve"> qui s’insère dans (</w:t>
      </w:r>
      <w:r>
        <w:rPr>
          <w:rStyle w:val="VerbatimChar"/>
        </w:rPr>
        <w:t>P89_s’insère_dans</w:t>
      </w:r>
      <w:r>
        <w:t xml:space="preserve">) l’instance de </w:t>
      </w:r>
      <w:r>
        <w:rPr>
          <w:rStyle w:val="VerbatimChar"/>
        </w:rPr>
        <w:t>E53_Lieu</w:t>
      </w:r>
      <w:r>
        <w:t xml:space="preserve"> dans laquelle le déplacement a eu lieu (</w:t>
      </w:r>
      <w:r>
        <w:rPr>
          <w:rStyle w:val="VerbatimChar"/>
        </w:rPr>
        <w:t>P7_a_eu_lieu_dans</w:t>
      </w:r>
      <w:r>
        <w:t>).</w:t>
      </w:r>
    </w:p>
    <w:p w14:paraId="7D3DEDDE" w14:textId="77777777" w:rsidR="0084489F" w:rsidRDefault="00110FE6">
      <w:pPr>
        <w:pStyle w:val="BodyText"/>
      </w:pPr>
      <w:r>
        <w:rPr>
          <w:b/>
          <w:bCs/>
        </w:rPr>
        <w:t>Exemples</w:t>
      </w:r>
    </w:p>
    <w:p w14:paraId="4BDB4A38" w14:textId="57C6AA52" w:rsidR="0084489F" w:rsidRDefault="00110FE6" w:rsidP="00806324">
      <w:pPr>
        <w:numPr>
          <w:ilvl w:val="0"/>
          <w:numId w:val="162"/>
        </w:numPr>
      </w:pPr>
      <w:r w:rsidRPr="1B9E7434">
        <w:rPr>
          <w:lang w:val="fr-FR"/>
        </w:rPr>
        <w:t>Le déplacement de l’exposition « Toutânkhamon, le trésor du Pharaon » entre le 15 septembre et le 2 novembre 2019 (</w:t>
      </w:r>
      <w:r w:rsidRPr="1B9E7434">
        <w:rPr>
          <w:rStyle w:val="VerbatimChar"/>
          <w:lang w:val="fr-FR"/>
        </w:rPr>
        <w:t>E9_Déplacement</w:t>
      </w:r>
      <w:r w:rsidRPr="1B9E7434">
        <w:rPr>
          <w:lang w:val="fr-FR"/>
        </w:rPr>
        <w:t>) a déplacé vers (</w:t>
      </w:r>
      <w:r w:rsidRPr="1B9E7434">
        <w:rPr>
          <w:rStyle w:val="VerbatimChar"/>
          <w:lang w:val="fr-FR"/>
        </w:rPr>
        <w:t>P26_a_déplacé_vers</w:t>
      </w:r>
      <w:r w:rsidRPr="1B9E7434">
        <w:rPr>
          <w:lang w:val="fr-FR"/>
        </w:rPr>
        <w:t>) la galerie Saatchi à Londres (</w:t>
      </w:r>
      <w:r w:rsidRPr="1B9E7434">
        <w:rPr>
          <w:rStyle w:val="VerbatimChar"/>
          <w:lang w:val="fr-FR"/>
        </w:rPr>
        <w:t>E53_Lieu</w:t>
      </w:r>
      <w:r w:rsidRPr="1B9E7434">
        <w:rPr>
          <w:lang w:val="fr-FR"/>
        </w:rPr>
        <w:t>) les objets concernés.</w:t>
      </w:r>
    </w:p>
    <w:p w14:paraId="36BB27D4" w14:textId="77777777" w:rsidR="0084489F" w:rsidRDefault="00110FE6">
      <w:pPr>
        <w:pStyle w:val="FirstParagraph"/>
      </w:pPr>
      <w:r>
        <w:rPr>
          <w:b/>
          <w:bCs/>
        </w:rPr>
        <w:lastRenderedPageBreak/>
        <w:t>Logique</w:t>
      </w:r>
    </w:p>
    <w:p w14:paraId="44F3AF8E" w14:textId="77777777" w:rsidR="0084489F" w:rsidRDefault="00110FE6">
      <w:pPr>
        <w:pStyle w:val="BodyText"/>
      </w:pPr>
      <w:r w:rsidRPr="1B9E7434">
        <w:rPr>
          <w:lang w:val="fr-FR"/>
        </w:rPr>
        <w:t>P26(x,y) ⇒ E9(x)</w:t>
      </w:r>
    </w:p>
    <w:p w14:paraId="53A2B59F" w14:textId="77777777" w:rsidR="0084489F" w:rsidRDefault="00110FE6">
      <w:pPr>
        <w:pStyle w:val="BodyText"/>
      </w:pPr>
      <w:r w:rsidRPr="1B9E7434">
        <w:rPr>
          <w:lang w:val="fr-FR"/>
        </w:rPr>
        <w:t>P26(x,y) ⇒ E53(y)</w:t>
      </w:r>
    </w:p>
    <w:p w14:paraId="241E8934" w14:textId="77777777" w:rsidR="0084489F" w:rsidRDefault="00110FE6">
      <w:pPr>
        <w:pStyle w:val="BodyText"/>
      </w:pPr>
      <w:r w:rsidRPr="1B9E7434">
        <w:rPr>
          <w:lang w:val="fr-FR"/>
        </w:rPr>
        <w:t>P26(x,y) ⇒ (∃z) [E53(z) ∧ P7(x,z) ∧ P89(y,z)]</w:t>
      </w:r>
    </w:p>
    <w:p w14:paraId="42824DB5" w14:textId="77777777" w:rsidR="0084489F" w:rsidRDefault="00110FE6">
      <w:pPr>
        <w:pStyle w:val="BodyText"/>
      </w:pPr>
      <w:r>
        <w:rPr>
          <w:b/>
          <w:bCs/>
        </w:rPr>
        <w:t>Propriétés</w:t>
      </w:r>
    </w:p>
    <w:p w14:paraId="1BEBECFA" w14:textId="77777777" w:rsidR="0084489F" w:rsidRDefault="00110FE6">
      <w:pPr>
        <w:pStyle w:val="BlockText"/>
      </w:pPr>
      <w:r>
        <w:rPr>
          <w:b/>
          <w:bCs/>
          <w:i/>
          <w:iCs/>
        </w:rPr>
        <w:t>Note de traduction</w:t>
      </w:r>
    </w:p>
    <w:p w14:paraId="44EEEC97" w14:textId="77777777" w:rsidR="0084489F" w:rsidRDefault="00110FE6">
      <w:pPr>
        <w:pStyle w:val="BlockText"/>
      </w:pPr>
      <w:r>
        <w:rPr>
          <w:b/>
          <w:bCs/>
          <w:i/>
          <w:iCs/>
        </w:rPr>
        <w:t>Références</w:t>
      </w:r>
    </w:p>
    <w:p w14:paraId="1CF7386C" w14:textId="77777777" w:rsidR="0084489F" w:rsidRDefault="00110FE6">
      <w:pPr>
        <w:pStyle w:val="BlockText"/>
      </w:pPr>
      <w:r w:rsidRPr="1B9E7434">
        <w:rPr>
          <w:lang w:val="fr-FR"/>
        </w:rPr>
        <w:t xml:space="preserve">Wikipédia. « Expositions des vestiges archéologiques provenant de la tombe de Toutânkhamon ». Dans </w:t>
      </w:r>
      <w:r w:rsidRPr="1B9E7434">
        <w:rPr>
          <w:i/>
          <w:iCs/>
          <w:lang w:val="fr-FR"/>
        </w:rPr>
        <w:t>Wikipédia</w:t>
      </w:r>
      <w:r w:rsidRPr="1B9E7434">
        <w:rPr>
          <w:lang w:val="fr-FR"/>
        </w:rPr>
        <w:t>. San Francisco, US-CA: Wikipédia, 30 janvier 2021.</w:t>
      </w:r>
      <w:hyperlink r:id="rId246">
        <w:r w:rsidRPr="1B9E7434">
          <w:rPr>
            <w:rStyle w:val="Hyperlink"/>
            <w:lang w:val="fr-FR"/>
          </w:rPr>
          <w:t xml:space="preserve"> </w:t>
        </w:r>
      </w:hyperlink>
      <w:hyperlink r:id="rId247">
        <w:r w:rsidRPr="1B9E7434">
          <w:rPr>
            <w:rStyle w:val="Hyperlink"/>
            <w:lang w:val="fr-FR"/>
          </w:rPr>
          <w:t>https://fr.wikipedia.org/w/index.php?title=Expositions_des_vestiges_arch%C3%A9ologiques_provenant_de_la_tombe_de_Tout%C3%A2nkhamon&amp;oldid=179392035</w:t>
        </w:r>
      </w:hyperlink>
      <w:r w:rsidRPr="1B9E7434">
        <w:rPr>
          <w:lang w:val="fr-FR"/>
        </w:rPr>
        <w:t>.</w:t>
      </w:r>
    </w:p>
    <w:p w14:paraId="5F3F9366" w14:textId="77777777" w:rsidR="008D6B6D" w:rsidRPr="008D6B6D" w:rsidRDefault="008D6B6D" w:rsidP="008D6B6D">
      <w:pPr>
        <w:pStyle w:val="BodyText"/>
      </w:pPr>
    </w:p>
    <w:p w14:paraId="533C395C" w14:textId="77777777" w:rsidR="0084489F" w:rsidRDefault="00110FE6">
      <w:pPr>
        <w:pStyle w:val="Heading2"/>
      </w:pPr>
      <w:bookmarkStart w:id="322" w:name="_Toc176864541"/>
      <w:bookmarkStart w:id="323" w:name="X3860eb6f626757cf8f8deddcde920375015932f"/>
      <w:bookmarkEnd w:id="321"/>
      <w:r>
        <w:t>P27 a déplacé depuis (a été le point de départ de)</w:t>
      </w:r>
      <w:bookmarkEnd w:id="322"/>
    </w:p>
    <w:p w14:paraId="48716C1E" w14:textId="77777777" w:rsidR="0084489F" w:rsidRDefault="00110FE6">
      <w:pPr>
        <w:pStyle w:val="FirstParagraph"/>
      </w:pPr>
      <w:r>
        <w:rPr>
          <w:b/>
          <w:bCs/>
        </w:rPr>
        <w:t>Domaine</w:t>
      </w:r>
    </w:p>
    <w:p w14:paraId="424D91BE" w14:textId="77777777" w:rsidR="0084489F" w:rsidRDefault="00110FE6">
      <w:pPr>
        <w:pStyle w:val="BodyText"/>
      </w:pPr>
      <w:r>
        <w:rPr>
          <w:rStyle w:val="VerbatimChar"/>
        </w:rPr>
        <w:t>E9_Déplacement</w:t>
      </w:r>
    </w:p>
    <w:p w14:paraId="34DCED82" w14:textId="77777777" w:rsidR="0084489F" w:rsidRDefault="00110FE6">
      <w:pPr>
        <w:pStyle w:val="BodyText"/>
      </w:pPr>
      <w:r>
        <w:rPr>
          <w:b/>
          <w:bCs/>
        </w:rPr>
        <w:t>Portée</w:t>
      </w:r>
    </w:p>
    <w:p w14:paraId="1A9052A5" w14:textId="77777777" w:rsidR="0084489F" w:rsidRDefault="00110FE6">
      <w:pPr>
        <w:pStyle w:val="BodyText"/>
      </w:pPr>
      <w:r>
        <w:rPr>
          <w:rStyle w:val="VerbatimChar"/>
        </w:rPr>
        <w:t>E53_Lieu</w:t>
      </w:r>
    </w:p>
    <w:p w14:paraId="2DBF432F" w14:textId="77777777" w:rsidR="0084489F" w:rsidRDefault="00110FE6">
      <w:pPr>
        <w:pStyle w:val="BodyText"/>
      </w:pPr>
      <w:r>
        <w:rPr>
          <w:b/>
          <w:bCs/>
        </w:rPr>
        <w:t>Sous-propriété de</w:t>
      </w:r>
    </w:p>
    <w:p w14:paraId="1D81213E" w14:textId="77777777" w:rsidR="0084489F" w:rsidRDefault="00110FE6">
      <w:pPr>
        <w:pStyle w:val="BodyText"/>
      </w:pPr>
      <w:r>
        <w:rPr>
          <w:b/>
          <w:bCs/>
        </w:rPr>
        <w:t>Super-propriété de</w:t>
      </w:r>
    </w:p>
    <w:p w14:paraId="7DE4FFB7" w14:textId="77777777" w:rsidR="0084489F" w:rsidRDefault="00110FE6">
      <w:pPr>
        <w:pStyle w:val="BodyText"/>
      </w:pPr>
      <w:r>
        <w:rPr>
          <w:b/>
          <w:bCs/>
        </w:rPr>
        <w:t>Quantification</w:t>
      </w:r>
    </w:p>
    <w:p w14:paraId="55331886" w14:textId="77777777" w:rsidR="0084489F" w:rsidRDefault="00110FE6">
      <w:pPr>
        <w:pStyle w:val="BodyText"/>
      </w:pPr>
      <w:r w:rsidRPr="1B9E7434">
        <w:rPr>
          <w:lang w:val="fr-FR"/>
        </w:rPr>
        <w:t>plusieurs à plusieurs, nécessaire (1,n:0,n)</w:t>
      </w:r>
    </w:p>
    <w:p w14:paraId="2440AF10" w14:textId="77777777" w:rsidR="0084489F" w:rsidRDefault="00110FE6">
      <w:pPr>
        <w:pStyle w:val="BodyText"/>
      </w:pPr>
      <w:r>
        <w:rPr>
          <w:b/>
          <w:bCs/>
        </w:rPr>
        <w:t>Note d’application</w:t>
      </w:r>
    </w:p>
    <w:p w14:paraId="6088BF3E" w14:textId="77777777" w:rsidR="0084489F" w:rsidRDefault="00110FE6">
      <w:pPr>
        <w:pStyle w:val="BodyText"/>
      </w:pPr>
      <w:r>
        <w:t xml:space="preserve">Cette propriété identifie une origine, qui est une instance de </w:t>
      </w:r>
      <w:r>
        <w:rPr>
          <w:rStyle w:val="VerbatimChar"/>
        </w:rPr>
        <w:t>E53_Lieu</w:t>
      </w:r>
      <w:r>
        <w:t xml:space="preserve">, d’une instance de </w:t>
      </w:r>
      <w:r>
        <w:rPr>
          <w:rStyle w:val="VerbatimChar"/>
        </w:rPr>
        <w:t>E9_Déplacement</w:t>
      </w:r>
      <w:r>
        <w:t>.</w:t>
      </w:r>
    </w:p>
    <w:p w14:paraId="791DA3D5" w14:textId="77777777" w:rsidR="0084489F" w:rsidRDefault="00110FE6">
      <w:pPr>
        <w:pStyle w:val="BodyText"/>
      </w:pPr>
      <w:r>
        <w:t xml:space="preserve">Un déplacement est lié à une origine, par exemple le déplacement d’un artefact depuis son espace d'entreposage vers son lieu d'exposition. Un déplacement peut être lié à de nombreuses instances de </w:t>
      </w:r>
      <w:r>
        <w:rPr>
          <w:rStyle w:val="VerbatimChar"/>
        </w:rPr>
        <w:t>E53_Lieu</w:t>
      </w:r>
      <w:r>
        <w:t xml:space="preserve"> de départ par de multiples occurrences de cette propriété. Dans ce cas, le déplacement décrit le ramassage d’un ensemble d’objets. L'étendue du déplacement inclut l’origine ou les origines, le trajet et la ou les destinations.</w:t>
      </w:r>
    </w:p>
    <w:p w14:paraId="01231B51" w14:textId="77777777" w:rsidR="0084489F" w:rsidRDefault="00110FE6">
      <w:pPr>
        <w:pStyle w:val="BodyText"/>
      </w:pPr>
      <w:r>
        <w:t xml:space="preserve">Par conséquent, l’origine décrite est une instance de </w:t>
      </w:r>
      <w:r>
        <w:rPr>
          <w:rStyle w:val="VerbatimChar"/>
        </w:rPr>
        <w:t>E53_Lieu</w:t>
      </w:r>
      <w:r>
        <w:t xml:space="preserve"> qui s’insère dans (</w:t>
      </w:r>
      <w:r>
        <w:rPr>
          <w:rStyle w:val="VerbatimChar"/>
        </w:rPr>
        <w:t>P89_s’insère_dans</w:t>
      </w:r>
      <w:r>
        <w:t xml:space="preserve">) l’instance de </w:t>
      </w:r>
      <w:r>
        <w:rPr>
          <w:rStyle w:val="VerbatimChar"/>
        </w:rPr>
        <w:t>E53_Lieu</w:t>
      </w:r>
      <w:r>
        <w:t xml:space="preserve"> dans laquelle le déplacement a eu lieu (</w:t>
      </w:r>
      <w:r>
        <w:rPr>
          <w:rStyle w:val="VerbatimChar"/>
        </w:rPr>
        <w:t>P7_a_eu_lieu_dans</w:t>
      </w:r>
      <w:r>
        <w:t>).</w:t>
      </w:r>
    </w:p>
    <w:p w14:paraId="3ADBAC7F" w14:textId="77777777" w:rsidR="0084489F" w:rsidRDefault="00110FE6">
      <w:pPr>
        <w:pStyle w:val="BodyText"/>
      </w:pPr>
      <w:r>
        <w:rPr>
          <w:b/>
          <w:bCs/>
        </w:rPr>
        <w:t>Exemples</w:t>
      </w:r>
    </w:p>
    <w:p w14:paraId="18755537" w14:textId="362302B5" w:rsidR="0084489F" w:rsidRDefault="00110FE6" w:rsidP="00806324">
      <w:pPr>
        <w:numPr>
          <w:ilvl w:val="0"/>
          <w:numId w:val="163"/>
        </w:numPr>
      </w:pPr>
      <w:r w:rsidRPr="1B9E7434">
        <w:rPr>
          <w:lang w:val="fr-FR"/>
        </w:rPr>
        <w:t>Le déplacement de l’exposition « Toutânkhamon, le trésor du Pharaon » entre le 15 septembre et le 2 novembre 2019 (</w:t>
      </w:r>
      <w:r w:rsidRPr="1B9E7434">
        <w:rPr>
          <w:rStyle w:val="VerbatimChar"/>
          <w:lang w:val="fr-FR"/>
        </w:rPr>
        <w:t>E9_Déplacement</w:t>
      </w:r>
      <w:r w:rsidRPr="1B9E7434">
        <w:rPr>
          <w:lang w:val="fr-FR"/>
        </w:rPr>
        <w:t>) a déplacé depuis (</w:t>
      </w:r>
      <w:r w:rsidRPr="1B9E7434">
        <w:rPr>
          <w:rStyle w:val="VerbatimChar"/>
          <w:lang w:val="fr-FR"/>
        </w:rPr>
        <w:t>P27_a_déplacé_depuis</w:t>
      </w:r>
      <w:r w:rsidRPr="1B9E7434">
        <w:rPr>
          <w:lang w:val="fr-FR"/>
        </w:rPr>
        <w:t>) la Grande Halle de la Villette à Paris (</w:t>
      </w:r>
      <w:r w:rsidRPr="1B9E7434">
        <w:rPr>
          <w:rStyle w:val="VerbatimChar"/>
          <w:lang w:val="fr-FR"/>
        </w:rPr>
        <w:t>E53_Lieu</w:t>
      </w:r>
      <w:r w:rsidRPr="1B9E7434">
        <w:rPr>
          <w:lang w:val="fr-FR"/>
        </w:rPr>
        <w:t>) les objets concernés.</w:t>
      </w:r>
    </w:p>
    <w:p w14:paraId="6852CC16" w14:textId="77777777" w:rsidR="0084489F" w:rsidRDefault="00110FE6" w:rsidP="00F361B3">
      <w:pPr>
        <w:pStyle w:val="FirstParagraph"/>
        <w:keepNext/>
      </w:pPr>
      <w:r>
        <w:rPr>
          <w:b/>
          <w:bCs/>
        </w:rPr>
        <w:lastRenderedPageBreak/>
        <w:t>Logique</w:t>
      </w:r>
    </w:p>
    <w:p w14:paraId="4B6C4F2B" w14:textId="77777777" w:rsidR="0084489F" w:rsidRDefault="00110FE6" w:rsidP="00F361B3">
      <w:pPr>
        <w:pStyle w:val="BodyText"/>
        <w:keepNext/>
      </w:pPr>
      <w:r w:rsidRPr="1B9E7434">
        <w:rPr>
          <w:lang w:val="fr-FR"/>
        </w:rPr>
        <w:t>P27(x,y) ⇒ E9(x)</w:t>
      </w:r>
    </w:p>
    <w:p w14:paraId="15260309" w14:textId="77777777" w:rsidR="0084489F" w:rsidRDefault="00110FE6">
      <w:pPr>
        <w:pStyle w:val="BodyText"/>
      </w:pPr>
      <w:r w:rsidRPr="1B9E7434">
        <w:rPr>
          <w:lang w:val="fr-FR"/>
        </w:rPr>
        <w:t>P27(x,y) ⇒ E53(y)</w:t>
      </w:r>
    </w:p>
    <w:p w14:paraId="6E4F1EA6" w14:textId="77777777" w:rsidR="0084489F" w:rsidRDefault="00110FE6">
      <w:pPr>
        <w:pStyle w:val="BodyText"/>
      </w:pPr>
      <w:r w:rsidRPr="1B9E7434">
        <w:rPr>
          <w:lang w:val="fr-FR"/>
        </w:rPr>
        <w:t>P27(x,y) ⇒ (∃z) [E53(z) ∧ P7(x,z) ∧ P89(y,z)]</w:t>
      </w:r>
    </w:p>
    <w:p w14:paraId="6C57B0DA" w14:textId="77777777" w:rsidR="0084489F" w:rsidRDefault="00110FE6">
      <w:pPr>
        <w:pStyle w:val="BodyText"/>
      </w:pPr>
      <w:r>
        <w:rPr>
          <w:b/>
          <w:bCs/>
        </w:rPr>
        <w:t>Propriétés</w:t>
      </w:r>
    </w:p>
    <w:p w14:paraId="7B28806C" w14:textId="77777777" w:rsidR="0084489F" w:rsidRDefault="00110FE6">
      <w:pPr>
        <w:pStyle w:val="BlockText"/>
      </w:pPr>
      <w:r>
        <w:rPr>
          <w:b/>
          <w:bCs/>
          <w:i/>
          <w:iCs/>
        </w:rPr>
        <w:t>Note de traduction</w:t>
      </w:r>
    </w:p>
    <w:p w14:paraId="5BD3985B" w14:textId="77777777" w:rsidR="0084489F" w:rsidRDefault="00110FE6">
      <w:pPr>
        <w:pStyle w:val="BlockText"/>
      </w:pPr>
      <w:r w:rsidRPr="1B9E7434">
        <w:rPr>
          <w:lang w:val="fr-FR"/>
        </w:rPr>
        <w:t>Dans Wikipédia, l’exposition « Tutankhamun: Treasures of the Golden Pharaoh » a été traduite en français par « Trésors du pharaon d’or ».</w:t>
      </w:r>
    </w:p>
    <w:p w14:paraId="5F88D544" w14:textId="77777777" w:rsidR="0084489F" w:rsidRDefault="00110FE6">
      <w:pPr>
        <w:pStyle w:val="BlockText"/>
      </w:pPr>
      <w:r>
        <w:rPr>
          <w:b/>
          <w:bCs/>
          <w:i/>
          <w:iCs/>
        </w:rPr>
        <w:t>Références</w:t>
      </w:r>
    </w:p>
    <w:p w14:paraId="1F6A755C" w14:textId="77777777" w:rsidR="0084489F" w:rsidRDefault="00110FE6">
      <w:pPr>
        <w:pStyle w:val="BlockText"/>
      </w:pPr>
      <w:r w:rsidRPr="1B9E7434">
        <w:rPr>
          <w:lang w:val="fr-FR"/>
        </w:rPr>
        <w:t xml:space="preserve">Wikipédia. « Expositions des vestiges archéologiques provenant de la tombe de Toutânkhamon ». Dans </w:t>
      </w:r>
      <w:r w:rsidRPr="1B9E7434">
        <w:rPr>
          <w:i/>
          <w:iCs/>
          <w:lang w:val="fr-FR"/>
        </w:rPr>
        <w:t>Wikipédia</w:t>
      </w:r>
      <w:r w:rsidRPr="1B9E7434">
        <w:rPr>
          <w:lang w:val="fr-FR"/>
        </w:rPr>
        <w:t>. San Francisco, US-CA: Wikipédia, 30 janvier 2021.</w:t>
      </w:r>
      <w:hyperlink r:id="rId248">
        <w:r w:rsidRPr="1B9E7434">
          <w:rPr>
            <w:rStyle w:val="Hyperlink"/>
            <w:lang w:val="fr-FR"/>
          </w:rPr>
          <w:t xml:space="preserve"> </w:t>
        </w:r>
      </w:hyperlink>
      <w:hyperlink r:id="rId249">
        <w:r w:rsidRPr="1B9E7434">
          <w:rPr>
            <w:rStyle w:val="Hyperlink"/>
            <w:lang w:val="fr-FR"/>
          </w:rPr>
          <w:t>https://fr.wikipedia.org/w/index.php?title=Expositions_des_vestiges_arch%C3%A9ologiques_provenant_de_la_tombe_de_Tout%C3%A2nkhamon&amp;oldid=179392035</w:t>
        </w:r>
      </w:hyperlink>
      <w:r w:rsidRPr="1B9E7434">
        <w:rPr>
          <w:lang w:val="fr-FR"/>
        </w:rPr>
        <w:t>.</w:t>
      </w:r>
    </w:p>
    <w:p w14:paraId="5225143A" w14:textId="77777777" w:rsidR="0084489F" w:rsidRDefault="00110FE6">
      <w:pPr>
        <w:pStyle w:val="Heading2"/>
      </w:pPr>
      <w:bookmarkStart w:id="324" w:name="_Toc176864542"/>
      <w:bookmarkStart w:id="325" w:name="X86b7c21618d3fe37cda426441d237e5d7fad2d3"/>
      <w:bookmarkEnd w:id="323"/>
      <w:r>
        <w:t>P28 a mis fin à la garde par (a cédé la garde par)</w:t>
      </w:r>
      <w:bookmarkEnd w:id="324"/>
    </w:p>
    <w:p w14:paraId="7385CBAF" w14:textId="77777777" w:rsidR="0084489F" w:rsidRDefault="00110FE6">
      <w:pPr>
        <w:pStyle w:val="FirstParagraph"/>
      </w:pPr>
      <w:r>
        <w:rPr>
          <w:b/>
          <w:bCs/>
        </w:rPr>
        <w:t>Domaine</w:t>
      </w:r>
    </w:p>
    <w:p w14:paraId="6EE3F7E0" w14:textId="77777777" w:rsidR="0084489F" w:rsidRDefault="00110FE6">
      <w:pPr>
        <w:pStyle w:val="BodyText"/>
      </w:pPr>
      <w:r>
        <w:rPr>
          <w:rStyle w:val="VerbatimChar"/>
        </w:rPr>
        <w:t>E10_Transfert_de_la_garde</w:t>
      </w:r>
    </w:p>
    <w:p w14:paraId="3AA93D98" w14:textId="77777777" w:rsidR="0084489F" w:rsidRDefault="00110FE6">
      <w:pPr>
        <w:pStyle w:val="BodyText"/>
      </w:pPr>
      <w:r>
        <w:rPr>
          <w:b/>
          <w:bCs/>
        </w:rPr>
        <w:t>Portée</w:t>
      </w:r>
    </w:p>
    <w:p w14:paraId="09ACB562" w14:textId="77777777" w:rsidR="0084489F" w:rsidRDefault="00110FE6">
      <w:pPr>
        <w:pStyle w:val="BodyText"/>
      </w:pPr>
      <w:r>
        <w:rPr>
          <w:rStyle w:val="VerbatimChar"/>
        </w:rPr>
        <w:t>E39_Actant</w:t>
      </w:r>
    </w:p>
    <w:p w14:paraId="41B716D1" w14:textId="77777777" w:rsidR="0084489F" w:rsidRDefault="00110FE6">
      <w:pPr>
        <w:pStyle w:val="BodyText"/>
      </w:pPr>
      <w:r>
        <w:rPr>
          <w:b/>
          <w:bCs/>
        </w:rPr>
        <w:t>Sous-propriété de</w:t>
      </w:r>
    </w:p>
    <w:p w14:paraId="27F31BD4"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P14_a_été_effectué_par (a_effectué)</w:t>
      </w:r>
      <w:r w:rsidRPr="1B9E7434">
        <w:rPr>
          <w:lang w:val="fr-FR"/>
        </w:rPr>
        <w:t xml:space="preserve"> : </w:t>
      </w:r>
      <w:r w:rsidRPr="1B9E7434">
        <w:rPr>
          <w:rStyle w:val="VerbatimChar"/>
          <w:lang w:val="fr-FR"/>
        </w:rPr>
        <w:t>E39_Actant</w:t>
      </w:r>
    </w:p>
    <w:p w14:paraId="347F6DEE" w14:textId="77777777" w:rsidR="0084489F" w:rsidRDefault="00110FE6">
      <w:pPr>
        <w:pStyle w:val="BodyText"/>
      </w:pPr>
      <w:r>
        <w:rPr>
          <w:b/>
          <w:bCs/>
        </w:rPr>
        <w:t>Super-propriété de</w:t>
      </w:r>
    </w:p>
    <w:p w14:paraId="17A91C1B" w14:textId="77777777" w:rsidR="0084489F" w:rsidRDefault="00110FE6">
      <w:pPr>
        <w:pStyle w:val="BodyText"/>
      </w:pPr>
      <w:r>
        <w:rPr>
          <w:b/>
          <w:bCs/>
        </w:rPr>
        <w:t>Quantification</w:t>
      </w:r>
    </w:p>
    <w:p w14:paraId="4DA7E6B7" w14:textId="77777777" w:rsidR="0084489F" w:rsidRDefault="00110FE6">
      <w:pPr>
        <w:pStyle w:val="BodyText"/>
      </w:pPr>
      <w:r w:rsidRPr="1B9E7434">
        <w:rPr>
          <w:lang w:val="fr-FR"/>
        </w:rPr>
        <w:t>plusieurs à plusieurs (0,n:0,n)</w:t>
      </w:r>
    </w:p>
    <w:p w14:paraId="3D4AC915" w14:textId="77777777" w:rsidR="0084489F" w:rsidRDefault="00110FE6">
      <w:pPr>
        <w:pStyle w:val="BodyText"/>
      </w:pPr>
      <w:r>
        <w:rPr>
          <w:b/>
          <w:bCs/>
        </w:rPr>
        <w:t>Note d’application</w:t>
      </w:r>
    </w:p>
    <w:p w14:paraId="7910F2DB" w14:textId="77777777" w:rsidR="0084489F" w:rsidRDefault="00110FE6">
      <w:pPr>
        <w:pStyle w:val="BodyText"/>
      </w:pPr>
      <w:r>
        <w:t xml:space="preserve">Cette propriété identifie la ou les instances de </w:t>
      </w:r>
      <w:r>
        <w:rPr>
          <w:rStyle w:val="VerbatimChar"/>
        </w:rPr>
        <w:t>E39_Actant</w:t>
      </w:r>
      <w:r>
        <w:t xml:space="preserve"> qui cèdent la garde d’une instance de </w:t>
      </w:r>
      <w:r>
        <w:rPr>
          <w:rStyle w:val="VerbatimChar"/>
        </w:rPr>
        <w:t>E18_Chose_matérielle</w:t>
      </w:r>
      <w:r>
        <w:t xml:space="preserve"> lors d’une instance de </w:t>
      </w:r>
      <w:r>
        <w:rPr>
          <w:rStyle w:val="VerbatimChar"/>
        </w:rPr>
        <w:t>E10_Transfert_de_la_garde</w:t>
      </w:r>
      <w:r>
        <w:t>.</w:t>
      </w:r>
    </w:p>
    <w:p w14:paraId="1A41BFA9" w14:textId="77777777" w:rsidR="0084489F" w:rsidRDefault="00110FE6">
      <w:pPr>
        <w:pStyle w:val="BodyText"/>
      </w:pPr>
      <w:r w:rsidRPr="1B9E7434">
        <w:rPr>
          <w:lang w:val="fr-FR"/>
        </w:rPr>
        <w:t xml:space="preserve">Généralement, la propriété </w:t>
      </w:r>
      <w:r w:rsidRPr="1B9E7434">
        <w:rPr>
          <w:rStyle w:val="VerbatimChar"/>
          <w:lang w:val="fr-FR"/>
        </w:rPr>
        <w:t>P28_a_mis_fin_à_la_garde_par (a_cédé_la_garde_par)</w:t>
      </w:r>
      <w:r w:rsidRPr="1B9E7434">
        <w:rPr>
          <w:lang w:val="fr-FR"/>
        </w:rPr>
        <w:t xml:space="preserve"> décrit un actant cédant la garde d’un objet en le remettant aux soins d’un autre actant. Parfois, la garde physique peut être cédée de manière involontaire, p. ex. du fait d’un accident, d’une perte ou d’un vol.</w:t>
      </w:r>
    </w:p>
    <w:p w14:paraId="676272DC" w14:textId="77777777" w:rsidR="0084489F" w:rsidRDefault="00110FE6">
      <w:pPr>
        <w:pStyle w:val="BodyText"/>
      </w:pPr>
      <w:r>
        <w:t>Concrètement, la garde est soit transférée à un actant ou d’un actant, soit les deux.</w:t>
      </w:r>
    </w:p>
    <w:p w14:paraId="46DD522A" w14:textId="77777777" w:rsidR="0084489F" w:rsidRDefault="00110FE6">
      <w:pPr>
        <w:pStyle w:val="BodyText"/>
      </w:pPr>
      <w:r>
        <w:rPr>
          <w:b/>
          <w:bCs/>
        </w:rPr>
        <w:t>Exemples</w:t>
      </w:r>
    </w:p>
    <w:p w14:paraId="33A5F2D8" w14:textId="7F9104B6" w:rsidR="0084489F" w:rsidRDefault="00110FE6" w:rsidP="00806324">
      <w:pPr>
        <w:numPr>
          <w:ilvl w:val="0"/>
          <w:numId w:val="164"/>
        </w:numPr>
      </w:pPr>
      <w:r w:rsidRPr="1B9E7434">
        <w:rPr>
          <w:lang w:val="fr-FR"/>
        </w:rPr>
        <w:t>L’équipe de Secure Deliveries Inc. (</w:t>
      </w:r>
      <w:r w:rsidRPr="1B9E7434">
        <w:rPr>
          <w:rStyle w:val="VerbatimChar"/>
          <w:lang w:val="fr-FR"/>
        </w:rPr>
        <w:t>E74_Groupe</w:t>
      </w:r>
      <w:r w:rsidRPr="1B9E7434">
        <w:rPr>
          <w:lang w:val="fr-FR"/>
        </w:rPr>
        <w:t>) a cédé la garde par (</w:t>
      </w:r>
      <w:r w:rsidRPr="1B9E7434">
        <w:rPr>
          <w:rStyle w:val="VerbatimChar"/>
          <w:lang w:val="fr-FR"/>
        </w:rPr>
        <w:t>P28i_a_cédé_la_garde_par</w:t>
      </w:r>
      <w:r w:rsidRPr="1B9E7434">
        <w:rPr>
          <w:lang w:val="fr-FR"/>
        </w:rPr>
        <w:t>) la livraison des œuvres peintes par Secure Deliveries Inc. à la National Gallery (</w:t>
      </w:r>
      <w:r w:rsidRPr="1B9E7434">
        <w:rPr>
          <w:rStyle w:val="VerbatimChar"/>
          <w:lang w:val="fr-FR"/>
        </w:rPr>
        <w:t>E10_Transfert_de_la_garde</w:t>
      </w:r>
      <w:r w:rsidRPr="1B9E7434">
        <w:rPr>
          <w:lang w:val="fr-FR"/>
        </w:rPr>
        <w:t>)</w:t>
      </w:r>
    </w:p>
    <w:p w14:paraId="00621D4B" w14:textId="77777777" w:rsidR="0084489F" w:rsidRDefault="00110FE6">
      <w:pPr>
        <w:pStyle w:val="FirstParagraph"/>
      </w:pPr>
      <w:r>
        <w:rPr>
          <w:b/>
          <w:bCs/>
        </w:rPr>
        <w:t>Logique</w:t>
      </w:r>
    </w:p>
    <w:p w14:paraId="4F0A6B09" w14:textId="77777777" w:rsidR="0084489F" w:rsidRDefault="00110FE6">
      <w:pPr>
        <w:pStyle w:val="BodyText"/>
      </w:pPr>
      <w:r w:rsidRPr="1B9E7434">
        <w:rPr>
          <w:lang w:val="fr-FR"/>
        </w:rPr>
        <w:lastRenderedPageBreak/>
        <w:t>P28(x,y) ⇒ E10(x)</w:t>
      </w:r>
    </w:p>
    <w:p w14:paraId="5DB9193A" w14:textId="77777777" w:rsidR="0084489F" w:rsidRDefault="00110FE6">
      <w:pPr>
        <w:pStyle w:val="BodyText"/>
      </w:pPr>
      <w:r w:rsidRPr="1B9E7434">
        <w:rPr>
          <w:lang w:val="fr-FR"/>
        </w:rPr>
        <w:t>P28(x,y) ⇒ E39(y)</w:t>
      </w:r>
    </w:p>
    <w:p w14:paraId="2109AFF2" w14:textId="77777777" w:rsidR="0084489F" w:rsidRDefault="00110FE6">
      <w:pPr>
        <w:pStyle w:val="BodyText"/>
      </w:pPr>
      <w:r w:rsidRPr="1B9E7434">
        <w:rPr>
          <w:lang w:val="fr-FR"/>
        </w:rPr>
        <w:t>P28(x,y) ⇒ P14(x,y)</w:t>
      </w:r>
    </w:p>
    <w:p w14:paraId="0BAFA3A5" w14:textId="77777777" w:rsidR="0084489F" w:rsidRDefault="00110FE6">
      <w:pPr>
        <w:pStyle w:val="BodyText"/>
      </w:pPr>
      <w:r>
        <w:rPr>
          <w:b/>
          <w:bCs/>
        </w:rPr>
        <w:t>Propriétés</w:t>
      </w:r>
    </w:p>
    <w:p w14:paraId="6C25A46A" w14:textId="77777777" w:rsidR="0084489F" w:rsidRDefault="00110FE6">
      <w:pPr>
        <w:pStyle w:val="BlockText"/>
      </w:pPr>
      <w:r>
        <w:rPr>
          <w:b/>
          <w:bCs/>
          <w:i/>
          <w:iCs/>
        </w:rPr>
        <w:t>Note de traduction</w:t>
      </w:r>
    </w:p>
    <w:p w14:paraId="7B216E8A" w14:textId="77777777" w:rsidR="0084489F" w:rsidRDefault="00110FE6">
      <w:pPr>
        <w:pStyle w:val="BlockText"/>
      </w:pPr>
      <w:r>
        <w:rPr>
          <w:b/>
          <w:bCs/>
          <w:i/>
          <w:iCs/>
        </w:rPr>
        <w:t>Références</w:t>
      </w:r>
    </w:p>
    <w:p w14:paraId="4C9AA409" w14:textId="77777777" w:rsidR="0084489F" w:rsidRDefault="0084489F">
      <w:pPr>
        <w:pStyle w:val="BlockText"/>
      </w:pPr>
    </w:p>
    <w:p w14:paraId="6393C981" w14:textId="77777777" w:rsidR="0084489F" w:rsidRDefault="00110FE6">
      <w:pPr>
        <w:pStyle w:val="Heading2"/>
      </w:pPr>
      <w:bookmarkStart w:id="326" w:name="_Toc176864543"/>
      <w:bookmarkStart w:id="327" w:name="X4b892d875e70a33ae1dfc732387db8731db2012"/>
      <w:bookmarkEnd w:id="325"/>
      <w:r>
        <w:t>P29 a confié la garde par (a reçu la garde par)</w:t>
      </w:r>
      <w:bookmarkEnd w:id="326"/>
    </w:p>
    <w:p w14:paraId="37A64AB5" w14:textId="77777777" w:rsidR="0084489F" w:rsidRDefault="00110FE6">
      <w:pPr>
        <w:pStyle w:val="FirstParagraph"/>
      </w:pPr>
      <w:r>
        <w:rPr>
          <w:b/>
          <w:bCs/>
        </w:rPr>
        <w:t>Domaine</w:t>
      </w:r>
    </w:p>
    <w:p w14:paraId="018CCA5D" w14:textId="77777777" w:rsidR="0084489F" w:rsidRDefault="00110FE6">
      <w:pPr>
        <w:pStyle w:val="BodyText"/>
      </w:pPr>
      <w:r>
        <w:rPr>
          <w:rStyle w:val="VerbatimChar"/>
        </w:rPr>
        <w:t>E10_Transfert_de_la_garde</w:t>
      </w:r>
    </w:p>
    <w:p w14:paraId="113C05A4" w14:textId="77777777" w:rsidR="0084489F" w:rsidRDefault="00110FE6">
      <w:pPr>
        <w:pStyle w:val="BodyText"/>
      </w:pPr>
      <w:r>
        <w:rPr>
          <w:b/>
          <w:bCs/>
        </w:rPr>
        <w:t>Portée</w:t>
      </w:r>
    </w:p>
    <w:p w14:paraId="46B10C5E" w14:textId="77777777" w:rsidR="0084489F" w:rsidRDefault="00110FE6">
      <w:pPr>
        <w:pStyle w:val="BodyText"/>
      </w:pPr>
      <w:r>
        <w:rPr>
          <w:rStyle w:val="VerbatimChar"/>
        </w:rPr>
        <w:t>E39_Actant</w:t>
      </w:r>
    </w:p>
    <w:p w14:paraId="11344270" w14:textId="77777777" w:rsidR="0084489F" w:rsidRDefault="00110FE6">
      <w:pPr>
        <w:pStyle w:val="BodyText"/>
      </w:pPr>
      <w:r>
        <w:rPr>
          <w:b/>
          <w:bCs/>
        </w:rPr>
        <w:t>Sous-propriété de</w:t>
      </w:r>
    </w:p>
    <w:p w14:paraId="1CE57B09"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P14_a_été_effectué_par (a_effectué)</w:t>
      </w:r>
      <w:r w:rsidRPr="1B9E7434">
        <w:rPr>
          <w:lang w:val="fr-FR"/>
        </w:rPr>
        <w:t xml:space="preserve"> : </w:t>
      </w:r>
      <w:r w:rsidRPr="1B9E7434">
        <w:rPr>
          <w:rStyle w:val="VerbatimChar"/>
          <w:lang w:val="fr-FR"/>
        </w:rPr>
        <w:t>E39_Actant</w:t>
      </w:r>
    </w:p>
    <w:p w14:paraId="2AADD286" w14:textId="77777777" w:rsidR="0084489F" w:rsidRDefault="00110FE6">
      <w:pPr>
        <w:pStyle w:val="BodyText"/>
      </w:pPr>
      <w:r>
        <w:rPr>
          <w:b/>
          <w:bCs/>
        </w:rPr>
        <w:t>Super-propriété de</w:t>
      </w:r>
    </w:p>
    <w:p w14:paraId="5DF7B799" w14:textId="77777777" w:rsidR="0084489F" w:rsidRDefault="00110FE6">
      <w:pPr>
        <w:pStyle w:val="BodyText"/>
      </w:pPr>
      <w:r>
        <w:rPr>
          <w:b/>
          <w:bCs/>
        </w:rPr>
        <w:t>Quantification</w:t>
      </w:r>
    </w:p>
    <w:p w14:paraId="034B5BFA" w14:textId="77777777" w:rsidR="0084489F" w:rsidRDefault="00110FE6">
      <w:pPr>
        <w:pStyle w:val="BodyText"/>
      </w:pPr>
      <w:r w:rsidRPr="1B9E7434">
        <w:rPr>
          <w:lang w:val="fr-FR"/>
        </w:rPr>
        <w:t>plusieurs à plusieurs (0,n:0,n)</w:t>
      </w:r>
    </w:p>
    <w:p w14:paraId="7D142ECD" w14:textId="77777777" w:rsidR="0084489F" w:rsidRDefault="00110FE6">
      <w:pPr>
        <w:pStyle w:val="BodyText"/>
      </w:pPr>
      <w:r>
        <w:rPr>
          <w:b/>
          <w:bCs/>
        </w:rPr>
        <w:t>Note d’application</w:t>
      </w:r>
    </w:p>
    <w:p w14:paraId="0A547C65" w14:textId="77777777" w:rsidR="0084489F" w:rsidRDefault="00110FE6">
      <w:pPr>
        <w:pStyle w:val="BodyText"/>
      </w:pPr>
      <w:r>
        <w:t xml:space="preserve">Cette propriété identifie la ou les instances de </w:t>
      </w:r>
      <w:r>
        <w:rPr>
          <w:rStyle w:val="VerbatimChar"/>
        </w:rPr>
        <w:t>E39_Actant</w:t>
      </w:r>
      <w:r>
        <w:t xml:space="preserve"> qui reçoivent la garde d’une instance de </w:t>
      </w:r>
      <w:r>
        <w:rPr>
          <w:rStyle w:val="VerbatimChar"/>
        </w:rPr>
        <w:t>E18_Chose_matérielle</w:t>
      </w:r>
      <w:r>
        <w:t xml:space="preserve"> lors d’une instance de </w:t>
      </w:r>
      <w:r>
        <w:rPr>
          <w:rStyle w:val="VerbatimChar"/>
        </w:rPr>
        <w:t>E10_Transfert_de_la_garde</w:t>
      </w:r>
      <w:r>
        <w:t>.</w:t>
      </w:r>
    </w:p>
    <w:p w14:paraId="6634D3EE" w14:textId="77777777" w:rsidR="0084489F" w:rsidRDefault="00110FE6">
      <w:pPr>
        <w:pStyle w:val="BodyText"/>
      </w:pPr>
      <w:r>
        <w:t>Cette propriété décrit typiquement des actants recevant la garde d’un objet confié par les soins d’un autre actant qui en avait la garde. Occasionnellement, une garde physique peut être reçue involontairement ou illégalement, p. ex. du fait d’un accident, d’un don non sollicité ou d’un vol.</w:t>
      </w:r>
    </w:p>
    <w:p w14:paraId="13B335DE" w14:textId="77777777" w:rsidR="0084489F" w:rsidRDefault="00110FE6">
      <w:pPr>
        <w:pStyle w:val="BodyText"/>
      </w:pPr>
      <w:r>
        <w:t>Concrètement, la garde est soit transférée à un actant ou d’un actant, soit les deux.</w:t>
      </w:r>
    </w:p>
    <w:p w14:paraId="5D264868" w14:textId="77777777" w:rsidR="0084489F" w:rsidRDefault="00110FE6">
      <w:pPr>
        <w:pStyle w:val="BodyText"/>
      </w:pPr>
      <w:r>
        <w:rPr>
          <w:b/>
          <w:bCs/>
        </w:rPr>
        <w:t>Exemples</w:t>
      </w:r>
    </w:p>
    <w:p w14:paraId="20B4B7EB" w14:textId="594A1192" w:rsidR="0084489F" w:rsidRDefault="00110FE6" w:rsidP="00806324">
      <w:pPr>
        <w:numPr>
          <w:ilvl w:val="0"/>
          <w:numId w:val="165"/>
        </w:numPr>
      </w:pPr>
      <w:r w:rsidRPr="1B9E7434">
        <w:rPr>
          <w:lang w:val="fr-FR"/>
        </w:rPr>
        <w:t>Les représentants de la National Gallery (</w:t>
      </w:r>
      <w:r w:rsidRPr="1B9E7434">
        <w:rPr>
          <w:rStyle w:val="VerbatimChar"/>
          <w:lang w:val="fr-FR"/>
        </w:rPr>
        <w:t>E74_Groupe</w:t>
      </w:r>
      <w:r w:rsidRPr="1B9E7434">
        <w:rPr>
          <w:lang w:val="fr-FR"/>
        </w:rPr>
        <w:t>) ont reçu la garde par (</w:t>
      </w:r>
      <w:r w:rsidRPr="1B9E7434">
        <w:rPr>
          <w:rStyle w:val="VerbatimChar"/>
          <w:lang w:val="fr-FR"/>
        </w:rPr>
        <w:t>P29i_a_reçu_la_garde_par</w:t>
      </w:r>
      <w:r w:rsidRPr="1B9E7434">
        <w:rPr>
          <w:lang w:val="fr-FR"/>
        </w:rPr>
        <w:t>) la remise des œuvres peintes par Secure Deliveries Inc. à la National Gallery (</w:t>
      </w:r>
      <w:r w:rsidRPr="1B9E7434">
        <w:rPr>
          <w:rStyle w:val="VerbatimChar"/>
          <w:lang w:val="fr-FR"/>
        </w:rPr>
        <w:t>E10_Transfert_de_la_garde</w:t>
      </w:r>
      <w:r w:rsidRPr="1B9E7434">
        <w:rPr>
          <w:lang w:val="fr-FR"/>
        </w:rPr>
        <w:t>)</w:t>
      </w:r>
    </w:p>
    <w:p w14:paraId="500068B2" w14:textId="77777777" w:rsidR="0084489F" w:rsidRDefault="00110FE6">
      <w:pPr>
        <w:pStyle w:val="FirstParagraph"/>
      </w:pPr>
      <w:r>
        <w:rPr>
          <w:b/>
          <w:bCs/>
        </w:rPr>
        <w:t>Logique</w:t>
      </w:r>
    </w:p>
    <w:p w14:paraId="3ABD4297" w14:textId="77777777" w:rsidR="0084489F" w:rsidRDefault="00110FE6">
      <w:pPr>
        <w:pStyle w:val="BodyText"/>
      </w:pPr>
      <w:r w:rsidRPr="1B9E7434">
        <w:rPr>
          <w:lang w:val="fr-FR"/>
        </w:rPr>
        <w:t>P29(x,y) ⇒ E10(x)</w:t>
      </w:r>
    </w:p>
    <w:p w14:paraId="09B0711A" w14:textId="77777777" w:rsidR="0084489F" w:rsidRDefault="00110FE6">
      <w:pPr>
        <w:pStyle w:val="BodyText"/>
      </w:pPr>
      <w:r w:rsidRPr="1B9E7434">
        <w:rPr>
          <w:lang w:val="fr-FR"/>
        </w:rPr>
        <w:t>P29(x,y) ⇒ E39(y)</w:t>
      </w:r>
    </w:p>
    <w:p w14:paraId="50EFA88B" w14:textId="77777777" w:rsidR="0084489F" w:rsidRDefault="00110FE6">
      <w:pPr>
        <w:pStyle w:val="BodyText"/>
      </w:pPr>
      <w:r w:rsidRPr="1B9E7434">
        <w:rPr>
          <w:lang w:val="fr-FR"/>
        </w:rPr>
        <w:t>P29(x,y) ⇒ P14(x,y)</w:t>
      </w:r>
    </w:p>
    <w:p w14:paraId="1521BBE2" w14:textId="77777777" w:rsidR="0084489F" w:rsidRDefault="00110FE6">
      <w:pPr>
        <w:pStyle w:val="BodyText"/>
      </w:pPr>
      <w:r>
        <w:rPr>
          <w:b/>
          <w:bCs/>
        </w:rPr>
        <w:t>Propriétés</w:t>
      </w:r>
    </w:p>
    <w:p w14:paraId="4A318958" w14:textId="77777777" w:rsidR="0084489F" w:rsidRDefault="00110FE6">
      <w:pPr>
        <w:pStyle w:val="BlockText"/>
      </w:pPr>
      <w:r>
        <w:rPr>
          <w:b/>
          <w:bCs/>
          <w:i/>
          <w:iCs/>
        </w:rPr>
        <w:lastRenderedPageBreak/>
        <w:t>Note de traduction</w:t>
      </w:r>
    </w:p>
    <w:p w14:paraId="696ED04E" w14:textId="77777777" w:rsidR="0084489F" w:rsidRDefault="00110FE6">
      <w:pPr>
        <w:pStyle w:val="BlockText"/>
      </w:pPr>
      <w:r>
        <w:rPr>
          <w:b/>
          <w:bCs/>
          <w:i/>
          <w:iCs/>
        </w:rPr>
        <w:t>Références</w:t>
      </w:r>
    </w:p>
    <w:p w14:paraId="5B3A2A49" w14:textId="77777777" w:rsidR="0084489F" w:rsidRDefault="0084489F">
      <w:pPr>
        <w:pStyle w:val="BlockText"/>
      </w:pPr>
    </w:p>
    <w:p w14:paraId="61750636" w14:textId="77777777" w:rsidR="0084489F" w:rsidRDefault="00110FE6">
      <w:pPr>
        <w:pStyle w:val="Heading2"/>
      </w:pPr>
      <w:bookmarkStart w:id="328" w:name="_Toc176864544"/>
      <w:bookmarkStart w:id="329" w:name="Xef34bbfc969a7be9f3299135b4959a9cd2c851c"/>
      <w:bookmarkEnd w:id="327"/>
      <w:r>
        <w:t>P30 a transféré la garde de (a été l’objet d’un transfert de garde par)</w:t>
      </w:r>
      <w:bookmarkEnd w:id="328"/>
    </w:p>
    <w:p w14:paraId="617C41B2" w14:textId="77777777" w:rsidR="0084489F" w:rsidRDefault="00110FE6">
      <w:pPr>
        <w:pStyle w:val="FirstParagraph"/>
      </w:pPr>
      <w:r>
        <w:rPr>
          <w:b/>
          <w:bCs/>
        </w:rPr>
        <w:t>Domaine</w:t>
      </w:r>
    </w:p>
    <w:p w14:paraId="76F14212" w14:textId="77777777" w:rsidR="0084489F" w:rsidRDefault="00110FE6">
      <w:pPr>
        <w:pStyle w:val="BodyText"/>
      </w:pPr>
      <w:r>
        <w:rPr>
          <w:rStyle w:val="VerbatimChar"/>
        </w:rPr>
        <w:t>E10_Transfert_de_la_garde</w:t>
      </w:r>
    </w:p>
    <w:p w14:paraId="2080A8C6" w14:textId="77777777" w:rsidR="0084489F" w:rsidRDefault="00110FE6">
      <w:pPr>
        <w:pStyle w:val="BodyText"/>
      </w:pPr>
      <w:r>
        <w:rPr>
          <w:b/>
          <w:bCs/>
        </w:rPr>
        <w:t>Portée</w:t>
      </w:r>
    </w:p>
    <w:p w14:paraId="02D76DB4" w14:textId="77777777" w:rsidR="0084489F" w:rsidRDefault="00110FE6">
      <w:pPr>
        <w:pStyle w:val="BodyText"/>
      </w:pPr>
      <w:r>
        <w:rPr>
          <w:rStyle w:val="VerbatimChar"/>
        </w:rPr>
        <w:t>E18_Chose_matérielle</w:t>
      </w:r>
    </w:p>
    <w:p w14:paraId="1D984798" w14:textId="77777777" w:rsidR="0084489F" w:rsidRDefault="00110FE6">
      <w:pPr>
        <w:pStyle w:val="BodyText"/>
      </w:pPr>
      <w:r>
        <w:rPr>
          <w:b/>
          <w:bCs/>
        </w:rPr>
        <w:t>Sous-propriété de</w:t>
      </w:r>
    </w:p>
    <w:p w14:paraId="75FF4458" w14:textId="77777777" w:rsidR="0084489F" w:rsidRDefault="00110FE6">
      <w:pPr>
        <w:pStyle w:val="BodyText"/>
      </w:pPr>
      <w:r>
        <w:rPr>
          <w:b/>
          <w:bCs/>
        </w:rPr>
        <w:t>Super-propriété de</w:t>
      </w:r>
    </w:p>
    <w:p w14:paraId="5CEDE8AA" w14:textId="77777777" w:rsidR="0084489F" w:rsidRDefault="0084489F">
      <w:pPr>
        <w:pStyle w:val="BodyText"/>
      </w:pPr>
    </w:p>
    <w:p w14:paraId="2E03B5F9" w14:textId="77777777" w:rsidR="0084489F" w:rsidRDefault="00110FE6">
      <w:pPr>
        <w:pStyle w:val="BodyText"/>
      </w:pPr>
      <w:r>
        <w:rPr>
          <w:b/>
          <w:bCs/>
        </w:rPr>
        <w:t>Quantification</w:t>
      </w:r>
    </w:p>
    <w:p w14:paraId="5F68E0BB" w14:textId="77777777" w:rsidR="0084489F" w:rsidRDefault="00110FE6">
      <w:pPr>
        <w:pStyle w:val="BodyText"/>
      </w:pPr>
      <w:r w:rsidRPr="1B9E7434">
        <w:rPr>
          <w:lang w:val="fr-FR"/>
        </w:rPr>
        <w:t>plusieurs à plusieurs, nécessaire (1,n:0,n)</w:t>
      </w:r>
    </w:p>
    <w:p w14:paraId="55824684" w14:textId="77777777" w:rsidR="0084489F" w:rsidRDefault="00110FE6">
      <w:pPr>
        <w:pStyle w:val="BodyText"/>
      </w:pPr>
      <w:r>
        <w:rPr>
          <w:b/>
          <w:bCs/>
        </w:rPr>
        <w:t>Note d’application</w:t>
      </w:r>
    </w:p>
    <w:p w14:paraId="01D814F7" w14:textId="77777777" w:rsidR="0084489F" w:rsidRDefault="00110FE6">
      <w:pPr>
        <w:pStyle w:val="BodyText"/>
      </w:pPr>
      <w:r>
        <w:t xml:space="preserve">Cette propriété identifie la ou les instances de </w:t>
      </w:r>
      <w:r>
        <w:rPr>
          <w:rStyle w:val="VerbatimChar"/>
        </w:rPr>
        <w:t>E18_Chose_matérielle</w:t>
      </w:r>
      <w:r>
        <w:t xml:space="preserve"> concernées par une instance de </w:t>
      </w:r>
      <w:r>
        <w:rPr>
          <w:rStyle w:val="VerbatimChar"/>
        </w:rPr>
        <w:t>E10_Transfert_de_la_garde</w:t>
      </w:r>
      <w:r>
        <w:t>.</w:t>
      </w:r>
    </w:p>
    <w:p w14:paraId="59A9077E" w14:textId="77777777" w:rsidR="0084489F" w:rsidRDefault="00110FE6">
      <w:pPr>
        <w:pStyle w:val="BodyText"/>
      </w:pPr>
      <w:r>
        <w:t xml:space="preserve">La propriété décrit typiquement l’objet qu’une instance de </w:t>
      </w:r>
      <w:r>
        <w:rPr>
          <w:rStyle w:val="VerbatimChar"/>
        </w:rPr>
        <w:t>E39_Actant</w:t>
      </w:r>
      <w:r>
        <w:t xml:space="preserve"> confie à la garde d’une autre instance de </w:t>
      </w:r>
      <w:r>
        <w:rPr>
          <w:rStyle w:val="VerbatimChar"/>
        </w:rPr>
        <w:t>E39_Actant</w:t>
      </w:r>
      <w:r>
        <w:t>. Occasionnellement, une garde physique peut être reçue involontairement ou illégalement, p. ex. du fait d’un accident, d’un don non sollicité ou d’un vol.</w:t>
      </w:r>
    </w:p>
    <w:p w14:paraId="44915CB8" w14:textId="77777777" w:rsidR="0084489F" w:rsidRDefault="00110FE6">
      <w:pPr>
        <w:pStyle w:val="BodyText"/>
      </w:pPr>
      <w:r>
        <w:rPr>
          <w:b/>
          <w:bCs/>
        </w:rPr>
        <w:t>Exemples</w:t>
      </w:r>
    </w:p>
    <w:p w14:paraId="179ED790" w14:textId="0814AA97" w:rsidR="0084489F" w:rsidRDefault="00110FE6" w:rsidP="00806324">
      <w:pPr>
        <w:numPr>
          <w:ilvl w:val="0"/>
          <w:numId w:val="166"/>
        </w:numPr>
      </w:pPr>
      <w:r w:rsidRPr="1B9E7434">
        <w:rPr>
          <w:lang w:val="fr-FR"/>
        </w:rPr>
        <w:t>La livraison des œuvres peintes par Secure Deliveries Inc. à la National Gallery (</w:t>
      </w:r>
      <w:r w:rsidRPr="1B9E7434">
        <w:rPr>
          <w:rStyle w:val="VerbatimChar"/>
          <w:lang w:val="fr-FR"/>
        </w:rPr>
        <w:t>E10_Transfert_de_la_garde</w:t>
      </w:r>
      <w:r w:rsidRPr="1B9E7434">
        <w:rPr>
          <w:lang w:val="fr-FR"/>
        </w:rPr>
        <w:t>) a transféré la garde des (</w:t>
      </w:r>
      <w:r w:rsidRPr="1B9E7434">
        <w:rPr>
          <w:rStyle w:val="VerbatimChar"/>
          <w:lang w:val="fr-FR"/>
        </w:rPr>
        <w:t>P30_a_transféré_la_garde_de</w:t>
      </w:r>
      <w:r w:rsidRPr="1B9E7434">
        <w:rPr>
          <w:lang w:val="fr-FR"/>
        </w:rPr>
        <w:t>) œuvres peintes de la collection Iveagh Bequest (</w:t>
      </w:r>
      <w:r w:rsidRPr="1B9E7434">
        <w:rPr>
          <w:rStyle w:val="VerbatimChar"/>
          <w:lang w:val="fr-FR"/>
        </w:rPr>
        <w:t>E19_Objet_matériel</w:t>
      </w:r>
      <w:r w:rsidRPr="1B9E7434">
        <w:rPr>
          <w:lang w:val="fr-FR"/>
        </w:rPr>
        <w:t>)</w:t>
      </w:r>
    </w:p>
    <w:p w14:paraId="43C06530" w14:textId="77777777" w:rsidR="0084489F" w:rsidRDefault="00110FE6">
      <w:pPr>
        <w:pStyle w:val="FirstParagraph"/>
      </w:pPr>
      <w:r>
        <w:rPr>
          <w:b/>
          <w:bCs/>
        </w:rPr>
        <w:t>Logique</w:t>
      </w:r>
    </w:p>
    <w:p w14:paraId="46F6ACEB" w14:textId="77777777" w:rsidR="0084489F" w:rsidRDefault="00110FE6">
      <w:pPr>
        <w:pStyle w:val="BodyText"/>
      </w:pPr>
      <w:r w:rsidRPr="1B9E7434">
        <w:rPr>
          <w:lang w:val="fr-FR"/>
        </w:rPr>
        <w:t>P30(x,y) ⇒ E10(x)</w:t>
      </w:r>
    </w:p>
    <w:p w14:paraId="00547BFB" w14:textId="77777777" w:rsidR="0084489F" w:rsidRDefault="00110FE6">
      <w:pPr>
        <w:pStyle w:val="BodyText"/>
      </w:pPr>
      <w:r w:rsidRPr="1B9E7434">
        <w:rPr>
          <w:lang w:val="fr-FR"/>
        </w:rPr>
        <w:t>P30(x,y) ⇒ E18(y)</w:t>
      </w:r>
    </w:p>
    <w:p w14:paraId="44250009" w14:textId="77777777" w:rsidR="0084489F" w:rsidRDefault="00110FE6">
      <w:pPr>
        <w:pStyle w:val="BodyText"/>
      </w:pPr>
      <w:r>
        <w:rPr>
          <w:b/>
          <w:bCs/>
        </w:rPr>
        <w:t>Propriétés</w:t>
      </w:r>
    </w:p>
    <w:p w14:paraId="5A7F276B" w14:textId="77777777" w:rsidR="0084489F" w:rsidRDefault="00110FE6">
      <w:pPr>
        <w:pStyle w:val="BlockText"/>
      </w:pPr>
      <w:r>
        <w:rPr>
          <w:b/>
          <w:bCs/>
          <w:i/>
          <w:iCs/>
        </w:rPr>
        <w:t>Note de traduction</w:t>
      </w:r>
    </w:p>
    <w:p w14:paraId="5B182D67" w14:textId="77777777" w:rsidR="0084489F" w:rsidRDefault="00110FE6">
      <w:pPr>
        <w:pStyle w:val="BlockText"/>
        <w:rPr>
          <w:b/>
          <w:bCs/>
          <w:i/>
          <w:iCs/>
        </w:rPr>
      </w:pPr>
      <w:r>
        <w:rPr>
          <w:b/>
          <w:bCs/>
          <w:i/>
          <w:iCs/>
        </w:rPr>
        <w:t>Références</w:t>
      </w:r>
    </w:p>
    <w:p w14:paraId="2A4DA5BB" w14:textId="77777777" w:rsidR="008D6B6D" w:rsidRPr="008D6B6D" w:rsidRDefault="008D6B6D" w:rsidP="008D6B6D">
      <w:pPr>
        <w:pStyle w:val="BodyText"/>
      </w:pPr>
    </w:p>
    <w:p w14:paraId="4992BA15" w14:textId="77777777" w:rsidR="0084489F" w:rsidRDefault="00110FE6">
      <w:pPr>
        <w:pStyle w:val="Heading2"/>
      </w:pPr>
      <w:bookmarkStart w:id="330" w:name="_Toc176864545"/>
      <w:bookmarkStart w:id="331" w:name="p31-a-modifie-(a-ete-modifie-par)"/>
      <w:bookmarkEnd w:id="329"/>
      <w:r>
        <w:t>P31 a modifié (a été modifié par)</w:t>
      </w:r>
      <w:bookmarkEnd w:id="330"/>
    </w:p>
    <w:p w14:paraId="1CF9A686" w14:textId="77777777" w:rsidR="0084489F" w:rsidRDefault="00110FE6">
      <w:pPr>
        <w:pStyle w:val="FirstParagraph"/>
      </w:pPr>
      <w:r>
        <w:rPr>
          <w:b/>
          <w:bCs/>
        </w:rPr>
        <w:t>Domaine</w:t>
      </w:r>
    </w:p>
    <w:p w14:paraId="307635ED" w14:textId="77777777" w:rsidR="0084489F" w:rsidRDefault="00110FE6">
      <w:pPr>
        <w:pStyle w:val="BodyText"/>
      </w:pPr>
      <w:r>
        <w:rPr>
          <w:rStyle w:val="VerbatimChar"/>
        </w:rPr>
        <w:t>E11_Modification</w:t>
      </w:r>
    </w:p>
    <w:p w14:paraId="41FF975E" w14:textId="77777777" w:rsidR="0084489F" w:rsidRDefault="00110FE6">
      <w:pPr>
        <w:pStyle w:val="BodyText"/>
      </w:pPr>
      <w:r>
        <w:rPr>
          <w:b/>
          <w:bCs/>
        </w:rPr>
        <w:lastRenderedPageBreak/>
        <w:t>Portée</w:t>
      </w:r>
    </w:p>
    <w:p w14:paraId="055EDBED" w14:textId="77777777" w:rsidR="0084489F" w:rsidRDefault="00110FE6">
      <w:pPr>
        <w:pStyle w:val="BodyText"/>
      </w:pPr>
      <w:r>
        <w:rPr>
          <w:rStyle w:val="VerbatimChar"/>
        </w:rPr>
        <w:t>E18_Chose_matérielle</w:t>
      </w:r>
    </w:p>
    <w:p w14:paraId="2327C05B" w14:textId="77777777" w:rsidR="0084489F" w:rsidRDefault="00110FE6">
      <w:pPr>
        <w:pStyle w:val="BodyText"/>
      </w:pPr>
      <w:r>
        <w:rPr>
          <w:b/>
          <w:bCs/>
        </w:rPr>
        <w:t>Sous-propriété de</w:t>
      </w:r>
    </w:p>
    <w:p w14:paraId="470B31CF"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P12_a_eu_lieu_en_présence_de (a_été_présent_à)</w:t>
      </w:r>
      <w:r w:rsidRPr="1B9E7434">
        <w:rPr>
          <w:lang w:val="fr-FR"/>
        </w:rPr>
        <w:t xml:space="preserve"> : </w:t>
      </w:r>
      <w:r w:rsidRPr="1B9E7434">
        <w:rPr>
          <w:rStyle w:val="VerbatimChar"/>
          <w:lang w:val="fr-FR"/>
        </w:rPr>
        <w:t>E77_Entité_persistante</w:t>
      </w:r>
    </w:p>
    <w:p w14:paraId="1382A85F" w14:textId="77777777" w:rsidR="0084489F" w:rsidRDefault="00110FE6">
      <w:pPr>
        <w:pStyle w:val="BodyText"/>
      </w:pPr>
      <w:r>
        <w:rPr>
          <w:b/>
          <w:bCs/>
        </w:rPr>
        <w:t>Super-propriété de</w:t>
      </w:r>
    </w:p>
    <w:p w14:paraId="1681F3A5" w14:textId="77777777" w:rsidR="0084489F" w:rsidRDefault="00110FE6">
      <w:pPr>
        <w:pStyle w:val="BodyText"/>
      </w:pPr>
      <w:r w:rsidRPr="1B9E7434">
        <w:rPr>
          <w:rStyle w:val="VerbatimChar"/>
          <w:lang w:val="fr-FR"/>
        </w:rPr>
        <w:t>E12_Production</w:t>
      </w:r>
      <w:r w:rsidRPr="1B9E7434">
        <w:rPr>
          <w:lang w:val="fr-FR"/>
        </w:rPr>
        <w:t xml:space="preserve">. </w:t>
      </w:r>
      <w:r w:rsidRPr="1B9E7434">
        <w:rPr>
          <w:rStyle w:val="VerbatimChar"/>
          <w:lang w:val="fr-FR"/>
        </w:rPr>
        <w:t>P108_a_produit (a_été_produit_par)</w:t>
      </w:r>
      <w:r w:rsidRPr="1B9E7434">
        <w:rPr>
          <w:lang w:val="fr-FR"/>
        </w:rPr>
        <w:t xml:space="preserve"> : </w:t>
      </w:r>
      <w:r w:rsidRPr="1B9E7434">
        <w:rPr>
          <w:rStyle w:val="VerbatimChar"/>
          <w:lang w:val="fr-FR"/>
        </w:rPr>
        <w:t>E24_Chose_matérielle_élaborée_par_l’humain</w:t>
      </w:r>
    </w:p>
    <w:p w14:paraId="126CBE16" w14:textId="77777777" w:rsidR="0084489F" w:rsidRDefault="00110FE6">
      <w:pPr>
        <w:pStyle w:val="BodyText"/>
      </w:pPr>
      <w:r w:rsidRPr="1B9E7434">
        <w:rPr>
          <w:rStyle w:val="VerbatimChar"/>
          <w:lang w:val="fr-FR"/>
        </w:rPr>
        <w:t>E79_Ajout_d’élément</w:t>
      </w:r>
      <w:r w:rsidRPr="1B9E7434">
        <w:rPr>
          <w:lang w:val="fr-FR"/>
        </w:rPr>
        <w:t xml:space="preserve">. </w:t>
      </w:r>
      <w:r w:rsidRPr="1B9E7434">
        <w:rPr>
          <w:rStyle w:val="VerbatimChar"/>
          <w:lang w:val="fr-FR"/>
        </w:rPr>
        <w:t>P110_a_augmenté (a_été_augmenté_par)</w:t>
      </w:r>
      <w:r w:rsidRPr="1B9E7434">
        <w:rPr>
          <w:lang w:val="fr-FR"/>
        </w:rPr>
        <w:t xml:space="preserve"> : </w:t>
      </w:r>
      <w:r w:rsidRPr="1B9E7434">
        <w:rPr>
          <w:rStyle w:val="VerbatimChar"/>
          <w:lang w:val="fr-FR"/>
        </w:rPr>
        <w:t>E18_Chose_matérielle</w:t>
      </w:r>
    </w:p>
    <w:p w14:paraId="70C50DDB" w14:textId="77777777" w:rsidR="0084489F" w:rsidRDefault="00110FE6">
      <w:pPr>
        <w:pStyle w:val="BodyText"/>
      </w:pPr>
      <w:r w:rsidRPr="1B9E7434">
        <w:rPr>
          <w:rStyle w:val="VerbatimChar"/>
          <w:lang w:val="fr-FR"/>
        </w:rPr>
        <w:t>E80_Retrait_d’élément</w:t>
      </w:r>
      <w:r w:rsidRPr="1B9E7434">
        <w:rPr>
          <w:lang w:val="fr-FR"/>
        </w:rPr>
        <w:t xml:space="preserve">. </w:t>
      </w:r>
      <w:r w:rsidRPr="1B9E7434">
        <w:rPr>
          <w:rStyle w:val="VerbatimChar"/>
          <w:lang w:val="fr-FR"/>
        </w:rPr>
        <w:t>P112_a_diminué (a_été_diminué_par)</w:t>
      </w:r>
      <w:r w:rsidRPr="1B9E7434">
        <w:rPr>
          <w:lang w:val="fr-FR"/>
        </w:rPr>
        <w:t xml:space="preserve"> : </w:t>
      </w:r>
      <w:r w:rsidRPr="1B9E7434">
        <w:rPr>
          <w:rStyle w:val="VerbatimChar"/>
          <w:lang w:val="fr-FR"/>
        </w:rPr>
        <w:t>E18_Chose_matérielle</w:t>
      </w:r>
    </w:p>
    <w:p w14:paraId="52B18FC8" w14:textId="77777777" w:rsidR="0084489F" w:rsidRDefault="00110FE6">
      <w:pPr>
        <w:pStyle w:val="BodyText"/>
      </w:pPr>
      <w:r>
        <w:rPr>
          <w:b/>
          <w:bCs/>
        </w:rPr>
        <w:t>Quantification</w:t>
      </w:r>
    </w:p>
    <w:p w14:paraId="00E5C400" w14:textId="77777777" w:rsidR="0084489F" w:rsidRDefault="00110FE6">
      <w:pPr>
        <w:pStyle w:val="BodyText"/>
      </w:pPr>
      <w:r w:rsidRPr="1B9E7434">
        <w:rPr>
          <w:lang w:val="fr-FR"/>
        </w:rPr>
        <w:t>plusieurs à plusieurs, nécessaire (1,n:0,n)</w:t>
      </w:r>
    </w:p>
    <w:p w14:paraId="099CED66" w14:textId="77777777" w:rsidR="0084489F" w:rsidRDefault="00110FE6" w:rsidP="008D6B6D">
      <w:pPr>
        <w:pStyle w:val="BodyText"/>
        <w:keepNext/>
      </w:pPr>
      <w:r>
        <w:rPr>
          <w:b/>
          <w:bCs/>
        </w:rPr>
        <w:t>Note d’application</w:t>
      </w:r>
    </w:p>
    <w:p w14:paraId="644C1AC6" w14:textId="77777777" w:rsidR="0084489F" w:rsidRDefault="00110FE6" w:rsidP="008D6B6D">
      <w:pPr>
        <w:pStyle w:val="BodyText"/>
        <w:keepNext/>
      </w:pPr>
      <w:r>
        <w:t xml:space="preserve">Cette propriété identifie l'instance de </w:t>
      </w:r>
      <w:r>
        <w:rPr>
          <w:rStyle w:val="VerbatimChar"/>
        </w:rPr>
        <w:t>E18_Chose_matérielle</w:t>
      </w:r>
      <w:r>
        <w:t xml:space="preserve"> modifiée dans le cadre d'une instance de </w:t>
      </w:r>
      <w:r>
        <w:rPr>
          <w:rStyle w:val="VerbatimChar"/>
        </w:rPr>
        <w:t>E11_Modification</w:t>
      </w:r>
      <w:r>
        <w:t>.</w:t>
      </w:r>
    </w:p>
    <w:p w14:paraId="56AC1687" w14:textId="77777777" w:rsidR="0084489F" w:rsidRDefault="00110FE6">
      <w:pPr>
        <w:pStyle w:val="BodyText"/>
      </w:pPr>
      <w:r>
        <w:rPr>
          <w:b/>
          <w:bCs/>
        </w:rPr>
        <w:t>Exemples</w:t>
      </w:r>
    </w:p>
    <w:p w14:paraId="22E90D1D" w14:textId="77777777" w:rsidR="0084489F" w:rsidRDefault="00110FE6" w:rsidP="00806324">
      <w:pPr>
        <w:numPr>
          <w:ilvl w:val="0"/>
          <w:numId w:val="167"/>
        </w:numPr>
      </w:pPr>
      <w:r>
        <w:t>La reconstruction du Reichstag (</w:t>
      </w:r>
      <w:r>
        <w:rPr>
          <w:rStyle w:val="VerbatimChar"/>
        </w:rPr>
        <w:t>E11_Modification</w:t>
      </w:r>
      <w:r>
        <w:t>) a modifié (</w:t>
      </w:r>
      <w:r>
        <w:rPr>
          <w:rStyle w:val="VerbatimChar"/>
        </w:rPr>
        <w:t>P31_a_modifié</w:t>
      </w:r>
      <w:r>
        <w:t>) le Reichstag, situé à Berlin (</w:t>
      </w:r>
      <w:r>
        <w:rPr>
          <w:rStyle w:val="VerbatimChar"/>
        </w:rPr>
        <w:t>E24_Chose_matérielle_élaborée_par_l’humain</w:t>
      </w:r>
      <w:r>
        <w:t>) (Foster, 2000)</w:t>
      </w:r>
    </w:p>
    <w:p w14:paraId="61A8E3BB" w14:textId="77777777" w:rsidR="0084489F" w:rsidRDefault="00110FE6">
      <w:pPr>
        <w:pStyle w:val="FirstParagraph"/>
      </w:pPr>
      <w:r>
        <w:rPr>
          <w:b/>
          <w:bCs/>
        </w:rPr>
        <w:t>Logique</w:t>
      </w:r>
    </w:p>
    <w:p w14:paraId="273560BD" w14:textId="77777777" w:rsidR="0084489F" w:rsidRDefault="00110FE6">
      <w:pPr>
        <w:pStyle w:val="BodyText"/>
      </w:pPr>
      <w:r w:rsidRPr="1B9E7434">
        <w:rPr>
          <w:lang w:val="fr-FR"/>
        </w:rPr>
        <w:t>P31(x,y) ⇒ E11(x)</w:t>
      </w:r>
    </w:p>
    <w:p w14:paraId="45CD0A67" w14:textId="77777777" w:rsidR="0084489F" w:rsidRDefault="00110FE6">
      <w:pPr>
        <w:pStyle w:val="BodyText"/>
      </w:pPr>
      <w:r w:rsidRPr="1B9E7434">
        <w:rPr>
          <w:lang w:val="fr-FR"/>
        </w:rPr>
        <w:t>P31(x,y) ⇒ E18(y)</w:t>
      </w:r>
    </w:p>
    <w:p w14:paraId="6614DFCA" w14:textId="77777777" w:rsidR="0084489F" w:rsidRDefault="00110FE6">
      <w:pPr>
        <w:pStyle w:val="BodyText"/>
      </w:pPr>
      <w:r w:rsidRPr="1B9E7434">
        <w:rPr>
          <w:lang w:val="fr-FR"/>
        </w:rPr>
        <w:t>P31(x,y) ⇒ P12(x,y)</w:t>
      </w:r>
    </w:p>
    <w:p w14:paraId="49DA486F" w14:textId="77777777" w:rsidR="0084489F" w:rsidRDefault="00110FE6">
      <w:pPr>
        <w:pStyle w:val="BodyText"/>
      </w:pPr>
      <w:r>
        <w:rPr>
          <w:b/>
          <w:bCs/>
        </w:rPr>
        <w:t>Propriétés</w:t>
      </w:r>
    </w:p>
    <w:p w14:paraId="5619B46C" w14:textId="77777777" w:rsidR="0084489F" w:rsidRDefault="00110FE6">
      <w:pPr>
        <w:pStyle w:val="BlockText"/>
      </w:pPr>
      <w:r>
        <w:rPr>
          <w:b/>
          <w:bCs/>
          <w:i/>
          <w:iCs/>
        </w:rPr>
        <w:t>Note de traduction</w:t>
      </w:r>
    </w:p>
    <w:p w14:paraId="332B74DE" w14:textId="77777777" w:rsidR="0084489F" w:rsidRDefault="00110FE6">
      <w:pPr>
        <w:pStyle w:val="BlockText"/>
      </w:pPr>
      <w:r>
        <w:rPr>
          <w:b/>
          <w:bCs/>
          <w:i/>
          <w:iCs/>
        </w:rPr>
        <w:t>Références</w:t>
      </w:r>
    </w:p>
    <w:p w14:paraId="252F3620" w14:textId="77777777" w:rsidR="0084489F" w:rsidRDefault="0084489F">
      <w:pPr>
        <w:pStyle w:val="BlockText"/>
      </w:pPr>
    </w:p>
    <w:p w14:paraId="1F3C3C6C" w14:textId="77777777" w:rsidR="0084489F" w:rsidRDefault="00110FE6">
      <w:pPr>
        <w:pStyle w:val="Heading2"/>
      </w:pPr>
      <w:bookmarkStart w:id="332" w:name="_Toc176864546"/>
      <w:bookmarkStart w:id="333" w:name="X3acda5997f8a32d96201f007501c9690b30d321"/>
      <w:bookmarkEnd w:id="331"/>
      <w:r>
        <w:t>P32 a mobilisé comme technique générale (a été la technique générale mise en œuvre dans)</w:t>
      </w:r>
      <w:bookmarkEnd w:id="332"/>
    </w:p>
    <w:p w14:paraId="64E6CA0F" w14:textId="77777777" w:rsidR="0084489F" w:rsidRDefault="00110FE6">
      <w:pPr>
        <w:pStyle w:val="FirstParagraph"/>
      </w:pPr>
      <w:r>
        <w:rPr>
          <w:b/>
          <w:bCs/>
        </w:rPr>
        <w:t>Domaine</w:t>
      </w:r>
    </w:p>
    <w:p w14:paraId="04E27E97" w14:textId="77777777" w:rsidR="0084489F" w:rsidRDefault="00110FE6">
      <w:pPr>
        <w:pStyle w:val="BodyText"/>
      </w:pPr>
      <w:r>
        <w:rPr>
          <w:rStyle w:val="VerbatimChar"/>
        </w:rPr>
        <w:t>E7_Activité</w:t>
      </w:r>
    </w:p>
    <w:p w14:paraId="001F11DE" w14:textId="77777777" w:rsidR="0084489F" w:rsidRDefault="00110FE6">
      <w:pPr>
        <w:pStyle w:val="BodyText"/>
      </w:pPr>
      <w:r>
        <w:rPr>
          <w:b/>
          <w:bCs/>
        </w:rPr>
        <w:t>Portée</w:t>
      </w:r>
    </w:p>
    <w:p w14:paraId="42FD2F2A" w14:textId="77777777" w:rsidR="0084489F" w:rsidRDefault="00110FE6">
      <w:pPr>
        <w:pStyle w:val="BodyText"/>
      </w:pPr>
      <w:r>
        <w:rPr>
          <w:rStyle w:val="VerbatimChar"/>
        </w:rPr>
        <w:t>E55_Type</w:t>
      </w:r>
    </w:p>
    <w:p w14:paraId="06073CF9" w14:textId="77777777" w:rsidR="0084489F" w:rsidRDefault="00110FE6">
      <w:pPr>
        <w:pStyle w:val="BodyText"/>
      </w:pPr>
      <w:r>
        <w:rPr>
          <w:b/>
          <w:bCs/>
        </w:rPr>
        <w:t>Sous-propriété de</w:t>
      </w:r>
    </w:p>
    <w:p w14:paraId="5EBACEBB"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P125_a_mobilisé_l'objet_du_type (a_été_le_type_d’objet_employé_pour)</w:t>
      </w:r>
      <w:r w:rsidRPr="1B9E7434">
        <w:rPr>
          <w:lang w:val="fr-FR"/>
        </w:rPr>
        <w:t xml:space="preserve"> : </w:t>
      </w:r>
      <w:r w:rsidRPr="1B9E7434">
        <w:rPr>
          <w:rStyle w:val="VerbatimChar"/>
          <w:lang w:val="fr-FR"/>
        </w:rPr>
        <w:t>E55_Type</w:t>
      </w:r>
    </w:p>
    <w:p w14:paraId="3F99D791" w14:textId="77777777" w:rsidR="0084489F" w:rsidRDefault="00110FE6">
      <w:pPr>
        <w:pStyle w:val="BodyText"/>
      </w:pPr>
      <w:r>
        <w:rPr>
          <w:b/>
          <w:bCs/>
        </w:rPr>
        <w:lastRenderedPageBreak/>
        <w:t>Super-propriété de</w:t>
      </w:r>
    </w:p>
    <w:p w14:paraId="0BEFA447" w14:textId="77777777" w:rsidR="0084489F" w:rsidRDefault="00110FE6">
      <w:pPr>
        <w:pStyle w:val="BodyText"/>
      </w:pPr>
      <w:r>
        <w:rPr>
          <w:b/>
          <w:bCs/>
        </w:rPr>
        <w:t>Quantification</w:t>
      </w:r>
    </w:p>
    <w:p w14:paraId="037E0007" w14:textId="77777777" w:rsidR="0084489F" w:rsidRDefault="00110FE6">
      <w:pPr>
        <w:pStyle w:val="BodyText"/>
      </w:pPr>
      <w:r w:rsidRPr="1B9E7434">
        <w:rPr>
          <w:lang w:val="fr-FR"/>
        </w:rPr>
        <w:t>plusieurs à plusieurs (0,n:0,n)</w:t>
      </w:r>
    </w:p>
    <w:p w14:paraId="13D3C3EB" w14:textId="77777777" w:rsidR="0084489F" w:rsidRDefault="00110FE6">
      <w:pPr>
        <w:pStyle w:val="BodyText"/>
      </w:pPr>
      <w:r>
        <w:rPr>
          <w:b/>
          <w:bCs/>
        </w:rPr>
        <w:t>Note d’application</w:t>
      </w:r>
    </w:p>
    <w:p w14:paraId="3E0FCAC4" w14:textId="77777777" w:rsidR="0084489F" w:rsidRDefault="00110FE6">
      <w:pPr>
        <w:pStyle w:val="BodyText"/>
      </w:pPr>
      <w:r>
        <w:t xml:space="preserve">Cette propriété identifie la technique ou la méthode qui, modélisée comme instance de </w:t>
      </w:r>
      <w:r>
        <w:rPr>
          <w:rStyle w:val="VerbatimChar"/>
        </w:rPr>
        <w:t>E55_Type</w:t>
      </w:r>
      <w:r>
        <w:t xml:space="preserve">, a été mise en œuvre dans une instance de </w:t>
      </w:r>
      <w:r>
        <w:rPr>
          <w:rStyle w:val="VerbatimChar"/>
        </w:rPr>
        <w:t>E7_Activité</w:t>
      </w:r>
      <w:r>
        <w:t>.</w:t>
      </w:r>
    </w:p>
    <w:p w14:paraId="7EE2841C" w14:textId="77777777" w:rsidR="0084489F" w:rsidRDefault="00110FE6">
      <w:pPr>
        <w:pStyle w:val="BodyText"/>
      </w:pPr>
      <w:r>
        <w:t xml:space="preserve">Ces techniques doivent être tirées d’une hiérarchie de </w:t>
      </w:r>
      <w:r>
        <w:rPr>
          <w:rStyle w:val="VerbatimChar"/>
        </w:rPr>
        <w:t>E55_Type</w:t>
      </w:r>
      <w:r>
        <w:t xml:space="preserve"> externe, laquelle consiste en une terminologie cohérente de techniques ou de méthodes générales telles que la broderie, la peinture à l’huile, la datation au carbone, etc. Les techniques spécifiques et documentées doivent être décrites comme des instances de </w:t>
      </w:r>
      <w:r>
        <w:rPr>
          <w:rStyle w:val="VerbatimChar"/>
        </w:rPr>
        <w:t>E29_Conceptualisation_ou_procédure</w:t>
      </w:r>
      <w:r>
        <w:t>.</w:t>
      </w:r>
    </w:p>
    <w:p w14:paraId="52F32E3E" w14:textId="77777777" w:rsidR="0084489F" w:rsidRDefault="00110FE6" w:rsidP="008D6B6D">
      <w:pPr>
        <w:pStyle w:val="BodyText"/>
        <w:keepNext/>
      </w:pPr>
      <w:r>
        <w:rPr>
          <w:b/>
          <w:bCs/>
        </w:rPr>
        <w:t>Exemples</w:t>
      </w:r>
    </w:p>
    <w:p w14:paraId="5641D4F7" w14:textId="77777777" w:rsidR="0084489F" w:rsidRDefault="00110FE6" w:rsidP="00806324">
      <w:pPr>
        <w:keepNext/>
        <w:numPr>
          <w:ilvl w:val="0"/>
          <w:numId w:val="168"/>
        </w:numPr>
      </w:pPr>
      <w:r>
        <w:t>L’ornementation de la coupe en argent « 113 » (</w:t>
      </w:r>
      <w:r>
        <w:rPr>
          <w:rStyle w:val="VerbatimChar"/>
        </w:rPr>
        <w:t>E11_Modification</w:t>
      </w:r>
      <w:r>
        <w:t>) a mobilisé comme technique générale (</w:t>
      </w:r>
      <w:r>
        <w:rPr>
          <w:rStyle w:val="VerbatimChar"/>
        </w:rPr>
        <w:t>P32_a_mobilisé_comme_technique_générale)</w:t>
      </w:r>
      <w:r>
        <w:t xml:space="preserve"> la dorure (</w:t>
      </w:r>
      <w:r>
        <w:rPr>
          <w:rStyle w:val="VerbatimChar"/>
        </w:rPr>
        <w:t>E55_Type</w:t>
      </w:r>
      <w:r>
        <w:t>) [un type de conceptualisation ou procédure] (fictif)</w:t>
      </w:r>
    </w:p>
    <w:p w14:paraId="3693FCC5" w14:textId="77777777" w:rsidR="0084489F" w:rsidRDefault="00110FE6">
      <w:pPr>
        <w:pStyle w:val="FirstParagraph"/>
      </w:pPr>
      <w:r>
        <w:rPr>
          <w:b/>
          <w:bCs/>
        </w:rPr>
        <w:t>Logique</w:t>
      </w:r>
    </w:p>
    <w:p w14:paraId="6654E0C3" w14:textId="77777777" w:rsidR="0084489F" w:rsidRDefault="00110FE6">
      <w:pPr>
        <w:pStyle w:val="BodyText"/>
      </w:pPr>
      <w:r w:rsidRPr="1B9E7434">
        <w:rPr>
          <w:lang w:val="fr-FR"/>
        </w:rPr>
        <w:t>P32(x,y) ⇒ E7(x)</w:t>
      </w:r>
    </w:p>
    <w:p w14:paraId="613F98D1" w14:textId="77777777" w:rsidR="0084489F" w:rsidRDefault="00110FE6">
      <w:pPr>
        <w:pStyle w:val="BodyText"/>
      </w:pPr>
      <w:r w:rsidRPr="1B9E7434">
        <w:rPr>
          <w:lang w:val="fr-FR"/>
        </w:rPr>
        <w:t>P32(x,y) ⇒ E55(y)</w:t>
      </w:r>
    </w:p>
    <w:p w14:paraId="5FD66D0E" w14:textId="77777777" w:rsidR="0084489F" w:rsidRDefault="00110FE6">
      <w:pPr>
        <w:pStyle w:val="BodyText"/>
      </w:pPr>
      <w:r w:rsidRPr="1B9E7434">
        <w:rPr>
          <w:lang w:val="fr-FR"/>
        </w:rPr>
        <w:t>P32(x,y) ⇒ P125(x,y)</w:t>
      </w:r>
    </w:p>
    <w:p w14:paraId="402297D7" w14:textId="77777777" w:rsidR="0084489F" w:rsidRDefault="00110FE6">
      <w:pPr>
        <w:pStyle w:val="BodyText"/>
      </w:pPr>
      <w:r>
        <w:rPr>
          <w:b/>
          <w:bCs/>
        </w:rPr>
        <w:t>Propriétés</w:t>
      </w:r>
    </w:p>
    <w:p w14:paraId="0A27E036" w14:textId="77777777" w:rsidR="0084489F" w:rsidRDefault="00110FE6">
      <w:pPr>
        <w:pStyle w:val="BlockText"/>
      </w:pPr>
      <w:r>
        <w:rPr>
          <w:b/>
          <w:bCs/>
          <w:i/>
          <w:iCs/>
        </w:rPr>
        <w:t>Note de traduction</w:t>
      </w:r>
    </w:p>
    <w:p w14:paraId="36D12792" w14:textId="77777777" w:rsidR="0084489F" w:rsidRDefault="00110FE6">
      <w:pPr>
        <w:pStyle w:val="BlockText"/>
      </w:pPr>
      <w:r>
        <w:rPr>
          <w:b/>
          <w:bCs/>
          <w:i/>
          <w:iCs/>
        </w:rPr>
        <w:t>Références</w:t>
      </w:r>
    </w:p>
    <w:p w14:paraId="10E7EF79" w14:textId="77777777" w:rsidR="0084489F" w:rsidRDefault="0084489F">
      <w:pPr>
        <w:pStyle w:val="BlockText"/>
      </w:pPr>
    </w:p>
    <w:p w14:paraId="2CDAA9DC" w14:textId="77777777" w:rsidR="0084489F" w:rsidRDefault="00110FE6">
      <w:pPr>
        <w:pStyle w:val="Heading2"/>
      </w:pPr>
      <w:bookmarkStart w:id="334" w:name="_Toc176864547"/>
      <w:bookmarkStart w:id="335" w:name="X37b1de6e44d0d2a3d156af00f9b3fca212eace7"/>
      <w:bookmarkEnd w:id="333"/>
      <w:r>
        <w:t>P33 a mobilisé comme technique spécifique (a été la technique spécifique mise en œuvre dans)</w:t>
      </w:r>
      <w:bookmarkEnd w:id="334"/>
    </w:p>
    <w:p w14:paraId="5BB3198A" w14:textId="77777777" w:rsidR="0084489F" w:rsidRDefault="00110FE6">
      <w:pPr>
        <w:pStyle w:val="FirstParagraph"/>
      </w:pPr>
      <w:r>
        <w:rPr>
          <w:b/>
          <w:bCs/>
        </w:rPr>
        <w:t>Domaine</w:t>
      </w:r>
    </w:p>
    <w:p w14:paraId="00E79AF4" w14:textId="77777777" w:rsidR="0084489F" w:rsidRDefault="00110FE6">
      <w:pPr>
        <w:pStyle w:val="BodyText"/>
      </w:pPr>
      <w:r>
        <w:rPr>
          <w:rStyle w:val="VerbatimChar"/>
        </w:rPr>
        <w:t>E7_Activité</w:t>
      </w:r>
    </w:p>
    <w:p w14:paraId="5030319F" w14:textId="77777777" w:rsidR="0084489F" w:rsidRDefault="00110FE6">
      <w:pPr>
        <w:pStyle w:val="BodyText"/>
      </w:pPr>
      <w:r>
        <w:rPr>
          <w:b/>
          <w:bCs/>
        </w:rPr>
        <w:t>Portée</w:t>
      </w:r>
    </w:p>
    <w:p w14:paraId="63EC7654" w14:textId="77777777" w:rsidR="0084489F" w:rsidRDefault="00110FE6">
      <w:pPr>
        <w:pStyle w:val="BodyText"/>
      </w:pPr>
      <w:r>
        <w:rPr>
          <w:rStyle w:val="VerbatimChar"/>
        </w:rPr>
        <w:t>E29_Conceptualisation_ou_procédure</w:t>
      </w:r>
    </w:p>
    <w:p w14:paraId="01846A75" w14:textId="77777777" w:rsidR="0084489F" w:rsidRDefault="00110FE6">
      <w:pPr>
        <w:pStyle w:val="BodyText"/>
      </w:pPr>
      <w:r>
        <w:rPr>
          <w:b/>
          <w:bCs/>
        </w:rPr>
        <w:t>Sous-propriété de</w:t>
      </w:r>
    </w:p>
    <w:p w14:paraId="4FF4BA3C"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P16_a_mobilisé_l’objet_spécifique (a_été_mobilisé_pour)</w:t>
      </w:r>
      <w:r w:rsidRPr="1B9E7434">
        <w:rPr>
          <w:lang w:val="fr-FR"/>
        </w:rPr>
        <w:t xml:space="preserve"> : </w:t>
      </w:r>
      <w:r w:rsidRPr="1B9E7434">
        <w:rPr>
          <w:rStyle w:val="VerbatimChar"/>
          <w:lang w:val="fr-FR"/>
        </w:rPr>
        <w:t>E70_Chose</w:t>
      </w:r>
    </w:p>
    <w:p w14:paraId="7A995E52" w14:textId="77777777" w:rsidR="0084489F" w:rsidRDefault="00110FE6">
      <w:pPr>
        <w:pStyle w:val="BodyText"/>
      </w:pPr>
      <w:r>
        <w:rPr>
          <w:b/>
          <w:bCs/>
        </w:rPr>
        <w:t>Super-propriété de</w:t>
      </w:r>
    </w:p>
    <w:p w14:paraId="68C462E0" w14:textId="77777777" w:rsidR="0084489F" w:rsidRDefault="00110FE6">
      <w:pPr>
        <w:pStyle w:val="BodyText"/>
      </w:pPr>
      <w:r>
        <w:rPr>
          <w:b/>
          <w:bCs/>
        </w:rPr>
        <w:t>Quantification</w:t>
      </w:r>
    </w:p>
    <w:p w14:paraId="51122B94" w14:textId="77777777" w:rsidR="0084489F" w:rsidRDefault="00110FE6">
      <w:pPr>
        <w:pStyle w:val="BodyText"/>
      </w:pPr>
      <w:r w:rsidRPr="1B9E7434">
        <w:rPr>
          <w:lang w:val="fr-FR"/>
        </w:rPr>
        <w:t>plusieurs à plusieurs (0,n:0,n)</w:t>
      </w:r>
    </w:p>
    <w:p w14:paraId="411E9E70" w14:textId="77777777" w:rsidR="0084489F" w:rsidRDefault="00110FE6" w:rsidP="00F361B3">
      <w:pPr>
        <w:pStyle w:val="BodyText"/>
        <w:keepNext/>
      </w:pPr>
      <w:r>
        <w:rPr>
          <w:b/>
          <w:bCs/>
        </w:rPr>
        <w:lastRenderedPageBreak/>
        <w:t>Note d’application</w:t>
      </w:r>
    </w:p>
    <w:p w14:paraId="4EB10814" w14:textId="77777777" w:rsidR="0084489F" w:rsidRDefault="00110FE6" w:rsidP="00F361B3">
      <w:pPr>
        <w:pStyle w:val="BodyText"/>
        <w:keepNext/>
      </w:pPr>
      <w:r>
        <w:t xml:space="preserve">Cette propriété identifie une instance spécifique de </w:t>
      </w:r>
      <w:r>
        <w:rPr>
          <w:rStyle w:val="VerbatimChar"/>
        </w:rPr>
        <w:t>E29_Conceptualisation_ou_procédure</w:t>
      </w:r>
      <w:r>
        <w:t xml:space="preserve"> afin de mener à bien une instance de </w:t>
      </w:r>
      <w:r>
        <w:rPr>
          <w:rStyle w:val="VerbatimChar"/>
        </w:rPr>
        <w:t>E7_Activité</w:t>
      </w:r>
      <w:r>
        <w:t xml:space="preserve"> ou des parties de cette instance.</w:t>
      </w:r>
    </w:p>
    <w:p w14:paraId="788FB57D" w14:textId="77777777" w:rsidR="0084489F" w:rsidRDefault="00110FE6">
      <w:pPr>
        <w:pStyle w:val="BodyText"/>
      </w:pPr>
      <w:r w:rsidRPr="1B9E7434">
        <w:rPr>
          <w:lang w:val="fr-FR"/>
        </w:rPr>
        <w:t xml:space="preserve">Cette propriété se distingue de </w:t>
      </w:r>
      <w:r w:rsidRPr="1B9E7434">
        <w:rPr>
          <w:rStyle w:val="VerbatimChar"/>
          <w:lang w:val="fr-FR"/>
        </w:rPr>
        <w:t>P32_a_mobilisé_comme_technique_générale (a_été_la_technique_générale_mise_en_œuvre_dans)</w:t>
      </w:r>
      <w:r w:rsidRPr="1B9E7434">
        <w:rPr>
          <w:lang w:val="fr-FR"/>
        </w:rPr>
        <w:t xml:space="preserve"> par le fait qu’elle se réfère à une instance de </w:t>
      </w:r>
      <w:r w:rsidRPr="1B9E7434">
        <w:rPr>
          <w:rStyle w:val="VerbatimChar"/>
          <w:lang w:val="fr-FR"/>
        </w:rPr>
        <w:t>E29_Conceptualisation_ou_procédure</w:t>
      </w:r>
      <w:r w:rsidRPr="1B9E7434">
        <w:rPr>
          <w:lang w:val="fr-FR"/>
        </w:rPr>
        <w:t xml:space="preserve">. Cette dernière est un objet informationnel concret plutôt qu’un simple terme ou qu’une méthode rapportée par la tradition. Des exemples typiques d’instances de </w:t>
      </w:r>
      <w:r w:rsidRPr="1B9E7434">
        <w:rPr>
          <w:rStyle w:val="VerbatimChar"/>
          <w:lang w:val="fr-FR"/>
        </w:rPr>
        <w:t>E29_Conceptualisation_ou_procédure</w:t>
      </w:r>
      <w:r w:rsidRPr="1B9E7434">
        <w:rPr>
          <w:lang w:val="fr-FR"/>
        </w:rPr>
        <w:t xml:space="preserve"> sont des plans d’intervention aux fins de conservation ou des plans de construction d’un bâtiment.</w:t>
      </w:r>
    </w:p>
    <w:p w14:paraId="3C326E87" w14:textId="77777777" w:rsidR="0084489F" w:rsidRDefault="00110FE6" w:rsidP="00962000">
      <w:pPr>
        <w:pStyle w:val="BodyText"/>
        <w:keepNext/>
      </w:pPr>
      <w:r>
        <w:rPr>
          <w:b/>
          <w:bCs/>
        </w:rPr>
        <w:t>Exemples</w:t>
      </w:r>
    </w:p>
    <w:p w14:paraId="75C6FD18" w14:textId="1265BCEF" w:rsidR="0084489F" w:rsidRDefault="00110FE6" w:rsidP="00806324">
      <w:pPr>
        <w:keepNext/>
        <w:numPr>
          <w:ilvl w:val="0"/>
          <w:numId w:val="169"/>
        </w:numPr>
      </w:pPr>
      <w:r w:rsidRPr="1B9E7434">
        <w:rPr>
          <w:lang w:val="fr-FR"/>
        </w:rPr>
        <w:t>L’ornementation de la coupe en argent « 232 » (</w:t>
      </w:r>
      <w:r w:rsidRPr="1B9E7434">
        <w:rPr>
          <w:rStyle w:val="VerbatimChar"/>
          <w:lang w:val="fr-FR"/>
        </w:rPr>
        <w:t>E11_Modification</w:t>
      </w:r>
      <w:r w:rsidRPr="1B9E7434">
        <w:rPr>
          <w:lang w:val="fr-FR"/>
        </w:rPr>
        <w:t>) a mobilisé comme technique spécifique (</w:t>
      </w:r>
      <w:r w:rsidRPr="1B9E7434">
        <w:rPr>
          <w:rStyle w:val="VerbatimChar"/>
          <w:lang w:val="fr-FR"/>
        </w:rPr>
        <w:t>P33_a_mobilisé_comme_technique_spécifique</w:t>
      </w:r>
      <w:r w:rsidRPr="1B9E7434">
        <w:rPr>
          <w:lang w:val="fr-FR"/>
        </w:rPr>
        <w:t xml:space="preserve">) </w:t>
      </w:r>
      <w:r w:rsidRPr="1B9E7434">
        <w:rPr>
          <w:i/>
          <w:iCs/>
          <w:lang w:val="fr-FR"/>
        </w:rPr>
        <w:t>Instructions for golden chase work by A. N. Other</w:t>
      </w:r>
      <w:r w:rsidRPr="1B9E7434">
        <w:rPr>
          <w:lang w:val="fr-FR"/>
        </w:rPr>
        <w:t xml:space="preserve"> (</w:t>
      </w:r>
      <w:r w:rsidRPr="1B9E7434">
        <w:rPr>
          <w:rStyle w:val="VerbatimChar"/>
          <w:lang w:val="fr-FR"/>
        </w:rPr>
        <w:t>E29_Conceptualisation_ou_procédure</w:t>
      </w:r>
      <w:r w:rsidRPr="1B9E7434">
        <w:rPr>
          <w:lang w:val="fr-FR"/>
        </w:rPr>
        <w:t>) (fictif)</w:t>
      </w:r>
    </w:p>
    <w:p w14:paraId="6DE86991" w14:textId="57C137D4" w:rsidR="0084489F" w:rsidRDefault="00110FE6" w:rsidP="00806324">
      <w:pPr>
        <w:numPr>
          <w:ilvl w:val="0"/>
          <w:numId w:val="169"/>
        </w:numPr>
      </w:pPr>
      <w:r w:rsidRPr="1B9E7434">
        <w:rPr>
          <w:lang w:val="fr-FR"/>
        </w:rPr>
        <w:t>La reconstruction du palais du Reichstag (</w:t>
      </w:r>
      <w:r w:rsidRPr="1B9E7434">
        <w:rPr>
          <w:rStyle w:val="VerbatimChar"/>
          <w:lang w:val="fr-FR"/>
        </w:rPr>
        <w:t>E11_Modification</w:t>
      </w:r>
      <w:r w:rsidRPr="1B9E7434">
        <w:rPr>
          <w:lang w:val="fr-FR"/>
        </w:rPr>
        <w:t>) a mobilisé comme technique spécifique (</w:t>
      </w:r>
      <w:r w:rsidRPr="1B9E7434">
        <w:rPr>
          <w:rStyle w:val="VerbatimChar"/>
          <w:lang w:val="fr-FR"/>
        </w:rPr>
        <w:t>P33_a_mobilisé_comme_technique_spécifique</w:t>
      </w:r>
      <w:r w:rsidRPr="1B9E7434">
        <w:rPr>
          <w:lang w:val="fr-FR"/>
        </w:rPr>
        <w:t>) les plans architecturaux de Foster et Partners (</w:t>
      </w:r>
      <w:r w:rsidRPr="1B9E7434">
        <w:rPr>
          <w:rStyle w:val="VerbatimChar"/>
          <w:lang w:val="fr-FR"/>
        </w:rPr>
        <w:t>E29_Conceptualisation_ou_procédure</w:t>
      </w:r>
      <w:r w:rsidRPr="1B9E7434">
        <w:rPr>
          <w:lang w:val="fr-FR"/>
        </w:rPr>
        <w:t>) (Foster, 2000)</w:t>
      </w:r>
    </w:p>
    <w:p w14:paraId="0826D697" w14:textId="77777777" w:rsidR="0084489F" w:rsidRDefault="00110FE6">
      <w:pPr>
        <w:pStyle w:val="FirstParagraph"/>
      </w:pPr>
      <w:r>
        <w:rPr>
          <w:b/>
          <w:bCs/>
        </w:rPr>
        <w:t>Logique</w:t>
      </w:r>
    </w:p>
    <w:p w14:paraId="55031C85" w14:textId="77777777" w:rsidR="0084489F" w:rsidRDefault="00110FE6">
      <w:pPr>
        <w:pStyle w:val="BodyText"/>
      </w:pPr>
      <w:r w:rsidRPr="1B9E7434">
        <w:rPr>
          <w:lang w:val="fr-FR"/>
        </w:rPr>
        <w:t>P33(x,y) ⇒ E7(x)</w:t>
      </w:r>
    </w:p>
    <w:p w14:paraId="736A06F6" w14:textId="77777777" w:rsidR="0084489F" w:rsidRDefault="00110FE6">
      <w:pPr>
        <w:pStyle w:val="BodyText"/>
      </w:pPr>
      <w:r w:rsidRPr="1B9E7434">
        <w:rPr>
          <w:lang w:val="fr-FR"/>
        </w:rPr>
        <w:t>P33(x,y) ⇒ E29(y)</w:t>
      </w:r>
    </w:p>
    <w:p w14:paraId="4599F3BE" w14:textId="77777777" w:rsidR="0084489F" w:rsidRDefault="00110FE6">
      <w:pPr>
        <w:pStyle w:val="BodyText"/>
      </w:pPr>
      <w:r w:rsidRPr="1B9E7434">
        <w:rPr>
          <w:lang w:val="fr-FR"/>
        </w:rPr>
        <w:t>P33(x,y) ⇒ P16(x,y)</w:t>
      </w:r>
    </w:p>
    <w:p w14:paraId="3E289AE9" w14:textId="77777777" w:rsidR="0084489F" w:rsidRDefault="00110FE6">
      <w:pPr>
        <w:pStyle w:val="BodyText"/>
      </w:pPr>
      <w:r>
        <w:rPr>
          <w:b/>
          <w:bCs/>
        </w:rPr>
        <w:t>Propriétés</w:t>
      </w:r>
    </w:p>
    <w:p w14:paraId="36CBC326" w14:textId="77777777" w:rsidR="0084489F" w:rsidRDefault="00110FE6">
      <w:pPr>
        <w:pStyle w:val="BlockText"/>
      </w:pPr>
      <w:r>
        <w:rPr>
          <w:b/>
          <w:bCs/>
          <w:i/>
          <w:iCs/>
        </w:rPr>
        <w:t>Note de traduction</w:t>
      </w:r>
    </w:p>
    <w:p w14:paraId="420A4EDD" w14:textId="77777777" w:rsidR="0084489F" w:rsidRDefault="00110FE6">
      <w:pPr>
        <w:pStyle w:val="BlockText"/>
      </w:pPr>
      <w:r>
        <w:rPr>
          <w:b/>
          <w:bCs/>
          <w:i/>
          <w:iCs/>
        </w:rPr>
        <w:t>Références</w:t>
      </w:r>
    </w:p>
    <w:p w14:paraId="208047C2" w14:textId="77777777" w:rsidR="0084489F" w:rsidRDefault="0084489F">
      <w:pPr>
        <w:pStyle w:val="BlockText"/>
      </w:pPr>
    </w:p>
    <w:p w14:paraId="744D9E49" w14:textId="77777777" w:rsidR="0084489F" w:rsidRDefault="00110FE6">
      <w:pPr>
        <w:pStyle w:val="Heading2"/>
      </w:pPr>
      <w:bookmarkStart w:id="336" w:name="_Toc176864548"/>
      <w:bookmarkStart w:id="337" w:name="p34-a-porte-sur-(a-ete-evalue-par)"/>
      <w:bookmarkEnd w:id="335"/>
      <w:r>
        <w:t>P34 a porté sur (a été évalué par)</w:t>
      </w:r>
      <w:bookmarkEnd w:id="336"/>
    </w:p>
    <w:p w14:paraId="60BE5B4A" w14:textId="77777777" w:rsidR="0084489F" w:rsidRDefault="00110FE6">
      <w:pPr>
        <w:pStyle w:val="FirstParagraph"/>
      </w:pPr>
      <w:r>
        <w:rPr>
          <w:b/>
          <w:bCs/>
        </w:rPr>
        <w:t>Domaine</w:t>
      </w:r>
    </w:p>
    <w:p w14:paraId="01C120FE" w14:textId="77777777" w:rsidR="0084489F" w:rsidRDefault="00110FE6">
      <w:pPr>
        <w:pStyle w:val="BodyText"/>
      </w:pPr>
      <w:r>
        <w:rPr>
          <w:rStyle w:val="VerbatimChar"/>
        </w:rPr>
        <w:t>E14_Évaluation_d’état_matériel</w:t>
      </w:r>
    </w:p>
    <w:p w14:paraId="691B7475" w14:textId="77777777" w:rsidR="0084489F" w:rsidRDefault="00110FE6">
      <w:pPr>
        <w:pStyle w:val="BodyText"/>
      </w:pPr>
      <w:r>
        <w:rPr>
          <w:b/>
          <w:bCs/>
        </w:rPr>
        <w:t>Portée</w:t>
      </w:r>
    </w:p>
    <w:p w14:paraId="5D4F9195" w14:textId="77777777" w:rsidR="0084489F" w:rsidRDefault="00110FE6">
      <w:pPr>
        <w:pStyle w:val="BodyText"/>
      </w:pPr>
      <w:r>
        <w:rPr>
          <w:rStyle w:val="VerbatimChar"/>
        </w:rPr>
        <w:t>E18_Chose_matérielle</w:t>
      </w:r>
    </w:p>
    <w:p w14:paraId="5090F33E" w14:textId="77777777" w:rsidR="0084489F" w:rsidRDefault="00110FE6">
      <w:pPr>
        <w:pStyle w:val="BodyText"/>
      </w:pPr>
      <w:r>
        <w:rPr>
          <w:b/>
          <w:bCs/>
        </w:rPr>
        <w:t>Sous-propriété de</w:t>
      </w:r>
    </w:p>
    <w:p w14:paraId="63D083DD" w14:textId="77777777" w:rsidR="0084489F" w:rsidRDefault="00110FE6">
      <w:pPr>
        <w:pStyle w:val="BodyText"/>
      </w:pPr>
      <w:r w:rsidRPr="1B9E7434">
        <w:rPr>
          <w:rStyle w:val="VerbatimChar"/>
          <w:lang w:val="fr-FR"/>
        </w:rPr>
        <w:t>E13_Assignation_d’attribut</w:t>
      </w:r>
      <w:r w:rsidRPr="1B9E7434">
        <w:rPr>
          <w:lang w:val="fr-FR"/>
        </w:rPr>
        <w:t xml:space="preserve">. </w:t>
      </w:r>
      <w:r w:rsidRPr="1B9E7434">
        <w:rPr>
          <w:rStyle w:val="VerbatimChar"/>
          <w:lang w:val="fr-FR"/>
        </w:rPr>
        <w:t>P140_a_assigné_l’attribut_à (a_reçu_l’attribut_par)</w:t>
      </w:r>
      <w:r w:rsidRPr="1B9E7434">
        <w:rPr>
          <w:lang w:val="fr-FR"/>
        </w:rPr>
        <w:t xml:space="preserve"> : </w:t>
      </w:r>
      <w:r w:rsidRPr="1B9E7434">
        <w:rPr>
          <w:rStyle w:val="VerbatimChar"/>
          <w:lang w:val="fr-FR"/>
        </w:rPr>
        <w:t>E1_Entité_CRM</w:t>
      </w:r>
    </w:p>
    <w:p w14:paraId="515F962B" w14:textId="77777777" w:rsidR="0084489F" w:rsidRDefault="00110FE6">
      <w:pPr>
        <w:pStyle w:val="BodyText"/>
      </w:pPr>
      <w:r>
        <w:rPr>
          <w:b/>
          <w:bCs/>
        </w:rPr>
        <w:t>Super-propriété de</w:t>
      </w:r>
    </w:p>
    <w:p w14:paraId="5B10C424" w14:textId="77777777" w:rsidR="0084489F" w:rsidRDefault="00110FE6">
      <w:pPr>
        <w:pStyle w:val="BodyText"/>
      </w:pPr>
      <w:r>
        <w:rPr>
          <w:b/>
          <w:bCs/>
        </w:rPr>
        <w:t>Quantification</w:t>
      </w:r>
    </w:p>
    <w:p w14:paraId="2D416EB9" w14:textId="77777777" w:rsidR="0084489F" w:rsidRDefault="00110FE6">
      <w:pPr>
        <w:pStyle w:val="BodyText"/>
      </w:pPr>
      <w:r w:rsidRPr="1B9E7434">
        <w:rPr>
          <w:lang w:val="fr-FR"/>
        </w:rPr>
        <w:t>plusieurs à plusieurs, nécessaire (1,n:0,n)</w:t>
      </w:r>
    </w:p>
    <w:p w14:paraId="42417A49" w14:textId="77777777" w:rsidR="0084489F" w:rsidRDefault="00110FE6">
      <w:pPr>
        <w:pStyle w:val="BodyText"/>
      </w:pPr>
      <w:r>
        <w:rPr>
          <w:b/>
          <w:bCs/>
        </w:rPr>
        <w:t>Note d’application</w:t>
      </w:r>
    </w:p>
    <w:p w14:paraId="64FD1C82" w14:textId="77777777" w:rsidR="0084489F" w:rsidRDefault="00110FE6">
      <w:pPr>
        <w:pStyle w:val="BodyText"/>
      </w:pPr>
      <w:r>
        <w:lastRenderedPageBreak/>
        <w:t xml:space="preserve">Cette propriété identifie une instance de </w:t>
      </w:r>
      <w:r>
        <w:rPr>
          <w:rStyle w:val="VerbatimChar"/>
        </w:rPr>
        <w:t>E18_Chose_matérielle</w:t>
      </w:r>
      <w:r>
        <w:t xml:space="preserve"> qui a été évaluée lors d'une instance de </w:t>
      </w:r>
      <w:r>
        <w:rPr>
          <w:rStyle w:val="VerbatimChar"/>
        </w:rPr>
        <w:t>E14_Évaluation_d’état_matériel</w:t>
      </w:r>
      <w:r>
        <w:t>.</w:t>
      </w:r>
    </w:p>
    <w:p w14:paraId="5D3B86D5" w14:textId="77777777" w:rsidR="0084489F" w:rsidRDefault="00110FE6">
      <w:pPr>
        <w:pStyle w:val="BodyText"/>
      </w:pPr>
      <w:r>
        <w:t xml:space="preserve">L'état matériel peut être évalué soit par observation directe, soit à l'aide de preuves enregistrées. Dans ce dernier cas, l'instance de </w:t>
      </w:r>
      <w:r>
        <w:rPr>
          <w:rStyle w:val="VerbatimChar"/>
        </w:rPr>
        <w:t>E18_Chose_matérielle</w:t>
      </w:r>
      <w:r>
        <w:t xml:space="preserve"> n'a pas à être présente ou même à exister au moment de l'évaluation.</w:t>
      </w:r>
    </w:p>
    <w:p w14:paraId="4FB090E4" w14:textId="77777777" w:rsidR="0084489F" w:rsidRDefault="00110FE6" w:rsidP="00962000">
      <w:pPr>
        <w:pStyle w:val="BodyText"/>
        <w:keepNext/>
      </w:pPr>
      <w:r>
        <w:rPr>
          <w:b/>
          <w:bCs/>
        </w:rPr>
        <w:t>Exemples</w:t>
      </w:r>
    </w:p>
    <w:p w14:paraId="43B349CD" w14:textId="77777777" w:rsidR="0084489F" w:rsidRDefault="00110FE6" w:rsidP="00806324">
      <w:pPr>
        <w:keepNext/>
        <w:numPr>
          <w:ilvl w:val="0"/>
          <w:numId w:val="170"/>
        </w:numPr>
      </w:pPr>
      <w:r>
        <w:t>L'évaluation de l'état matériel de la collection d’argenterie en 1997 (</w:t>
      </w:r>
      <w:r>
        <w:rPr>
          <w:rStyle w:val="VerbatimChar"/>
        </w:rPr>
        <w:t>E14_Évaluation_d’état_matériel</w:t>
      </w:r>
      <w:r>
        <w:t>) a porté sur (</w:t>
      </w:r>
      <w:r>
        <w:rPr>
          <w:rStyle w:val="VerbatimChar"/>
        </w:rPr>
        <w:t>P34_a_porté_sur</w:t>
      </w:r>
      <w:r>
        <w:t>) la coupe en argent « 232 » (</w:t>
      </w:r>
      <w:r>
        <w:rPr>
          <w:rStyle w:val="VerbatimChar"/>
        </w:rPr>
        <w:t>E22_Objet_élaboré_par_l’humain</w:t>
      </w:r>
      <w:r>
        <w:t>) (fictif)</w:t>
      </w:r>
    </w:p>
    <w:p w14:paraId="5023288B" w14:textId="00C4A1BB" w:rsidR="0084489F" w:rsidRDefault="00110FE6" w:rsidP="00806324">
      <w:pPr>
        <w:numPr>
          <w:ilvl w:val="0"/>
          <w:numId w:val="170"/>
        </w:numPr>
      </w:pPr>
      <w:r w:rsidRPr="1B9E7434">
        <w:rPr>
          <w:lang w:val="fr-FR"/>
        </w:rPr>
        <w:t xml:space="preserve">L'évaluation de l'état matériel de la couverture du manuscrit </w:t>
      </w:r>
      <w:r w:rsidRPr="1B9E7434">
        <w:rPr>
          <w:i/>
          <w:iCs/>
          <w:lang w:val="fr-FR"/>
        </w:rPr>
        <w:t>Mont Sinaï, MS gr. 418</w:t>
      </w:r>
      <w:r w:rsidRPr="1B9E7434">
        <w:rPr>
          <w:lang w:val="fr-FR"/>
        </w:rPr>
        <w:t xml:space="preserve"> (</w:t>
      </w:r>
      <w:r w:rsidRPr="1B9E7434">
        <w:rPr>
          <w:rStyle w:val="VerbatimChar"/>
          <w:lang w:val="fr-FR"/>
        </w:rPr>
        <w:t>E14_Évaluation_d’état_matériel</w:t>
      </w:r>
      <w:r w:rsidRPr="1B9E7434">
        <w:rPr>
          <w:lang w:val="fr-FR"/>
        </w:rPr>
        <w:t>) a porté sur (</w:t>
      </w:r>
      <w:r w:rsidRPr="1B9E7434">
        <w:rPr>
          <w:rStyle w:val="VerbatimChar"/>
          <w:lang w:val="fr-FR"/>
        </w:rPr>
        <w:t>P34_a_porté_sur</w:t>
      </w:r>
      <w:r w:rsidRPr="1B9E7434">
        <w:rPr>
          <w:lang w:val="fr-FR"/>
        </w:rPr>
        <w:t xml:space="preserve">) la couverture du manuscrit </w:t>
      </w:r>
      <w:r w:rsidRPr="1B9E7434">
        <w:rPr>
          <w:i/>
          <w:iCs/>
          <w:lang w:val="fr-FR"/>
        </w:rPr>
        <w:t>Mont Sinaï, MS gr. 418</w:t>
      </w:r>
      <w:r w:rsidRPr="1B9E7434">
        <w:rPr>
          <w:lang w:val="fr-FR"/>
        </w:rPr>
        <w:t xml:space="preserve"> (</w:t>
      </w:r>
      <w:r w:rsidRPr="1B9E7434">
        <w:rPr>
          <w:rStyle w:val="VerbatimChar"/>
          <w:lang w:val="fr-FR"/>
        </w:rPr>
        <w:t>E22_Objet_élaboré_par_l’humain</w:t>
      </w:r>
      <w:r w:rsidRPr="1B9E7434">
        <w:rPr>
          <w:lang w:val="fr-FR"/>
        </w:rPr>
        <w:t>) (Honey &amp; Pickwoad, 2010)</w:t>
      </w:r>
    </w:p>
    <w:p w14:paraId="6FD74BFD" w14:textId="1658AE96" w:rsidR="0084489F" w:rsidRDefault="00110FE6" w:rsidP="00806324">
      <w:pPr>
        <w:numPr>
          <w:ilvl w:val="0"/>
          <w:numId w:val="170"/>
        </w:numPr>
      </w:pPr>
      <w:r w:rsidRPr="1B9E7434">
        <w:rPr>
          <w:lang w:val="fr-FR"/>
        </w:rPr>
        <w:t xml:space="preserve">L’évaluation de l'état matériel des bâtonnets de la tranchefile du manuscrit </w:t>
      </w:r>
      <w:r w:rsidRPr="1B9E7434">
        <w:rPr>
          <w:i/>
          <w:iCs/>
          <w:lang w:val="fr-FR"/>
        </w:rPr>
        <w:t>Mont Sinaï, MS gr. 418</w:t>
      </w:r>
      <w:r w:rsidRPr="1B9E7434">
        <w:rPr>
          <w:lang w:val="fr-FR"/>
        </w:rPr>
        <w:t xml:space="preserve"> (</w:t>
      </w:r>
      <w:r w:rsidRPr="1B9E7434">
        <w:rPr>
          <w:rStyle w:val="VerbatimChar"/>
          <w:lang w:val="fr-FR"/>
        </w:rPr>
        <w:t>E14_Évaluation_d’état_matériel</w:t>
      </w:r>
      <w:r w:rsidRPr="1B9E7434">
        <w:rPr>
          <w:lang w:val="fr-FR"/>
        </w:rPr>
        <w:t>) a porté sur (</w:t>
      </w:r>
      <w:r w:rsidRPr="1B9E7434">
        <w:rPr>
          <w:rStyle w:val="VerbatimChar"/>
          <w:lang w:val="fr-FR"/>
        </w:rPr>
        <w:t>P34_a_porté_sur</w:t>
      </w:r>
      <w:r w:rsidRPr="1B9E7434">
        <w:rPr>
          <w:lang w:val="fr-FR"/>
        </w:rPr>
        <w:t xml:space="preserve">) les bâtonnets de la tranchefile du manuscrit </w:t>
      </w:r>
      <w:r w:rsidRPr="1B9E7434">
        <w:rPr>
          <w:i/>
          <w:iCs/>
          <w:lang w:val="fr-FR"/>
        </w:rPr>
        <w:t>Mont Sinaï, MS gr. 418</w:t>
      </w:r>
      <w:r w:rsidRPr="1B9E7434">
        <w:rPr>
          <w:lang w:val="fr-FR"/>
        </w:rPr>
        <w:t xml:space="preserve"> (</w:t>
      </w:r>
      <w:r w:rsidRPr="1B9E7434">
        <w:rPr>
          <w:rStyle w:val="VerbatimChar"/>
          <w:lang w:val="fr-FR"/>
        </w:rPr>
        <w:t>E22_Objet_élaboré_par_l’humain</w:t>
      </w:r>
      <w:r w:rsidRPr="1B9E7434">
        <w:rPr>
          <w:lang w:val="fr-FR"/>
        </w:rPr>
        <w:t>) (Honey &amp; Pickwoad, 2010)</w:t>
      </w:r>
    </w:p>
    <w:p w14:paraId="318B0D8A" w14:textId="77777777" w:rsidR="0084489F" w:rsidRDefault="00110FE6">
      <w:pPr>
        <w:pStyle w:val="FirstParagraph"/>
      </w:pPr>
      <w:r>
        <w:rPr>
          <w:b/>
          <w:bCs/>
        </w:rPr>
        <w:t>Logique</w:t>
      </w:r>
    </w:p>
    <w:p w14:paraId="3E933EE0" w14:textId="77777777" w:rsidR="0084489F" w:rsidRDefault="00110FE6">
      <w:pPr>
        <w:pStyle w:val="BodyText"/>
      </w:pPr>
      <w:r w:rsidRPr="1B9E7434">
        <w:rPr>
          <w:lang w:val="fr-FR"/>
        </w:rPr>
        <w:t>P34(x,y) ⇒ E14(x)</w:t>
      </w:r>
    </w:p>
    <w:p w14:paraId="31DFE5C0" w14:textId="77777777" w:rsidR="0084489F" w:rsidRDefault="00110FE6">
      <w:pPr>
        <w:pStyle w:val="BodyText"/>
      </w:pPr>
      <w:r w:rsidRPr="1B9E7434">
        <w:rPr>
          <w:lang w:val="fr-FR"/>
        </w:rPr>
        <w:t>P34(x,y) ⇒ E18(y)</w:t>
      </w:r>
    </w:p>
    <w:p w14:paraId="757DD070" w14:textId="77777777" w:rsidR="0084489F" w:rsidRDefault="00110FE6">
      <w:pPr>
        <w:pStyle w:val="BodyText"/>
      </w:pPr>
      <w:r w:rsidRPr="1B9E7434">
        <w:rPr>
          <w:lang w:val="fr-FR"/>
        </w:rPr>
        <w:t>P34(x,y) ⇒ P140(x,y)</w:t>
      </w:r>
    </w:p>
    <w:p w14:paraId="76B242C8" w14:textId="77777777" w:rsidR="0084489F" w:rsidRDefault="00110FE6">
      <w:pPr>
        <w:pStyle w:val="BodyText"/>
      </w:pPr>
      <w:r>
        <w:rPr>
          <w:b/>
          <w:bCs/>
        </w:rPr>
        <w:t>Propriétés</w:t>
      </w:r>
    </w:p>
    <w:p w14:paraId="2FB8FAA7" w14:textId="77777777" w:rsidR="0084489F" w:rsidRDefault="00110FE6">
      <w:pPr>
        <w:pStyle w:val="BlockText"/>
      </w:pPr>
      <w:r>
        <w:rPr>
          <w:b/>
          <w:bCs/>
          <w:i/>
          <w:iCs/>
        </w:rPr>
        <w:t>Note de traduction</w:t>
      </w:r>
    </w:p>
    <w:p w14:paraId="6674A637" w14:textId="77777777" w:rsidR="0084489F" w:rsidRDefault="00110FE6">
      <w:pPr>
        <w:pStyle w:val="BlockText"/>
      </w:pPr>
      <w:r w:rsidRPr="1B9E7434">
        <w:rPr>
          <w:lang w:val="fr-FR"/>
        </w:rP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sidRPr="1B9E7434">
        <w:rPr>
          <w:b/>
          <w:bCs/>
          <w:lang w:val="fr-FR"/>
        </w:rPr>
        <w:t> </w:t>
      </w:r>
      <w:r w:rsidRPr="1B9E7434">
        <w:rPr>
          <w:lang w:val="fr-FR"/>
        </w:rPr>
        <w:t>bâtonnets », mais afin d'éviter toute ambiguïté, l'équipe de traduction a décidé d'ajouter « de la tranchefile ».</w:t>
      </w:r>
    </w:p>
    <w:p w14:paraId="24198C1C" w14:textId="77777777" w:rsidR="0084489F" w:rsidRDefault="00110FE6">
      <w:pPr>
        <w:pStyle w:val="BlockText"/>
      </w:pPr>
      <w:r>
        <w:rPr>
          <w:b/>
          <w:bCs/>
          <w:i/>
          <w:iCs/>
        </w:rPr>
        <w:t>Références</w:t>
      </w:r>
    </w:p>
    <w:p w14:paraId="0320D8E1" w14:textId="1EC67081" w:rsidR="0084489F" w:rsidRDefault="00110FE6">
      <w:pPr>
        <w:pStyle w:val="BlockText"/>
      </w:pPr>
      <w:r w:rsidRPr="1B9E7434">
        <w:rPr>
          <w:lang w:val="fr-FR"/>
        </w:rPr>
        <w:t xml:space="preserve">Lenormand, Louis Sébastien, et W. Maigne. « Tranchefile ». Dans </w:t>
      </w:r>
      <w:r w:rsidRPr="1B9E7434">
        <w:rPr>
          <w:i/>
          <w:iCs/>
          <w:lang w:val="fr-FR"/>
        </w:rPr>
        <w:t>Nouveau manuel complet du relieur en tous genres contenant les arts de l’assembleur, du satineur, du cartonneur, du marbreur sur tranches et du doreur sur tranches et sur cuir</w:t>
      </w:r>
      <w:r w:rsidRPr="1B9E7434">
        <w:rPr>
          <w:lang w:val="fr-FR"/>
        </w:rPr>
        <w:t xml:space="preserve">, édité par L. Mulo, 171‑75. Manuels Roret. 1900. </w:t>
      </w:r>
      <w:r w:rsidR="009D0EAD" w:rsidRPr="1B9E7434">
        <w:rPr>
          <w:lang w:val="fr-FR"/>
        </w:rPr>
        <w:t>Réimpression</w:t>
      </w:r>
      <w:r w:rsidRPr="1B9E7434">
        <w:rPr>
          <w:lang w:val="fr-FR"/>
        </w:rPr>
        <w:t>, Paris, FR-IDF: Encyclopédie-Roret, 2006.</w:t>
      </w:r>
      <w:hyperlink r:id="rId250">
        <w:r w:rsidRPr="1B9E7434">
          <w:rPr>
            <w:rStyle w:val="Hyperlink"/>
            <w:lang w:val="fr-FR"/>
          </w:rPr>
          <w:t xml:space="preserve"> </w:t>
        </w:r>
      </w:hyperlink>
      <w:hyperlink r:id="rId251">
        <w:r w:rsidRPr="1B9E7434">
          <w:rPr>
            <w:rStyle w:val="Hyperlink"/>
            <w:lang w:val="fr-FR"/>
          </w:rPr>
          <w:t>https://www.moulinduverger.com/reliure-manuelle/roret-69.php</w:t>
        </w:r>
      </w:hyperlink>
      <w:r w:rsidRPr="1B9E7434">
        <w:rPr>
          <w:lang w:val="fr-FR"/>
        </w:rPr>
        <w:t>.</w:t>
      </w:r>
    </w:p>
    <w:p w14:paraId="1E2CE6E3" w14:textId="77777777" w:rsidR="0084489F" w:rsidRDefault="00110FE6">
      <w:pPr>
        <w:pStyle w:val="BlockText"/>
      </w:pPr>
      <w:r w:rsidRPr="1B9E7434">
        <w:rPr>
          <w:lang w:val="fr-FR"/>
        </w:rPr>
        <w:t xml:space="preserve">Louis, Olivier. « Bâtonnets de tranchefile, fabrication, matériel utilisé et dimensions. » Blogue. </w:t>
      </w:r>
      <w:r w:rsidRPr="1B9E7434">
        <w:rPr>
          <w:i/>
          <w:iCs/>
          <w:lang w:val="fr-FR"/>
        </w:rPr>
        <w:t>Reliure d’art dare</w:t>
      </w:r>
      <w:r w:rsidRPr="1B9E7434">
        <w:rPr>
          <w:lang w:val="fr-FR"/>
        </w:rPr>
        <w:t xml:space="preserve"> (blog), 28 septembre 2021.</w:t>
      </w:r>
      <w:hyperlink r:id="rId252">
        <w:r w:rsidRPr="1B9E7434">
          <w:rPr>
            <w:rStyle w:val="Hyperlink"/>
            <w:lang w:val="fr-FR"/>
          </w:rPr>
          <w:t xml:space="preserve"> </w:t>
        </w:r>
      </w:hyperlink>
      <w:hyperlink r:id="rId253">
        <w:r w:rsidRPr="1B9E7434">
          <w:rPr>
            <w:rStyle w:val="Hyperlink"/>
            <w:lang w:val="fr-FR"/>
          </w:rPr>
          <w:t>https://reliuredartdare.com/2021/09/batonnets-tranchefile-fabrication/</w:t>
        </w:r>
      </w:hyperlink>
      <w:r w:rsidRPr="1B9E7434">
        <w:rPr>
          <w:lang w:val="fr-FR"/>
        </w:rPr>
        <w:t>.</w:t>
      </w:r>
    </w:p>
    <w:p w14:paraId="3BA26051" w14:textId="77777777" w:rsidR="0084489F" w:rsidRDefault="00110FE6">
      <w:pPr>
        <w:pStyle w:val="BlockText"/>
        <w:rPr>
          <w:lang w:val="en-CA"/>
        </w:rPr>
      </w:pPr>
      <w:r>
        <w:t xml:space="preserve">Smith, Shelagh, et Hélène Francœur. </w:t>
      </w:r>
      <w:r w:rsidRPr="008C0D99">
        <w:rPr>
          <w:i/>
          <w:iCs/>
          <w:lang w:val="en-CA"/>
        </w:rPr>
        <w:t>English to French Book Arts Terms</w:t>
      </w:r>
      <w:r w:rsidRPr="008C0D99">
        <w:rPr>
          <w:lang w:val="en-CA"/>
        </w:rPr>
        <w:t>. Toronto, CA-ON: Canadian Bookbinders and Book Artists Guild, 2021.</w:t>
      </w:r>
      <w:hyperlink r:id="rId254">
        <w:r w:rsidRPr="008C0D99">
          <w:rPr>
            <w:rStyle w:val="Hyperlink"/>
            <w:lang w:val="en-CA"/>
          </w:rPr>
          <w:t xml:space="preserve"> </w:t>
        </w:r>
      </w:hyperlink>
      <w:hyperlink r:id="rId255">
        <w:r w:rsidRPr="008C0D99">
          <w:rPr>
            <w:rStyle w:val="Hyperlink"/>
            <w:lang w:val="en-CA"/>
          </w:rPr>
          <w:t>https://www.cbbag.ca/resources/Public/Book%20Arts%20ENG%20FRE%20Translation.pdf</w:t>
        </w:r>
      </w:hyperlink>
      <w:r w:rsidRPr="008C0D99">
        <w:rPr>
          <w:lang w:val="en-CA"/>
        </w:rPr>
        <w:t>.</w:t>
      </w:r>
    </w:p>
    <w:p w14:paraId="639268A5" w14:textId="77777777" w:rsidR="0054555C" w:rsidRPr="0054555C" w:rsidRDefault="0054555C" w:rsidP="0054555C">
      <w:pPr>
        <w:pStyle w:val="BodyText"/>
        <w:rPr>
          <w:lang w:val="en-CA"/>
        </w:rPr>
      </w:pPr>
    </w:p>
    <w:p w14:paraId="5F55E9B4" w14:textId="77777777" w:rsidR="0084489F" w:rsidRDefault="00110FE6" w:rsidP="00F361B3">
      <w:pPr>
        <w:pStyle w:val="Heading2"/>
      </w:pPr>
      <w:bookmarkStart w:id="338" w:name="_Toc176864549"/>
      <w:bookmarkStart w:id="339" w:name="p35-a-identifie-(a-ete-identifie-par)"/>
      <w:bookmarkEnd w:id="337"/>
      <w:r>
        <w:lastRenderedPageBreak/>
        <w:t>P35 a identifié (a été identifié par)</w:t>
      </w:r>
      <w:bookmarkEnd w:id="338"/>
    </w:p>
    <w:p w14:paraId="7DF375E7" w14:textId="77777777" w:rsidR="0084489F" w:rsidRDefault="00110FE6" w:rsidP="00F361B3">
      <w:pPr>
        <w:pStyle w:val="FirstParagraph"/>
        <w:keepNext/>
        <w:keepLines/>
      </w:pPr>
      <w:r>
        <w:rPr>
          <w:b/>
          <w:bCs/>
        </w:rPr>
        <w:t>Domaine</w:t>
      </w:r>
    </w:p>
    <w:p w14:paraId="7FFF251C" w14:textId="77777777" w:rsidR="0084489F" w:rsidRDefault="00110FE6" w:rsidP="00F361B3">
      <w:pPr>
        <w:pStyle w:val="BodyText"/>
        <w:keepNext/>
        <w:keepLines/>
      </w:pPr>
      <w:r>
        <w:rPr>
          <w:rStyle w:val="VerbatimChar"/>
        </w:rPr>
        <w:t>E14_Évaluation_d’état_matériel</w:t>
      </w:r>
    </w:p>
    <w:p w14:paraId="7A3FAFA9" w14:textId="77777777" w:rsidR="0084489F" w:rsidRDefault="00110FE6">
      <w:pPr>
        <w:pStyle w:val="BodyText"/>
      </w:pPr>
      <w:r>
        <w:rPr>
          <w:b/>
          <w:bCs/>
        </w:rPr>
        <w:t>Portée</w:t>
      </w:r>
    </w:p>
    <w:p w14:paraId="7842D669" w14:textId="77777777" w:rsidR="0084489F" w:rsidRDefault="00110FE6">
      <w:pPr>
        <w:pStyle w:val="BodyText"/>
      </w:pPr>
      <w:r>
        <w:rPr>
          <w:rStyle w:val="VerbatimChar"/>
        </w:rPr>
        <w:t>E3_État_matériel</w:t>
      </w:r>
    </w:p>
    <w:p w14:paraId="37286944" w14:textId="77777777" w:rsidR="0084489F" w:rsidRDefault="00110FE6" w:rsidP="0054555C">
      <w:pPr>
        <w:pStyle w:val="BodyText"/>
        <w:keepNext/>
      </w:pPr>
      <w:r>
        <w:rPr>
          <w:b/>
          <w:bCs/>
        </w:rPr>
        <w:t>Sous-propriété de</w:t>
      </w:r>
    </w:p>
    <w:p w14:paraId="245B1791" w14:textId="77777777" w:rsidR="0084489F" w:rsidRDefault="00110FE6" w:rsidP="0054555C">
      <w:pPr>
        <w:pStyle w:val="BodyText"/>
        <w:keepNext/>
      </w:pPr>
      <w:r w:rsidRPr="1B9E7434">
        <w:rPr>
          <w:rStyle w:val="VerbatimChar"/>
          <w:lang w:val="fr-FR"/>
        </w:rPr>
        <w:t>E13_Assignation_d’attribut</w:t>
      </w:r>
      <w:r w:rsidRPr="1B9E7434">
        <w:rPr>
          <w:lang w:val="fr-FR"/>
        </w:rPr>
        <w:t xml:space="preserve">. </w:t>
      </w:r>
      <w:r w:rsidRPr="1B9E7434">
        <w:rPr>
          <w:rStyle w:val="VerbatimChar"/>
          <w:lang w:val="fr-FR"/>
        </w:rPr>
        <w:t>P141_a_assigné (a_été_assigné_par)</w:t>
      </w:r>
      <w:r w:rsidRPr="1B9E7434">
        <w:rPr>
          <w:lang w:val="fr-FR"/>
        </w:rPr>
        <w:t xml:space="preserve">: </w:t>
      </w:r>
      <w:r w:rsidRPr="1B9E7434">
        <w:rPr>
          <w:rStyle w:val="VerbatimChar"/>
          <w:lang w:val="fr-FR"/>
        </w:rPr>
        <w:t>E1_Entité_CRM</w:t>
      </w:r>
    </w:p>
    <w:p w14:paraId="55A3E28D" w14:textId="77777777" w:rsidR="0084489F" w:rsidRDefault="00110FE6">
      <w:pPr>
        <w:pStyle w:val="BodyText"/>
      </w:pPr>
      <w:r>
        <w:rPr>
          <w:b/>
          <w:bCs/>
        </w:rPr>
        <w:t>Super-propriété de</w:t>
      </w:r>
    </w:p>
    <w:p w14:paraId="0B372300" w14:textId="77777777" w:rsidR="0084489F" w:rsidRDefault="00110FE6">
      <w:pPr>
        <w:pStyle w:val="BodyText"/>
      </w:pPr>
      <w:r>
        <w:rPr>
          <w:b/>
          <w:bCs/>
        </w:rPr>
        <w:t>Quantification</w:t>
      </w:r>
    </w:p>
    <w:p w14:paraId="5D46806E" w14:textId="77777777" w:rsidR="0084489F" w:rsidRDefault="00110FE6">
      <w:pPr>
        <w:pStyle w:val="BodyText"/>
      </w:pPr>
      <w:r w:rsidRPr="1B9E7434">
        <w:rPr>
          <w:lang w:val="fr-FR"/>
        </w:rPr>
        <w:t>plusieurs à plusieurs, nécessaire (1,n:0,n)</w:t>
      </w:r>
    </w:p>
    <w:p w14:paraId="74B9D619" w14:textId="77777777" w:rsidR="0084489F" w:rsidRDefault="00110FE6">
      <w:pPr>
        <w:pStyle w:val="BodyText"/>
      </w:pPr>
      <w:r>
        <w:rPr>
          <w:b/>
          <w:bCs/>
        </w:rPr>
        <w:t>Note d’application</w:t>
      </w:r>
    </w:p>
    <w:p w14:paraId="18576AA1" w14:textId="77777777" w:rsidR="0084489F" w:rsidRDefault="00110FE6">
      <w:pPr>
        <w:pStyle w:val="BodyText"/>
      </w:pPr>
      <w:r>
        <w:t xml:space="preserve">Cette propriété identifie une instance de </w:t>
      </w:r>
      <w:r>
        <w:rPr>
          <w:rStyle w:val="VerbatimChar"/>
        </w:rPr>
        <w:t>E3_État_matériel</w:t>
      </w:r>
      <w:r>
        <w:t xml:space="preserve"> observée dans le cadre d'une instance de </w:t>
      </w:r>
      <w:r>
        <w:rPr>
          <w:rStyle w:val="VerbatimChar"/>
        </w:rPr>
        <w:t>E14_Évaluation_d’état_matériel</w:t>
      </w:r>
      <w:r>
        <w:t>.</w:t>
      </w:r>
    </w:p>
    <w:p w14:paraId="6CA26B8A" w14:textId="77777777" w:rsidR="0084489F" w:rsidRDefault="00110FE6">
      <w:pPr>
        <w:pStyle w:val="BodyText"/>
      </w:pPr>
      <w:r>
        <w:rPr>
          <w:b/>
          <w:bCs/>
        </w:rPr>
        <w:t>Exemples</w:t>
      </w:r>
    </w:p>
    <w:p w14:paraId="2E049128" w14:textId="77777777" w:rsidR="0084489F" w:rsidRDefault="00110FE6" w:rsidP="00806324">
      <w:pPr>
        <w:numPr>
          <w:ilvl w:val="0"/>
          <w:numId w:val="171"/>
        </w:numPr>
      </w:pPr>
      <w:r>
        <w:t>L'évaluation en 1997 de l'état matériel de la coupe en argent « 232 » en 1997 (</w:t>
      </w:r>
      <w:r>
        <w:rPr>
          <w:rStyle w:val="VerbatimChar"/>
        </w:rPr>
        <w:t>E14_Évaluation_d’état_matériel</w:t>
      </w:r>
      <w:r>
        <w:t>) a identifié (</w:t>
      </w:r>
      <w:r>
        <w:rPr>
          <w:rStyle w:val="VerbatimChar"/>
        </w:rPr>
        <w:t>P35_a_identifié</w:t>
      </w:r>
      <w:r>
        <w:t>) des traces d'oxydation (</w:t>
      </w:r>
      <w:r>
        <w:rPr>
          <w:rStyle w:val="VerbatimChar"/>
        </w:rPr>
        <w:t>E3_État_matériel</w:t>
      </w:r>
      <w:r>
        <w:t>) [lesquelles ont pour type (</w:t>
      </w:r>
      <w:r>
        <w:rPr>
          <w:rStyle w:val="VerbatimChar"/>
        </w:rPr>
        <w:t>P2_a_pour_type</w:t>
      </w:r>
      <w:r>
        <w:t>) « traces d'oxydation » (</w:t>
      </w:r>
      <w:r>
        <w:rPr>
          <w:rStyle w:val="VerbatimChar"/>
        </w:rPr>
        <w:t>E55_Type</w:t>
      </w:r>
      <w:r>
        <w:t>)] (fictif)</w:t>
      </w:r>
    </w:p>
    <w:p w14:paraId="00418779" w14:textId="528EE2CE" w:rsidR="0084489F" w:rsidRDefault="00110FE6" w:rsidP="00806324">
      <w:pPr>
        <w:numPr>
          <w:ilvl w:val="0"/>
          <w:numId w:val="171"/>
        </w:numPr>
      </w:pPr>
      <w:r w:rsidRPr="1B9E7434">
        <w:rPr>
          <w:lang w:val="fr-FR"/>
        </w:rPr>
        <w:t xml:space="preserve">L'évaluation de l'état matériel de la couverture du manuscrit </w:t>
      </w:r>
      <w:r w:rsidRPr="1B9E7434">
        <w:rPr>
          <w:i/>
          <w:iCs/>
          <w:lang w:val="fr-FR"/>
        </w:rPr>
        <w:t>Mont Sinaï, MS gr. 418</w:t>
      </w:r>
      <w:r w:rsidRPr="1B9E7434">
        <w:rPr>
          <w:lang w:val="fr-FR"/>
        </w:rPr>
        <w:t xml:space="preserve"> (</w:t>
      </w:r>
      <w:r w:rsidRPr="1B9E7434">
        <w:rPr>
          <w:rStyle w:val="VerbatimChar"/>
          <w:lang w:val="fr-FR"/>
        </w:rPr>
        <w:t>E14_Évaluation_d’état_matériel</w:t>
      </w:r>
      <w:r w:rsidRPr="1B9E7434">
        <w:rPr>
          <w:lang w:val="fr-FR"/>
        </w:rPr>
        <w:t>) a identifié (</w:t>
      </w:r>
      <w:r w:rsidRPr="1B9E7434">
        <w:rPr>
          <w:rStyle w:val="VerbatimChar"/>
          <w:lang w:val="fr-FR"/>
        </w:rPr>
        <w:t>P35_a_identifié</w:t>
      </w:r>
      <w:r w:rsidRPr="1B9E7434">
        <w:rPr>
          <w:lang w:val="fr-FR"/>
        </w:rPr>
        <w:t>) un état matériel en novembre 2003 (</w:t>
      </w:r>
      <w:r w:rsidRPr="1B9E7434">
        <w:rPr>
          <w:rStyle w:val="VerbatimChar"/>
          <w:lang w:val="fr-FR"/>
        </w:rPr>
        <w:t>E3_État_matériel</w:t>
      </w:r>
      <w:r w:rsidRPr="1B9E7434">
        <w:rPr>
          <w:lang w:val="fr-FR"/>
        </w:rPr>
        <w:t>) de type « fin » (</w:t>
      </w:r>
      <w:r w:rsidRPr="1B9E7434">
        <w:rPr>
          <w:rStyle w:val="VerbatimChar"/>
          <w:lang w:val="fr-FR"/>
        </w:rPr>
        <w:t>E55_Type</w:t>
      </w:r>
      <w:r w:rsidRPr="1B9E7434">
        <w:rPr>
          <w:lang w:val="fr-FR"/>
        </w:rPr>
        <w:t>) (Honey &amp; Pickwoad, 2010)</w:t>
      </w:r>
    </w:p>
    <w:p w14:paraId="6CF6DB8F" w14:textId="6E891D81" w:rsidR="0084489F" w:rsidRDefault="00110FE6" w:rsidP="00806324">
      <w:pPr>
        <w:numPr>
          <w:ilvl w:val="0"/>
          <w:numId w:val="171"/>
        </w:numPr>
      </w:pPr>
      <w:r w:rsidRPr="1B9E7434">
        <w:rPr>
          <w:lang w:val="fr-FR"/>
        </w:rPr>
        <w:t xml:space="preserve">L’évaluation de l'état matériel des bâtonnets de la tranchefile du manuscrit </w:t>
      </w:r>
      <w:r w:rsidRPr="1B9E7434">
        <w:rPr>
          <w:i/>
          <w:iCs/>
          <w:lang w:val="fr-FR"/>
        </w:rPr>
        <w:t>Mont Sinaï, MS gr. 418</w:t>
      </w:r>
      <w:r w:rsidRPr="1B9E7434">
        <w:rPr>
          <w:lang w:val="fr-FR"/>
        </w:rPr>
        <w:t xml:space="preserve"> (</w:t>
      </w:r>
      <w:r w:rsidRPr="1B9E7434">
        <w:rPr>
          <w:rStyle w:val="VerbatimChar"/>
          <w:lang w:val="fr-FR"/>
        </w:rPr>
        <w:t>E14_Évaluation_d’état_matériel</w:t>
      </w:r>
      <w:r w:rsidRPr="1B9E7434">
        <w:rPr>
          <w:lang w:val="fr-FR"/>
        </w:rPr>
        <w:t>) a identifié (</w:t>
      </w:r>
      <w:r w:rsidRPr="1B9E7434">
        <w:rPr>
          <w:rStyle w:val="VerbatimChar"/>
          <w:lang w:val="fr-FR"/>
        </w:rPr>
        <w:t>P35_a_identifié</w:t>
      </w:r>
      <w:r w:rsidRPr="1B9E7434">
        <w:rPr>
          <w:lang w:val="fr-FR"/>
        </w:rPr>
        <w:t>) un état matériel en novembre 2003 (</w:t>
      </w:r>
      <w:r w:rsidRPr="1B9E7434">
        <w:rPr>
          <w:rStyle w:val="VerbatimChar"/>
          <w:lang w:val="fr-FR"/>
        </w:rPr>
        <w:t>E3_État_matériel</w:t>
      </w:r>
      <w:r w:rsidRPr="1B9E7434">
        <w:rPr>
          <w:lang w:val="fr-FR"/>
        </w:rPr>
        <w:t>) de type « endommagé » (</w:t>
      </w:r>
      <w:r w:rsidRPr="1B9E7434">
        <w:rPr>
          <w:rStyle w:val="VerbatimChar"/>
          <w:lang w:val="fr-FR"/>
        </w:rPr>
        <w:t>E55_Type</w:t>
      </w:r>
      <w:r w:rsidRPr="1B9E7434">
        <w:rPr>
          <w:lang w:val="fr-FR"/>
        </w:rPr>
        <w:t>) (Honey &amp; Pickwoad, 2010)</w:t>
      </w:r>
    </w:p>
    <w:p w14:paraId="5551FC67" w14:textId="77777777" w:rsidR="0084489F" w:rsidRDefault="00110FE6">
      <w:pPr>
        <w:pStyle w:val="FirstParagraph"/>
      </w:pPr>
      <w:r>
        <w:rPr>
          <w:b/>
          <w:bCs/>
        </w:rPr>
        <w:t>Logique</w:t>
      </w:r>
    </w:p>
    <w:p w14:paraId="454CE298" w14:textId="77777777" w:rsidR="0084489F" w:rsidRDefault="00110FE6">
      <w:pPr>
        <w:pStyle w:val="BodyText"/>
      </w:pPr>
      <w:r w:rsidRPr="1B9E7434">
        <w:rPr>
          <w:lang w:val="fr-FR"/>
        </w:rPr>
        <w:t>P35(x,y) ⇒E14(x)</w:t>
      </w:r>
    </w:p>
    <w:p w14:paraId="319DBFA1" w14:textId="77777777" w:rsidR="0084489F" w:rsidRDefault="00110FE6">
      <w:pPr>
        <w:pStyle w:val="BodyText"/>
      </w:pPr>
      <w:r w:rsidRPr="1B9E7434">
        <w:rPr>
          <w:lang w:val="fr-FR"/>
        </w:rPr>
        <w:t>P35(x,y) ⇒ E3(y)</w:t>
      </w:r>
    </w:p>
    <w:p w14:paraId="0BCD583C" w14:textId="77777777" w:rsidR="0084489F" w:rsidRDefault="00110FE6">
      <w:pPr>
        <w:pStyle w:val="BodyText"/>
      </w:pPr>
      <w:r w:rsidRPr="1B9E7434">
        <w:rPr>
          <w:lang w:val="fr-FR"/>
        </w:rPr>
        <w:t>P35(x,y) ⇒ P141(x,y)</w:t>
      </w:r>
    </w:p>
    <w:p w14:paraId="5FBEB9FB" w14:textId="77777777" w:rsidR="0084489F" w:rsidRDefault="00110FE6">
      <w:pPr>
        <w:pStyle w:val="BodyText"/>
      </w:pPr>
      <w:r>
        <w:rPr>
          <w:b/>
          <w:bCs/>
        </w:rPr>
        <w:t>Propriétés</w:t>
      </w:r>
    </w:p>
    <w:p w14:paraId="32F1B743" w14:textId="77777777" w:rsidR="0084489F" w:rsidRDefault="00110FE6">
      <w:pPr>
        <w:pStyle w:val="BlockText"/>
      </w:pPr>
      <w:r>
        <w:rPr>
          <w:b/>
          <w:bCs/>
          <w:i/>
          <w:iCs/>
        </w:rPr>
        <w:t>Note de traduction</w:t>
      </w:r>
    </w:p>
    <w:p w14:paraId="7E106073" w14:textId="77777777" w:rsidR="0084489F" w:rsidRDefault="00110FE6">
      <w:pPr>
        <w:pStyle w:val="BlockText"/>
      </w:pPr>
      <w:r w:rsidRPr="1B9E7434">
        <w:rPr>
          <w:lang w:val="fr-FR"/>
        </w:rP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sidRPr="1B9E7434">
        <w:rPr>
          <w:b/>
          <w:bCs/>
          <w:lang w:val="fr-FR"/>
        </w:rPr>
        <w:t> </w:t>
      </w:r>
      <w:r w:rsidRPr="1B9E7434">
        <w:rPr>
          <w:lang w:val="fr-FR"/>
        </w:rPr>
        <w:t>bâtonnets », mais afin d'éviter toute ambiguïté, l'équipe de traduction a décidé d'ajouter « de la tranchefile ».</w:t>
      </w:r>
    </w:p>
    <w:p w14:paraId="5551172F" w14:textId="77777777" w:rsidR="0084489F" w:rsidRDefault="00110FE6">
      <w:pPr>
        <w:pStyle w:val="BlockText"/>
      </w:pPr>
      <w:r w:rsidRPr="1B9E7434">
        <w:rPr>
          <w:lang w:val="fr-FR"/>
        </w:rPr>
        <w:t xml:space="preserve">Dans l'exemple « the condition assessment of the cover of MS Sinai Greek 418 (E13) has identified the condition state in November 2003 (E3) [which has type fine (E55)] (Honey and Pickwoad, 2010) », </w:t>
      </w:r>
      <w:r w:rsidRPr="1B9E7434">
        <w:rPr>
          <w:rStyle w:val="VerbatimChar"/>
          <w:lang w:val="fr-FR"/>
        </w:rPr>
        <w:lastRenderedPageBreak/>
        <w:t>E13_Assignation_d’attribut</w:t>
      </w:r>
      <w:r w:rsidRPr="1B9E7434">
        <w:rPr>
          <w:lang w:val="fr-FR"/>
        </w:rPr>
        <w:t xml:space="preserve"> est utilisé en lieu et place de </w:t>
      </w:r>
      <w:r w:rsidRPr="1B9E7434">
        <w:rPr>
          <w:rStyle w:val="VerbatimChar"/>
          <w:lang w:val="fr-FR"/>
        </w:rPr>
        <w:t>E14_Évaluation_d’état_matériel</w:t>
      </w:r>
      <w:r w:rsidRPr="1B9E7434">
        <w:rPr>
          <w:lang w:val="fr-FR"/>
        </w:rPr>
        <w:t>. Cela est une erreur qui n'a pas été reproduite dans la version traduite.</w:t>
      </w:r>
    </w:p>
    <w:p w14:paraId="22F34636" w14:textId="77777777" w:rsidR="0084489F" w:rsidRDefault="00110FE6">
      <w:pPr>
        <w:pStyle w:val="BlockText"/>
      </w:pPr>
      <w:r>
        <w:rPr>
          <w:b/>
          <w:bCs/>
          <w:i/>
          <w:iCs/>
        </w:rPr>
        <w:t>Références</w:t>
      </w:r>
    </w:p>
    <w:p w14:paraId="69D93AD0" w14:textId="7689784D" w:rsidR="0084489F" w:rsidRDefault="00110FE6">
      <w:pPr>
        <w:pStyle w:val="BlockText"/>
      </w:pPr>
      <w:r w:rsidRPr="1B9E7434">
        <w:rPr>
          <w:lang w:val="fr-FR"/>
        </w:rPr>
        <w:t xml:space="preserve">Lenormand, Louis Sébastien, et W. Maigne. « Tranchefile ». Dans </w:t>
      </w:r>
      <w:r w:rsidRPr="1B9E7434">
        <w:rPr>
          <w:i/>
          <w:iCs/>
          <w:lang w:val="fr-FR"/>
        </w:rPr>
        <w:t>Nouveau manuel complet du relieur en tous genres contenant les arts de l’assembleur, du satineur, du cartonneur, du marbreur sur tranches et du doreur sur tranches et sur cuir</w:t>
      </w:r>
      <w:r w:rsidRPr="1B9E7434">
        <w:rPr>
          <w:lang w:val="fr-FR"/>
        </w:rPr>
        <w:t xml:space="preserve">, édité par L. Mulo, 171‑75. Manuels Roret. 1900. </w:t>
      </w:r>
      <w:r w:rsidR="009D0EAD" w:rsidRPr="1B9E7434">
        <w:rPr>
          <w:lang w:val="fr-FR"/>
        </w:rPr>
        <w:t>Réimpression</w:t>
      </w:r>
      <w:r w:rsidRPr="1B9E7434">
        <w:rPr>
          <w:lang w:val="fr-FR"/>
        </w:rPr>
        <w:t>, Paris, FR-IDF: Encyclopédie-Roret, 2006.</w:t>
      </w:r>
      <w:hyperlink r:id="rId256">
        <w:r w:rsidRPr="1B9E7434">
          <w:rPr>
            <w:rStyle w:val="Hyperlink"/>
            <w:lang w:val="fr-FR"/>
          </w:rPr>
          <w:t xml:space="preserve"> </w:t>
        </w:r>
      </w:hyperlink>
      <w:hyperlink r:id="rId257">
        <w:r w:rsidRPr="1B9E7434">
          <w:rPr>
            <w:rStyle w:val="Hyperlink"/>
            <w:lang w:val="fr-FR"/>
          </w:rPr>
          <w:t>https://www.moulinduverger.com/reliure-manuelle/roret-69.php</w:t>
        </w:r>
      </w:hyperlink>
      <w:r w:rsidRPr="1B9E7434">
        <w:rPr>
          <w:lang w:val="fr-FR"/>
        </w:rPr>
        <w:t>.</w:t>
      </w:r>
    </w:p>
    <w:p w14:paraId="4DB23C6A" w14:textId="77777777" w:rsidR="0084489F" w:rsidRDefault="00110FE6">
      <w:pPr>
        <w:pStyle w:val="BlockText"/>
      </w:pPr>
      <w:r w:rsidRPr="1B9E7434">
        <w:rPr>
          <w:lang w:val="fr-FR"/>
        </w:rPr>
        <w:t xml:space="preserve">Louis, Olivier. « Bâtonnets de tranchefile, fabrication, matériel utilisé et dimensions. » Blogue. </w:t>
      </w:r>
      <w:r w:rsidRPr="1B9E7434">
        <w:rPr>
          <w:i/>
          <w:iCs/>
          <w:lang w:val="fr-FR"/>
        </w:rPr>
        <w:t>Reliure d’art dare</w:t>
      </w:r>
      <w:r w:rsidRPr="1B9E7434">
        <w:rPr>
          <w:lang w:val="fr-FR"/>
        </w:rPr>
        <w:t xml:space="preserve"> (blog), 28 septembre 2021.</w:t>
      </w:r>
      <w:hyperlink r:id="rId258">
        <w:r w:rsidRPr="1B9E7434">
          <w:rPr>
            <w:rStyle w:val="Hyperlink"/>
            <w:lang w:val="fr-FR"/>
          </w:rPr>
          <w:t xml:space="preserve"> </w:t>
        </w:r>
      </w:hyperlink>
      <w:hyperlink r:id="rId259">
        <w:r w:rsidRPr="1B9E7434">
          <w:rPr>
            <w:rStyle w:val="Hyperlink"/>
            <w:lang w:val="fr-FR"/>
          </w:rPr>
          <w:t>https://reliuredartdare.com/2021/09/batonnets-tranchefile-fabrication/</w:t>
        </w:r>
      </w:hyperlink>
      <w:r w:rsidRPr="1B9E7434">
        <w:rPr>
          <w:lang w:val="fr-FR"/>
        </w:rPr>
        <w:t>.</w:t>
      </w:r>
    </w:p>
    <w:p w14:paraId="49C49C34" w14:textId="77777777" w:rsidR="0084489F" w:rsidRDefault="00110FE6">
      <w:pPr>
        <w:pStyle w:val="BlockText"/>
        <w:rPr>
          <w:lang w:val="en-CA"/>
        </w:rPr>
      </w:pPr>
      <w:r>
        <w:t xml:space="preserve">Smith, Shelagh, et Hélène Francœur. </w:t>
      </w:r>
      <w:r w:rsidRPr="008C0D99">
        <w:rPr>
          <w:i/>
          <w:iCs/>
          <w:lang w:val="en-CA"/>
        </w:rPr>
        <w:t>English to French Book Arts Terms</w:t>
      </w:r>
      <w:r w:rsidRPr="008C0D99">
        <w:rPr>
          <w:lang w:val="en-CA"/>
        </w:rPr>
        <w:t>. Toronto, CA-ON: Canadian Bookbinders and Book Artists Guild, 2021.</w:t>
      </w:r>
      <w:hyperlink r:id="rId260">
        <w:r w:rsidRPr="008C0D99">
          <w:rPr>
            <w:rStyle w:val="Hyperlink"/>
            <w:lang w:val="en-CA"/>
          </w:rPr>
          <w:t xml:space="preserve"> </w:t>
        </w:r>
      </w:hyperlink>
      <w:hyperlink r:id="rId261">
        <w:r w:rsidRPr="008C0D99">
          <w:rPr>
            <w:rStyle w:val="Hyperlink"/>
            <w:lang w:val="en-CA"/>
          </w:rPr>
          <w:t>https://www.cbbag.ca/resources/Public/Book%20Arts%20ENG%20FRE%20Translation.pdf</w:t>
        </w:r>
      </w:hyperlink>
      <w:r w:rsidRPr="008C0D99">
        <w:rPr>
          <w:lang w:val="en-CA"/>
        </w:rPr>
        <w:t>.</w:t>
      </w:r>
    </w:p>
    <w:p w14:paraId="28DAFF59" w14:textId="77777777" w:rsidR="0054555C" w:rsidRPr="0054555C" w:rsidRDefault="0054555C" w:rsidP="0054555C">
      <w:pPr>
        <w:pStyle w:val="BodyText"/>
        <w:rPr>
          <w:lang w:val="en-CA"/>
        </w:rPr>
      </w:pPr>
    </w:p>
    <w:p w14:paraId="16A94DBC" w14:textId="77777777" w:rsidR="0084489F" w:rsidRDefault="00110FE6">
      <w:pPr>
        <w:pStyle w:val="Heading2"/>
      </w:pPr>
      <w:bookmarkStart w:id="340" w:name="_Toc176864550"/>
      <w:bookmarkStart w:id="341" w:name="p37-a-assigne-(a-ete-assigne-par)"/>
      <w:bookmarkEnd w:id="339"/>
      <w:r>
        <w:t>P37 a assigné (a été assigné par)</w:t>
      </w:r>
      <w:bookmarkEnd w:id="340"/>
    </w:p>
    <w:p w14:paraId="7817ECC6" w14:textId="77777777" w:rsidR="0084489F" w:rsidRDefault="00110FE6">
      <w:pPr>
        <w:pStyle w:val="FirstParagraph"/>
      </w:pPr>
      <w:r>
        <w:rPr>
          <w:b/>
          <w:bCs/>
        </w:rPr>
        <w:t>Domaine</w:t>
      </w:r>
    </w:p>
    <w:p w14:paraId="48E37312" w14:textId="77777777" w:rsidR="0084489F" w:rsidRDefault="00110FE6">
      <w:pPr>
        <w:pStyle w:val="BodyText"/>
      </w:pPr>
      <w:r>
        <w:rPr>
          <w:rStyle w:val="VerbatimChar"/>
        </w:rPr>
        <w:t>E15_Assignation_d’identifiant</w:t>
      </w:r>
    </w:p>
    <w:p w14:paraId="58C25F37" w14:textId="77777777" w:rsidR="0084489F" w:rsidRDefault="00110FE6">
      <w:pPr>
        <w:pStyle w:val="BodyText"/>
      </w:pPr>
      <w:r>
        <w:rPr>
          <w:b/>
          <w:bCs/>
        </w:rPr>
        <w:t>Portée</w:t>
      </w:r>
    </w:p>
    <w:p w14:paraId="33CBAD7A" w14:textId="77777777" w:rsidR="0084489F" w:rsidRDefault="00110FE6">
      <w:pPr>
        <w:pStyle w:val="BodyText"/>
      </w:pPr>
      <w:r>
        <w:rPr>
          <w:rStyle w:val="VerbatimChar"/>
        </w:rPr>
        <w:t>E42_Identifiant</w:t>
      </w:r>
    </w:p>
    <w:p w14:paraId="27CAFBC3" w14:textId="77777777" w:rsidR="0084489F" w:rsidRDefault="00110FE6">
      <w:pPr>
        <w:pStyle w:val="BodyText"/>
      </w:pPr>
      <w:r>
        <w:rPr>
          <w:b/>
          <w:bCs/>
        </w:rPr>
        <w:t>Sous-propriété de</w:t>
      </w:r>
    </w:p>
    <w:p w14:paraId="31292488" w14:textId="77777777" w:rsidR="0084489F" w:rsidRDefault="00110FE6">
      <w:pPr>
        <w:pStyle w:val="BodyText"/>
      </w:pPr>
      <w:r w:rsidRPr="1B9E7434">
        <w:rPr>
          <w:rStyle w:val="VerbatimChar"/>
          <w:lang w:val="fr-FR"/>
        </w:rPr>
        <w:t>E13_Assignation_d’attribut</w:t>
      </w:r>
      <w:r w:rsidRPr="1B9E7434">
        <w:rPr>
          <w:lang w:val="fr-FR"/>
        </w:rPr>
        <w:t xml:space="preserve">. </w:t>
      </w:r>
      <w:r w:rsidRPr="1B9E7434">
        <w:rPr>
          <w:rStyle w:val="VerbatimChar"/>
          <w:lang w:val="fr-FR"/>
        </w:rPr>
        <w:t>P141_a_assigné (a_été_assigné_par)</w:t>
      </w:r>
      <w:r w:rsidRPr="1B9E7434">
        <w:rPr>
          <w:lang w:val="fr-FR"/>
        </w:rPr>
        <w:t xml:space="preserve">: </w:t>
      </w:r>
      <w:r w:rsidRPr="1B9E7434">
        <w:rPr>
          <w:rStyle w:val="VerbatimChar"/>
          <w:lang w:val="fr-FR"/>
        </w:rPr>
        <w:t>E1_Entité_CRM</w:t>
      </w:r>
    </w:p>
    <w:p w14:paraId="126B5432" w14:textId="77777777" w:rsidR="0084489F" w:rsidRDefault="00110FE6">
      <w:pPr>
        <w:pStyle w:val="BodyText"/>
      </w:pPr>
      <w:r>
        <w:rPr>
          <w:b/>
          <w:bCs/>
        </w:rPr>
        <w:t>Super-propriété de</w:t>
      </w:r>
    </w:p>
    <w:p w14:paraId="3A89AD06" w14:textId="77777777" w:rsidR="0084489F" w:rsidRDefault="00110FE6">
      <w:pPr>
        <w:pStyle w:val="BodyText"/>
      </w:pPr>
      <w:r>
        <w:rPr>
          <w:b/>
          <w:bCs/>
        </w:rPr>
        <w:t>Quantification</w:t>
      </w:r>
    </w:p>
    <w:p w14:paraId="4EBF951F" w14:textId="77777777" w:rsidR="0084489F" w:rsidRDefault="00110FE6">
      <w:pPr>
        <w:pStyle w:val="BodyText"/>
      </w:pPr>
      <w:r w:rsidRPr="1B9E7434">
        <w:rPr>
          <w:lang w:val="fr-FR"/>
        </w:rPr>
        <w:t>plusieurs à plusieurs (0,n:0,n)</w:t>
      </w:r>
    </w:p>
    <w:p w14:paraId="26C8AD37" w14:textId="77777777" w:rsidR="0084489F" w:rsidRDefault="00110FE6">
      <w:pPr>
        <w:pStyle w:val="BodyText"/>
      </w:pPr>
      <w:r>
        <w:rPr>
          <w:b/>
          <w:bCs/>
        </w:rPr>
        <w:t>Note d’application</w:t>
      </w:r>
    </w:p>
    <w:p w14:paraId="7BA9E07B" w14:textId="77777777" w:rsidR="0084489F" w:rsidRDefault="00110FE6">
      <w:pPr>
        <w:pStyle w:val="BodyText"/>
      </w:pPr>
      <w:r>
        <w:t xml:space="preserve">Cette propriété enregistre l'identifiant qui a été assigné à une entité dans le cadre d'une instance de </w:t>
      </w:r>
      <w:r>
        <w:rPr>
          <w:rStyle w:val="VerbatimChar"/>
        </w:rPr>
        <w:t>E15_Assignation_d’identifiant</w:t>
      </w:r>
      <w:r>
        <w:t>.</w:t>
      </w:r>
    </w:p>
    <w:p w14:paraId="3F15D628" w14:textId="77777777" w:rsidR="0084489F" w:rsidRDefault="00110FE6">
      <w:pPr>
        <w:pStyle w:val="BodyText"/>
      </w:pPr>
      <w:r>
        <w:t>Le même identifiant peut être assigné à plusieurs reprises.</w:t>
      </w:r>
    </w:p>
    <w:p w14:paraId="43C57F98" w14:textId="77777777" w:rsidR="0084489F" w:rsidRDefault="00110FE6">
      <w:pPr>
        <w:pStyle w:val="BodyText"/>
      </w:pPr>
      <w:r>
        <w:t>Un identifiant peut être créé avant une assignation.</w:t>
      </w:r>
    </w:p>
    <w:p w14:paraId="0ABCB381" w14:textId="77777777" w:rsidR="0084489F" w:rsidRDefault="00110FE6">
      <w:pPr>
        <w:pStyle w:val="BodyText"/>
      </w:pPr>
      <w:r>
        <w:rPr>
          <w:b/>
          <w:bCs/>
        </w:rPr>
        <w:t>Exemples</w:t>
      </w:r>
    </w:p>
    <w:p w14:paraId="043F01B5" w14:textId="29456295" w:rsidR="0084489F" w:rsidRDefault="00110FE6" w:rsidP="00806324">
      <w:pPr>
        <w:numPr>
          <w:ilvl w:val="0"/>
          <w:numId w:val="172"/>
        </w:numPr>
      </w:pPr>
      <w:r w:rsidRPr="1B9E7434">
        <w:rPr>
          <w:lang w:val="fr-FR"/>
        </w:rPr>
        <w:t>L'assignation d'un identifiant le 1</w:t>
      </w:r>
      <w:r w:rsidRPr="1B9E7434">
        <w:rPr>
          <w:vertAlign w:val="superscript"/>
          <w:lang w:val="fr-FR"/>
        </w:rPr>
        <w:t>er</w:t>
      </w:r>
      <w:r w:rsidRPr="1B9E7434">
        <w:rPr>
          <w:lang w:val="fr-FR"/>
        </w:rPr>
        <w:t xml:space="preserve"> juin 1997 à la coupe en argent donnée par Martin Dœrr (</w:t>
      </w:r>
      <w:r w:rsidRPr="1B9E7434">
        <w:rPr>
          <w:rStyle w:val="VerbatimChar"/>
          <w:lang w:val="fr-FR"/>
        </w:rPr>
        <w:t>E15_Assignation_d’identifiant</w:t>
      </w:r>
      <w:r w:rsidRPr="1B9E7434">
        <w:rPr>
          <w:lang w:val="fr-FR"/>
        </w:rPr>
        <w:t>) a assigné (</w:t>
      </w:r>
      <w:r w:rsidRPr="1B9E7434">
        <w:rPr>
          <w:rStyle w:val="VerbatimChar"/>
          <w:lang w:val="fr-FR"/>
        </w:rPr>
        <w:t>P37_a_assigné</w:t>
      </w:r>
      <w:r w:rsidRPr="1B9E7434">
        <w:rPr>
          <w:lang w:val="fr-FR"/>
        </w:rPr>
        <w:t>) « 232 » (</w:t>
      </w:r>
      <w:r w:rsidRPr="1B9E7434">
        <w:rPr>
          <w:rStyle w:val="VerbatimChar"/>
          <w:lang w:val="fr-FR"/>
        </w:rPr>
        <w:t>E42_Identifiant</w:t>
      </w:r>
      <w:r w:rsidRPr="1B9E7434">
        <w:rPr>
          <w:lang w:val="fr-FR"/>
        </w:rPr>
        <w:t>) (fictif)</w:t>
      </w:r>
    </w:p>
    <w:p w14:paraId="003125D2" w14:textId="77777777" w:rsidR="0084489F" w:rsidRDefault="00110FE6">
      <w:pPr>
        <w:pStyle w:val="FirstParagraph"/>
      </w:pPr>
      <w:r>
        <w:rPr>
          <w:b/>
          <w:bCs/>
        </w:rPr>
        <w:t>Logique</w:t>
      </w:r>
    </w:p>
    <w:p w14:paraId="78848B14" w14:textId="77777777" w:rsidR="0084489F" w:rsidRDefault="00110FE6">
      <w:pPr>
        <w:pStyle w:val="BodyText"/>
      </w:pPr>
      <w:r w:rsidRPr="1B9E7434">
        <w:rPr>
          <w:lang w:val="fr-FR"/>
        </w:rPr>
        <w:t>P37(x,y) ⇒ E15(x)</w:t>
      </w:r>
    </w:p>
    <w:p w14:paraId="0FD87B67" w14:textId="77777777" w:rsidR="0084489F" w:rsidRDefault="00110FE6">
      <w:pPr>
        <w:pStyle w:val="BodyText"/>
      </w:pPr>
      <w:r w:rsidRPr="1B9E7434">
        <w:rPr>
          <w:lang w:val="fr-FR"/>
        </w:rPr>
        <w:t>P37(x,y) ⇒ E42(y)</w:t>
      </w:r>
    </w:p>
    <w:p w14:paraId="7F02C6F3" w14:textId="77777777" w:rsidR="0084489F" w:rsidRDefault="00110FE6">
      <w:pPr>
        <w:pStyle w:val="BodyText"/>
      </w:pPr>
      <w:r w:rsidRPr="1B9E7434">
        <w:rPr>
          <w:lang w:val="fr-FR"/>
        </w:rPr>
        <w:t>P37(x,y) ⇒ P141(x,y)</w:t>
      </w:r>
    </w:p>
    <w:p w14:paraId="289762BF" w14:textId="77777777" w:rsidR="0084489F" w:rsidRDefault="00110FE6">
      <w:pPr>
        <w:pStyle w:val="BodyText"/>
      </w:pPr>
      <w:r>
        <w:rPr>
          <w:b/>
          <w:bCs/>
        </w:rPr>
        <w:lastRenderedPageBreak/>
        <w:t>Propriétés</w:t>
      </w:r>
    </w:p>
    <w:p w14:paraId="52B406A3" w14:textId="77777777" w:rsidR="0084489F" w:rsidRDefault="00110FE6">
      <w:pPr>
        <w:pStyle w:val="BlockText"/>
      </w:pPr>
      <w:r>
        <w:rPr>
          <w:b/>
          <w:bCs/>
          <w:i/>
          <w:iCs/>
        </w:rPr>
        <w:t>Note de traduction</w:t>
      </w:r>
    </w:p>
    <w:p w14:paraId="5F6F7F78" w14:textId="77777777" w:rsidR="0084489F" w:rsidRDefault="00110FE6">
      <w:pPr>
        <w:pStyle w:val="BlockText"/>
      </w:pPr>
      <w:r w:rsidRPr="1B9E7434">
        <w:rPr>
          <w:lang w:val="fr-FR"/>
        </w:rPr>
        <w:t xml:space="preserve">Dans la phrase « This property records the identifier that was assigned to an item in an instance of P37 Identifier Assignment », le code de </w:t>
      </w:r>
      <w:r w:rsidRPr="1B9E7434">
        <w:rPr>
          <w:rStyle w:val="VerbatimChar"/>
          <w:lang w:val="fr-FR"/>
        </w:rPr>
        <w:t>E15_Assignation_d’identifiant</w:t>
      </w:r>
      <w:r w:rsidRPr="1B9E7434">
        <w:rPr>
          <w:lang w:val="fr-FR"/>
        </w:rPr>
        <w:t xml:space="preserve"> est indiqué comme « P37 ». Cela est une erreur qui n'a pas été reproduite dans la version traduite.</w:t>
      </w:r>
    </w:p>
    <w:p w14:paraId="097049AC" w14:textId="544CBBFD" w:rsidR="0084489F" w:rsidRDefault="00110FE6" w:rsidP="0054555C">
      <w:pPr>
        <w:pStyle w:val="BlockText"/>
      </w:pPr>
      <w:r>
        <w:rPr>
          <w:b/>
          <w:bCs/>
          <w:i/>
          <w:iCs/>
        </w:rPr>
        <w:t>Références</w:t>
      </w:r>
    </w:p>
    <w:p w14:paraId="33C7010F" w14:textId="77777777" w:rsidR="0084489F" w:rsidRDefault="00110FE6">
      <w:pPr>
        <w:pStyle w:val="Heading2"/>
      </w:pPr>
      <w:bookmarkStart w:id="342" w:name="_Toc176864551"/>
      <w:bookmarkStart w:id="343" w:name="X737faa6bb0a253d3a546f4ca5cec63e8855fac9"/>
      <w:bookmarkEnd w:id="341"/>
      <w:r>
        <w:t>P38 a retiré l'assignation (a été retiré par)</w:t>
      </w:r>
      <w:bookmarkEnd w:id="342"/>
    </w:p>
    <w:p w14:paraId="7480716A" w14:textId="77777777" w:rsidR="0084489F" w:rsidRDefault="00110FE6">
      <w:pPr>
        <w:pStyle w:val="FirstParagraph"/>
      </w:pPr>
      <w:r>
        <w:rPr>
          <w:b/>
          <w:bCs/>
        </w:rPr>
        <w:t>Domaine</w:t>
      </w:r>
    </w:p>
    <w:p w14:paraId="7E8BEEF5" w14:textId="77777777" w:rsidR="0084489F" w:rsidRDefault="00110FE6">
      <w:pPr>
        <w:pStyle w:val="BodyText"/>
      </w:pPr>
      <w:r>
        <w:rPr>
          <w:rStyle w:val="VerbatimChar"/>
        </w:rPr>
        <w:t>E15_Assignation_d’identifiant</w:t>
      </w:r>
    </w:p>
    <w:p w14:paraId="595B2C28" w14:textId="77777777" w:rsidR="0084489F" w:rsidRDefault="00110FE6">
      <w:pPr>
        <w:pStyle w:val="BodyText"/>
      </w:pPr>
      <w:r>
        <w:rPr>
          <w:b/>
          <w:bCs/>
        </w:rPr>
        <w:t>Portée</w:t>
      </w:r>
    </w:p>
    <w:p w14:paraId="19B9DDD0" w14:textId="77777777" w:rsidR="0084489F" w:rsidRDefault="00110FE6">
      <w:pPr>
        <w:pStyle w:val="BodyText"/>
      </w:pPr>
      <w:r>
        <w:rPr>
          <w:rStyle w:val="VerbatimChar"/>
        </w:rPr>
        <w:t>E42_Identifiant</w:t>
      </w:r>
    </w:p>
    <w:p w14:paraId="0A7F41E4" w14:textId="77777777" w:rsidR="0084489F" w:rsidRDefault="00110FE6">
      <w:pPr>
        <w:pStyle w:val="BodyText"/>
      </w:pPr>
      <w:r>
        <w:rPr>
          <w:b/>
          <w:bCs/>
        </w:rPr>
        <w:t>Sous-propriété de</w:t>
      </w:r>
    </w:p>
    <w:p w14:paraId="4F0F8CB0" w14:textId="77777777" w:rsidR="0084489F" w:rsidRDefault="00110FE6">
      <w:pPr>
        <w:pStyle w:val="BodyText"/>
      </w:pPr>
      <w:r w:rsidRPr="1B9E7434">
        <w:rPr>
          <w:rStyle w:val="VerbatimChar"/>
          <w:lang w:val="fr-FR"/>
        </w:rPr>
        <w:t>E13_Assignation_d’attribut</w:t>
      </w:r>
      <w:r w:rsidRPr="1B9E7434">
        <w:rPr>
          <w:lang w:val="fr-FR"/>
        </w:rPr>
        <w:t xml:space="preserve">. </w:t>
      </w:r>
      <w:r w:rsidRPr="1B9E7434">
        <w:rPr>
          <w:rStyle w:val="VerbatimChar"/>
          <w:lang w:val="fr-FR"/>
        </w:rPr>
        <w:t>P141_a_assigné (a_été_assigné_par)</w:t>
      </w:r>
      <w:r w:rsidRPr="1B9E7434">
        <w:rPr>
          <w:lang w:val="fr-FR"/>
        </w:rPr>
        <w:t xml:space="preserve"> : </w:t>
      </w:r>
      <w:r w:rsidRPr="1B9E7434">
        <w:rPr>
          <w:rStyle w:val="VerbatimChar"/>
          <w:lang w:val="fr-FR"/>
        </w:rPr>
        <w:t>E1_Entité_CRM</w:t>
      </w:r>
    </w:p>
    <w:p w14:paraId="22951302" w14:textId="77777777" w:rsidR="0084489F" w:rsidRDefault="00110FE6">
      <w:pPr>
        <w:pStyle w:val="BodyText"/>
      </w:pPr>
      <w:r>
        <w:rPr>
          <w:b/>
          <w:bCs/>
        </w:rPr>
        <w:t>Super-propriété de</w:t>
      </w:r>
    </w:p>
    <w:p w14:paraId="4C06E9C0" w14:textId="77777777" w:rsidR="0084489F" w:rsidRDefault="00110FE6">
      <w:pPr>
        <w:pStyle w:val="BodyText"/>
      </w:pPr>
      <w:r>
        <w:rPr>
          <w:b/>
          <w:bCs/>
        </w:rPr>
        <w:t>Quantification</w:t>
      </w:r>
    </w:p>
    <w:p w14:paraId="4042432A" w14:textId="77777777" w:rsidR="0084489F" w:rsidRDefault="00110FE6">
      <w:pPr>
        <w:pStyle w:val="BodyText"/>
      </w:pPr>
      <w:r w:rsidRPr="1B9E7434">
        <w:rPr>
          <w:lang w:val="fr-FR"/>
        </w:rPr>
        <w:t>plusieurs à plusieurs (0,n:0,n)</w:t>
      </w:r>
    </w:p>
    <w:p w14:paraId="491788FC" w14:textId="77777777" w:rsidR="0084489F" w:rsidRDefault="00110FE6">
      <w:pPr>
        <w:pStyle w:val="BodyText"/>
      </w:pPr>
      <w:r>
        <w:rPr>
          <w:b/>
          <w:bCs/>
        </w:rPr>
        <w:t>Note d’application</w:t>
      </w:r>
    </w:p>
    <w:p w14:paraId="26EF0683" w14:textId="77777777" w:rsidR="0084489F" w:rsidRDefault="00110FE6">
      <w:pPr>
        <w:pStyle w:val="BodyText"/>
      </w:pPr>
      <w:r>
        <w:t xml:space="preserve">Cette propriété enregistre l'identifiant d'une instance de </w:t>
      </w:r>
      <w:r>
        <w:rPr>
          <w:rStyle w:val="VerbatimChar"/>
        </w:rPr>
        <w:t>E1_Entité_CRM</w:t>
      </w:r>
      <w:r>
        <w:t xml:space="preserve"> pour lequel une assignation a été retirée.</w:t>
      </w:r>
    </w:p>
    <w:p w14:paraId="3AD996B3" w14:textId="77777777" w:rsidR="0084489F" w:rsidRDefault="00110FE6">
      <w:pPr>
        <w:pStyle w:val="BodyText"/>
      </w:pPr>
      <w:r>
        <w:t>Le retrait de l'assignation d'un identifiant peut être nécessaire lorsqu'un élément est retiré d'un inventaire, qu'un nouveau système de numérotation est introduit ou que les éléments sont fusionnés ou divisés.</w:t>
      </w:r>
    </w:p>
    <w:p w14:paraId="487712F7" w14:textId="77777777" w:rsidR="0084489F" w:rsidRDefault="00110FE6">
      <w:pPr>
        <w:pStyle w:val="BodyText"/>
      </w:pPr>
      <w:r>
        <w:t>Le même identifiant peut être retiré à plusieurs reprises.</w:t>
      </w:r>
    </w:p>
    <w:p w14:paraId="1B1F6194" w14:textId="77777777" w:rsidR="0084489F" w:rsidRDefault="00110FE6">
      <w:pPr>
        <w:pStyle w:val="BodyText"/>
      </w:pPr>
      <w:r>
        <w:rPr>
          <w:b/>
          <w:bCs/>
        </w:rPr>
        <w:t>Exemples</w:t>
      </w:r>
    </w:p>
    <w:p w14:paraId="1DEF280F" w14:textId="424697E9" w:rsidR="0084489F" w:rsidRDefault="00110FE6" w:rsidP="00806324">
      <w:pPr>
        <w:numPr>
          <w:ilvl w:val="0"/>
          <w:numId w:val="173"/>
        </w:numPr>
      </w:pPr>
      <w:r w:rsidRPr="1B9E7434">
        <w:rPr>
          <w:lang w:val="fr-FR"/>
        </w:rPr>
        <w:t>L'assignation d'un identifiant le 31 juillet 2001 à la coupe en argent (</w:t>
      </w:r>
      <w:r w:rsidRPr="1B9E7434">
        <w:rPr>
          <w:rStyle w:val="VerbatimChar"/>
          <w:lang w:val="fr-FR"/>
        </w:rPr>
        <w:t>E15_Assignation_d’identifiant</w:t>
      </w:r>
      <w:r w:rsidRPr="1B9E7434">
        <w:rPr>
          <w:lang w:val="fr-FR"/>
        </w:rPr>
        <w:t>) soit le « OXCMS:2001.1.32 » a retiré l'assignation de (</w:t>
      </w:r>
      <w:r w:rsidRPr="1B9E7434">
        <w:rPr>
          <w:rStyle w:val="VerbatimChar"/>
          <w:lang w:val="fr-FR"/>
        </w:rPr>
        <w:t>P38_a_retiré_l’assignation</w:t>
      </w:r>
      <w:r w:rsidRPr="1B9E7434">
        <w:rPr>
          <w:lang w:val="fr-FR"/>
        </w:rPr>
        <w:t>) son identifiant précédent « 232 » (</w:t>
      </w:r>
      <w:r w:rsidRPr="1B9E7434">
        <w:rPr>
          <w:rStyle w:val="VerbatimChar"/>
          <w:lang w:val="fr-FR"/>
        </w:rPr>
        <w:t>E42_Identifiant</w:t>
      </w:r>
      <w:r w:rsidRPr="1B9E7434">
        <w:rPr>
          <w:lang w:val="fr-FR"/>
        </w:rPr>
        <w:t>) (fictif)</w:t>
      </w:r>
    </w:p>
    <w:p w14:paraId="7AE09140" w14:textId="77777777" w:rsidR="0084489F" w:rsidRDefault="00110FE6">
      <w:pPr>
        <w:pStyle w:val="FirstParagraph"/>
      </w:pPr>
      <w:r>
        <w:rPr>
          <w:b/>
          <w:bCs/>
        </w:rPr>
        <w:t>Logique</w:t>
      </w:r>
    </w:p>
    <w:p w14:paraId="1431413C" w14:textId="77777777" w:rsidR="0084489F" w:rsidRDefault="00110FE6">
      <w:pPr>
        <w:pStyle w:val="BodyText"/>
      </w:pPr>
      <w:r w:rsidRPr="1B9E7434">
        <w:rPr>
          <w:lang w:val="fr-FR"/>
        </w:rPr>
        <w:t>P38(x,y) ⇒ E15(x)</w:t>
      </w:r>
    </w:p>
    <w:p w14:paraId="40A04D60" w14:textId="77777777" w:rsidR="0084489F" w:rsidRDefault="00110FE6">
      <w:pPr>
        <w:pStyle w:val="BodyText"/>
      </w:pPr>
      <w:r w:rsidRPr="1B9E7434">
        <w:rPr>
          <w:lang w:val="fr-FR"/>
        </w:rPr>
        <w:t>P38(x,y) ⇒ E42(y)</w:t>
      </w:r>
    </w:p>
    <w:p w14:paraId="60C526A7" w14:textId="77777777" w:rsidR="0084489F" w:rsidRDefault="00110FE6">
      <w:pPr>
        <w:pStyle w:val="BodyText"/>
      </w:pPr>
      <w:r w:rsidRPr="1B9E7434">
        <w:rPr>
          <w:lang w:val="fr-FR"/>
        </w:rPr>
        <w:t>P38(x,y) ⇒ P141(x,y)</w:t>
      </w:r>
    </w:p>
    <w:p w14:paraId="0668B927" w14:textId="77777777" w:rsidR="0084489F" w:rsidRDefault="00110FE6">
      <w:pPr>
        <w:pStyle w:val="BodyText"/>
      </w:pPr>
      <w:r>
        <w:rPr>
          <w:b/>
          <w:bCs/>
        </w:rPr>
        <w:t>Propriétés</w:t>
      </w:r>
    </w:p>
    <w:p w14:paraId="7A93B088" w14:textId="77777777" w:rsidR="0084489F" w:rsidRDefault="00110FE6">
      <w:pPr>
        <w:pStyle w:val="BlockText"/>
      </w:pPr>
      <w:r>
        <w:rPr>
          <w:b/>
          <w:bCs/>
          <w:i/>
          <w:iCs/>
        </w:rPr>
        <w:t>Note de traduction</w:t>
      </w:r>
    </w:p>
    <w:p w14:paraId="0EE8476C" w14:textId="77777777" w:rsidR="0084489F" w:rsidRDefault="00110FE6">
      <w:pPr>
        <w:pStyle w:val="BlockText"/>
      </w:pPr>
      <w:r>
        <w:rPr>
          <w:b/>
          <w:bCs/>
          <w:i/>
          <w:iCs/>
        </w:rPr>
        <w:t>Références</w:t>
      </w:r>
    </w:p>
    <w:p w14:paraId="0008B103" w14:textId="77777777" w:rsidR="0084489F" w:rsidRDefault="0084489F">
      <w:pPr>
        <w:pStyle w:val="BlockText"/>
      </w:pPr>
    </w:p>
    <w:p w14:paraId="687B6B19" w14:textId="77777777" w:rsidR="0084489F" w:rsidRDefault="00110FE6">
      <w:pPr>
        <w:pStyle w:val="Heading2"/>
      </w:pPr>
      <w:bookmarkStart w:id="344" w:name="_Toc176864552"/>
      <w:bookmarkStart w:id="345" w:name="p39-a-mesure-(a-ete-mesure-par)"/>
      <w:bookmarkEnd w:id="343"/>
      <w:r>
        <w:lastRenderedPageBreak/>
        <w:t>P39 a mesuré (a été mesuré par)</w:t>
      </w:r>
      <w:bookmarkEnd w:id="344"/>
    </w:p>
    <w:p w14:paraId="61C881F6" w14:textId="77777777" w:rsidR="0084489F" w:rsidRDefault="00110FE6">
      <w:pPr>
        <w:pStyle w:val="FirstParagraph"/>
      </w:pPr>
      <w:r>
        <w:rPr>
          <w:b/>
          <w:bCs/>
        </w:rPr>
        <w:t>Domaine</w:t>
      </w:r>
    </w:p>
    <w:p w14:paraId="642EA6B6" w14:textId="77777777" w:rsidR="0084489F" w:rsidRDefault="00110FE6">
      <w:pPr>
        <w:pStyle w:val="BodyText"/>
      </w:pPr>
      <w:r>
        <w:rPr>
          <w:rStyle w:val="VerbatimChar"/>
        </w:rPr>
        <w:t>E16_Mesurage</w:t>
      </w:r>
    </w:p>
    <w:p w14:paraId="6CBE86FB" w14:textId="77777777" w:rsidR="0084489F" w:rsidRDefault="00110FE6" w:rsidP="0054555C">
      <w:pPr>
        <w:pStyle w:val="BodyText"/>
        <w:keepNext/>
      </w:pPr>
      <w:r>
        <w:rPr>
          <w:b/>
          <w:bCs/>
        </w:rPr>
        <w:t>Portée</w:t>
      </w:r>
    </w:p>
    <w:p w14:paraId="644D367B" w14:textId="77777777" w:rsidR="0084489F" w:rsidRDefault="00110FE6" w:rsidP="0054555C">
      <w:pPr>
        <w:pStyle w:val="BodyText"/>
        <w:keepNext/>
      </w:pPr>
      <w:r>
        <w:rPr>
          <w:rStyle w:val="VerbatimChar"/>
        </w:rPr>
        <w:t>E18_Chose_matérielle</w:t>
      </w:r>
    </w:p>
    <w:p w14:paraId="012FEAB9" w14:textId="77777777" w:rsidR="0084489F" w:rsidRDefault="00110FE6">
      <w:pPr>
        <w:pStyle w:val="BodyText"/>
      </w:pPr>
      <w:r>
        <w:rPr>
          <w:b/>
          <w:bCs/>
        </w:rPr>
        <w:t>Sous-propriété de</w:t>
      </w:r>
    </w:p>
    <w:p w14:paraId="264C6D1C" w14:textId="77777777" w:rsidR="0084489F" w:rsidRDefault="00110FE6">
      <w:pPr>
        <w:pStyle w:val="BodyText"/>
      </w:pPr>
      <w:r w:rsidRPr="1B9E7434">
        <w:rPr>
          <w:rStyle w:val="VerbatimChar"/>
          <w:lang w:val="fr-FR"/>
        </w:rPr>
        <w:t>E13_Assignation_d’attribut</w:t>
      </w:r>
      <w:r w:rsidRPr="1B9E7434">
        <w:rPr>
          <w:lang w:val="fr-FR"/>
        </w:rPr>
        <w:t xml:space="preserve">. </w:t>
      </w:r>
      <w:r w:rsidRPr="1B9E7434">
        <w:rPr>
          <w:rStyle w:val="VerbatimChar"/>
          <w:lang w:val="fr-FR"/>
        </w:rPr>
        <w:t>P140_a_assigné_l’attribut_à (a_reçu_l’attribut_par)</w:t>
      </w:r>
      <w:r w:rsidRPr="1B9E7434">
        <w:rPr>
          <w:lang w:val="fr-FR"/>
        </w:rPr>
        <w:t xml:space="preserve"> : </w:t>
      </w:r>
      <w:r w:rsidRPr="1B9E7434">
        <w:rPr>
          <w:rStyle w:val="VerbatimChar"/>
          <w:lang w:val="fr-FR"/>
        </w:rPr>
        <w:t>E1_Entité_CRM</w:t>
      </w:r>
    </w:p>
    <w:p w14:paraId="5D02A3F6" w14:textId="77777777" w:rsidR="0084489F" w:rsidRDefault="00110FE6">
      <w:pPr>
        <w:pStyle w:val="BodyText"/>
      </w:pPr>
      <w:r>
        <w:rPr>
          <w:b/>
          <w:bCs/>
        </w:rPr>
        <w:t>Super-propriété de</w:t>
      </w:r>
    </w:p>
    <w:p w14:paraId="49590313" w14:textId="77777777" w:rsidR="0084489F" w:rsidRDefault="00110FE6">
      <w:pPr>
        <w:pStyle w:val="BodyText"/>
      </w:pPr>
      <w:r>
        <w:rPr>
          <w:b/>
          <w:bCs/>
        </w:rPr>
        <w:t>Quantification</w:t>
      </w:r>
    </w:p>
    <w:p w14:paraId="76D7C4DE" w14:textId="77777777" w:rsidR="0084489F" w:rsidRDefault="00110FE6">
      <w:pPr>
        <w:pStyle w:val="BodyText"/>
      </w:pPr>
      <w:r w:rsidRPr="1B9E7434">
        <w:rPr>
          <w:lang w:val="fr-FR"/>
        </w:rPr>
        <w:t>plusieurs à un, nécessaire (1,1:0,n)</w:t>
      </w:r>
    </w:p>
    <w:p w14:paraId="4EA8781A" w14:textId="77777777" w:rsidR="0084489F" w:rsidRDefault="00110FE6">
      <w:pPr>
        <w:pStyle w:val="BodyText"/>
      </w:pPr>
      <w:r>
        <w:rPr>
          <w:b/>
          <w:bCs/>
        </w:rPr>
        <w:t>Note d’application</w:t>
      </w:r>
    </w:p>
    <w:p w14:paraId="3014563D" w14:textId="77777777" w:rsidR="0084489F" w:rsidRDefault="00110FE6">
      <w:pPr>
        <w:pStyle w:val="BodyText"/>
      </w:pPr>
      <w:r>
        <w:t xml:space="preserve">Cette propriété associe une instance de </w:t>
      </w:r>
      <w:r>
        <w:rPr>
          <w:rStyle w:val="VerbatimChar"/>
        </w:rPr>
        <w:t>E16_Mesurage</w:t>
      </w:r>
      <w:r>
        <w:t xml:space="preserve"> à l’instance de </w:t>
      </w:r>
      <w:r>
        <w:rPr>
          <w:rStyle w:val="VerbatimChar"/>
        </w:rPr>
        <w:t>E18_Chose_matérielle</w:t>
      </w:r>
      <w:r>
        <w:t xml:space="preserve"> sur laquelle elle a agi. L’instance de </w:t>
      </w:r>
      <w:r>
        <w:rPr>
          <w:rStyle w:val="VerbatimChar"/>
        </w:rPr>
        <w:t>E16_Mesurage</w:t>
      </w:r>
      <w:r>
        <w:t xml:space="preserve"> est spécifique à l’objet mesuré. Une instance de </w:t>
      </w:r>
      <w:r>
        <w:rPr>
          <w:rStyle w:val="VerbatimChar"/>
        </w:rPr>
        <w:t>E18_Chose_matérielle</w:t>
      </w:r>
      <w:r>
        <w:t xml:space="preserve"> peut être mesurée plus d’une fois avec des résultats différents, constituant différentes instances de </w:t>
      </w:r>
      <w:r>
        <w:rPr>
          <w:rStyle w:val="VerbatimChar"/>
        </w:rPr>
        <w:t>E16_Mesurage</w:t>
      </w:r>
      <w:r>
        <w:t>.</w:t>
      </w:r>
    </w:p>
    <w:p w14:paraId="173D1F01" w14:textId="77777777" w:rsidR="0084489F" w:rsidRDefault="00110FE6">
      <w:pPr>
        <w:pStyle w:val="BodyText"/>
      </w:pPr>
      <w:r>
        <w:rPr>
          <w:b/>
          <w:bCs/>
        </w:rPr>
        <w:t>Exemples</w:t>
      </w:r>
    </w:p>
    <w:p w14:paraId="1EDB2FB9" w14:textId="77777777" w:rsidR="0084489F" w:rsidRDefault="00110FE6" w:rsidP="00806324">
      <w:pPr>
        <w:numPr>
          <w:ilvl w:val="0"/>
          <w:numId w:val="174"/>
        </w:numPr>
      </w:pPr>
      <w:r>
        <w:t>Le mesurage de la hauteur de la coupe en argent « 232 » le 31 août 1997 (</w:t>
      </w:r>
      <w:r>
        <w:rPr>
          <w:rStyle w:val="VerbatimChar"/>
        </w:rPr>
        <w:t>E16_Mesurage</w:t>
      </w:r>
      <w:r>
        <w:t>) a mesuré (</w:t>
      </w:r>
      <w:r>
        <w:rPr>
          <w:rStyle w:val="VerbatimChar"/>
        </w:rPr>
        <w:t>P39_a_mesuré</w:t>
      </w:r>
      <w:r>
        <w:t>) la coupe en argent « 232 » (</w:t>
      </w:r>
      <w:r>
        <w:rPr>
          <w:rStyle w:val="VerbatimChar"/>
        </w:rPr>
        <w:t>E22_Objet_élaboré_par_l’humain</w:t>
      </w:r>
      <w:r>
        <w:t>) (fictif)</w:t>
      </w:r>
    </w:p>
    <w:p w14:paraId="59C29530" w14:textId="5779A995" w:rsidR="0084489F" w:rsidRDefault="00110FE6" w:rsidP="00806324">
      <w:pPr>
        <w:numPr>
          <w:ilvl w:val="0"/>
          <w:numId w:val="174"/>
        </w:numPr>
      </w:pPr>
      <w:r w:rsidRPr="1B9E7434">
        <w:rPr>
          <w:lang w:val="fr-FR"/>
        </w:rPr>
        <w:t>La datation au carbone 14 du « Schœninger Speer II » en 1996 (</w:t>
      </w:r>
      <w:r w:rsidRPr="1B9E7434">
        <w:rPr>
          <w:rStyle w:val="VerbatimChar"/>
          <w:lang w:val="fr-FR"/>
        </w:rPr>
        <w:t>E16_Mesurage</w:t>
      </w:r>
      <w:r w:rsidRPr="1B9E7434">
        <w:rPr>
          <w:lang w:val="fr-FR"/>
        </w:rPr>
        <w:t>) a mesuré (</w:t>
      </w:r>
      <w:r w:rsidRPr="1B9E7434">
        <w:rPr>
          <w:rStyle w:val="VerbatimChar"/>
          <w:lang w:val="fr-FR"/>
        </w:rPr>
        <w:t>P39_a_mesuré</w:t>
      </w:r>
      <w:r w:rsidRPr="1B9E7434">
        <w:rPr>
          <w:lang w:val="fr-FR"/>
        </w:rPr>
        <w:t>) le « Schœninger Speer II » (</w:t>
      </w:r>
      <w:r w:rsidRPr="1B9E7434">
        <w:rPr>
          <w:rStyle w:val="VerbatimChar"/>
          <w:lang w:val="fr-FR"/>
        </w:rPr>
        <w:t>E22_Objet_élaboré_par_l’humain</w:t>
      </w:r>
      <w:r w:rsidRPr="1B9E7434">
        <w:rPr>
          <w:lang w:val="fr-FR"/>
        </w:rPr>
        <w:t xml:space="preserve">). [La datation au carbone 14 d’une lance en bois complète du Paléolithique inférieur âgée d’environ 400 000 ans, découverte en Allemagne à Schöningen, en Basse-Saxe, en 1995. Voir aussi </w:t>
      </w:r>
      <w:r w:rsidRPr="1B9E7434">
        <w:rPr>
          <w:rStyle w:val="VerbatimChar"/>
          <w:lang w:val="fr-FR"/>
        </w:rPr>
        <w:t>E16_Mesurage</w:t>
      </w:r>
      <w:r w:rsidRPr="1B9E7434">
        <w:rPr>
          <w:lang w:val="fr-FR"/>
        </w:rPr>
        <w:t>] (Kouwenhoven, 1997)</w:t>
      </w:r>
    </w:p>
    <w:p w14:paraId="18E22922" w14:textId="77777777" w:rsidR="0084489F" w:rsidRDefault="00110FE6">
      <w:pPr>
        <w:pStyle w:val="FirstParagraph"/>
      </w:pPr>
      <w:r>
        <w:rPr>
          <w:b/>
          <w:bCs/>
        </w:rPr>
        <w:t>Logique</w:t>
      </w:r>
    </w:p>
    <w:p w14:paraId="3750B6E6" w14:textId="77777777" w:rsidR="0084489F" w:rsidRDefault="00110FE6">
      <w:pPr>
        <w:pStyle w:val="BodyText"/>
      </w:pPr>
      <w:r w:rsidRPr="1B9E7434">
        <w:rPr>
          <w:lang w:val="fr-FR"/>
        </w:rPr>
        <w:t>P39(x,y) ⇒ E16(x)</w:t>
      </w:r>
    </w:p>
    <w:p w14:paraId="2E855C37" w14:textId="77777777" w:rsidR="0084489F" w:rsidRDefault="00110FE6">
      <w:pPr>
        <w:pStyle w:val="BodyText"/>
      </w:pPr>
      <w:r w:rsidRPr="1B9E7434">
        <w:rPr>
          <w:lang w:val="fr-FR"/>
        </w:rPr>
        <w:t>P39(x,y) ⇒ E18(y)</w:t>
      </w:r>
    </w:p>
    <w:p w14:paraId="4D2F6878" w14:textId="77777777" w:rsidR="0084489F" w:rsidRDefault="00110FE6">
      <w:pPr>
        <w:pStyle w:val="BodyText"/>
      </w:pPr>
      <w:r w:rsidRPr="1B9E7434">
        <w:rPr>
          <w:lang w:val="fr-FR"/>
        </w:rPr>
        <w:t>P39(x,y) ⇒ P140(x,y)</w:t>
      </w:r>
    </w:p>
    <w:p w14:paraId="2EC7B02B" w14:textId="77777777" w:rsidR="0084489F" w:rsidRDefault="00110FE6">
      <w:pPr>
        <w:pStyle w:val="BodyText"/>
      </w:pPr>
      <w:r>
        <w:rPr>
          <w:b/>
          <w:bCs/>
        </w:rPr>
        <w:t>Propriétés</w:t>
      </w:r>
    </w:p>
    <w:p w14:paraId="3DBE1CAA" w14:textId="77777777" w:rsidR="0084489F" w:rsidRDefault="00110FE6">
      <w:pPr>
        <w:pStyle w:val="BlockText"/>
      </w:pPr>
      <w:r>
        <w:rPr>
          <w:b/>
          <w:bCs/>
          <w:i/>
          <w:iCs/>
        </w:rPr>
        <w:t>Note de traduction</w:t>
      </w:r>
    </w:p>
    <w:p w14:paraId="415E84B1" w14:textId="77777777" w:rsidR="0084489F" w:rsidRDefault="00110FE6">
      <w:pPr>
        <w:pStyle w:val="BlockText"/>
      </w:pPr>
      <w:r>
        <w:rPr>
          <w:b/>
          <w:bCs/>
          <w:i/>
          <w:iCs/>
        </w:rPr>
        <w:t>Références</w:t>
      </w:r>
    </w:p>
    <w:p w14:paraId="62155975" w14:textId="77777777" w:rsidR="0084489F" w:rsidRDefault="0084489F">
      <w:pPr>
        <w:pStyle w:val="BlockText"/>
      </w:pPr>
    </w:p>
    <w:p w14:paraId="6815D191" w14:textId="77777777" w:rsidR="0084489F" w:rsidRDefault="00110FE6">
      <w:pPr>
        <w:pStyle w:val="Heading2"/>
      </w:pPr>
      <w:bookmarkStart w:id="346" w:name="_Toc176864553"/>
      <w:bookmarkStart w:id="347" w:name="X45e0389b940beffdf7b184ee8072b30532dfdee"/>
      <w:bookmarkEnd w:id="345"/>
      <w:r>
        <w:t>P40 a relevé comme dimension (a été relevé par)</w:t>
      </w:r>
      <w:bookmarkEnd w:id="346"/>
    </w:p>
    <w:p w14:paraId="28158F61" w14:textId="77777777" w:rsidR="0084489F" w:rsidRDefault="00110FE6">
      <w:pPr>
        <w:pStyle w:val="FirstParagraph"/>
      </w:pPr>
      <w:r>
        <w:rPr>
          <w:b/>
          <w:bCs/>
        </w:rPr>
        <w:t>Domaine</w:t>
      </w:r>
    </w:p>
    <w:p w14:paraId="5E2A3EB3" w14:textId="77777777" w:rsidR="0084489F" w:rsidRDefault="00110FE6">
      <w:pPr>
        <w:pStyle w:val="BodyText"/>
      </w:pPr>
      <w:r>
        <w:rPr>
          <w:rStyle w:val="VerbatimChar"/>
        </w:rPr>
        <w:t>E16_Mesurage</w:t>
      </w:r>
    </w:p>
    <w:p w14:paraId="15B4374A" w14:textId="77777777" w:rsidR="0084489F" w:rsidRDefault="00110FE6">
      <w:pPr>
        <w:pStyle w:val="BodyText"/>
      </w:pPr>
      <w:r>
        <w:rPr>
          <w:b/>
          <w:bCs/>
        </w:rPr>
        <w:lastRenderedPageBreak/>
        <w:t>Portée</w:t>
      </w:r>
    </w:p>
    <w:p w14:paraId="3DB9D8B1" w14:textId="77777777" w:rsidR="0084489F" w:rsidRDefault="00110FE6">
      <w:pPr>
        <w:pStyle w:val="BodyText"/>
      </w:pPr>
      <w:r>
        <w:rPr>
          <w:rStyle w:val="VerbatimChar"/>
        </w:rPr>
        <w:t>E54_Dimension</w:t>
      </w:r>
    </w:p>
    <w:p w14:paraId="1DBACABB" w14:textId="77777777" w:rsidR="0084489F" w:rsidRDefault="00110FE6" w:rsidP="0054555C">
      <w:pPr>
        <w:pStyle w:val="BodyText"/>
        <w:keepNext/>
      </w:pPr>
      <w:r>
        <w:rPr>
          <w:b/>
          <w:bCs/>
        </w:rPr>
        <w:t>Sous-propriété de</w:t>
      </w:r>
    </w:p>
    <w:p w14:paraId="220025E7" w14:textId="77777777" w:rsidR="0084489F" w:rsidRDefault="00110FE6" w:rsidP="0054555C">
      <w:pPr>
        <w:pStyle w:val="BodyText"/>
        <w:keepNext/>
      </w:pPr>
      <w:r w:rsidRPr="1B9E7434">
        <w:rPr>
          <w:rStyle w:val="VerbatimChar"/>
          <w:lang w:val="fr-FR"/>
        </w:rPr>
        <w:t>E13_Assignation_d’attribut</w:t>
      </w:r>
      <w:r w:rsidRPr="1B9E7434">
        <w:rPr>
          <w:lang w:val="fr-FR"/>
        </w:rPr>
        <w:t xml:space="preserve">. </w:t>
      </w:r>
      <w:r w:rsidRPr="1B9E7434">
        <w:rPr>
          <w:rStyle w:val="VerbatimChar"/>
          <w:lang w:val="fr-FR"/>
        </w:rPr>
        <w:t>P141_a_assigné (a_été_assigné_par)</w:t>
      </w:r>
      <w:r w:rsidRPr="1B9E7434">
        <w:rPr>
          <w:lang w:val="fr-FR"/>
        </w:rPr>
        <w:t xml:space="preserve"> : </w:t>
      </w:r>
      <w:r w:rsidRPr="1B9E7434">
        <w:rPr>
          <w:rStyle w:val="VerbatimChar"/>
          <w:lang w:val="fr-FR"/>
        </w:rPr>
        <w:t>E1_Entité_CRM</w:t>
      </w:r>
    </w:p>
    <w:p w14:paraId="7ABACAB5" w14:textId="77777777" w:rsidR="0084489F" w:rsidRDefault="00110FE6">
      <w:pPr>
        <w:pStyle w:val="BodyText"/>
      </w:pPr>
      <w:r>
        <w:rPr>
          <w:b/>
          <w:bCs/>
        </w:rPr>
        <w:t>Super-propriété de</w:t>
      </w:r>
    </w:p>
    <w:p w14:paraId="6AFF8001" w14:textId="77777777" w:rsidR="0084489F" w:rsidRDefault="00110FE6">
      <w:pPr>
        <w:pStyle w:val="BodyText"/>
      </w:pPr>
      <w:r>
        <w:rPr>
          <w:b/>
          <w:bCs/>
        </w:rPr>
        <w:t>Quantification</w:t>
      </w:r>
    </w:p>
    <w:p w14:paraId="66DEA91C" w14:textId="77777777" w:rsidR="0084489F" w:rsidRDefault="00110FE6">
      <w:pPr>
        <w:pStyle w:val="BodyText"/>
      </w:pPr>
      <w:r w:rsidRPr="1B9E7434">
        <w:rPr>
          <w:lang w:val="fr-FR"/>
        </w:rPr>
        <w:t>plusieurs à plusieurs, nécessaire (1,n:0,n)</w:t>
      </w:r>
    </w:p>
    <w:p w14:paraId="070A9607" w14:textId="77777777" w:rsidR="0084489F" w:rsidRDefault="00110FE6">
      <w:pPr>
        <w:pStyle w:val="BodyText"/>
      </w:pPr>
      <w:r>
        <w:rPr>
          <w:b/>
          <w:bCs/>
        </w:rPr>
        <w:t>Note d’application</w:t>
      </w:r>
    </w:p>
    <w:p w14:paraId="3C2A51E0" w14:textId="77777777" w:rsidR="0084489F" w:rsidRDefault="00110FE6">
      <w:pPr>
        <w:pStyle w:val="BodyText"/>
      </w:pPr>
      <w:r>
        <w:t xml:space="preserve">Cette propriété enregistre la dimension observée au cours d’un évènement de </w:t>
      </w:r>
      <w:r>
        <w:rPr>
          <w:rStyle w:val="VerbatimChar"/>
        </w:rPr>
        <w:t>E16_Mesurage</w:t>
      </w:r>
      <w:r>
        <w:t>.</w:t>
      </w:r>
    </w:p>
    <w:p w14:paraId="3E93D538" w14:textId="77777777" w:rsidR="0084489F" w:rsidRDefault="00110FE6">
      <w:pPr>
        <w:pStyle w:val="BodyText"/>
      </w:pPr>
      <w:r>
        <w:t xml:space="preserve">Une instance de </w:t>
      </w:r>
      <w:r>
        <w:rPr>
          <w:rStyle w:val="VerbatimChar"/>
        </w:rPr>
        <w:t>E54_Dimension</w:t>
      </w:r>
      <w:r>
        <w:t xml:space="preserve"> peut représenter tout aspect quantifiable d’une instance de </w:t>
      </w:r>
      <w:r>
        <w:rPr>
          <w:rStyle w:val="VerbatimChar"/>
        </w:rPr>
        <w:t>E70_Chose</w:t>
      </w:r>
      <w:r>
        <w:t>. En ce sens, le poids, la profondeur de couleur d’une image et la valeur monétaire sont des dimensions. Une activité de mesurage peut déterminer plus d’une dimension pour un objet donné.</w:t>
      </w:r>
    </w:p>
    <w:p w14:paraId="48678CD3" w14:textId="77777777" w:rsidR="0084489F" w:rsidRDefault="00110FE6">
      <w:pPr>
        <w:pStyle w:val="BodyText"/>
      </w:pPr>
      <w:r>
        <w:t>Les dimensions peuvent être déterminées soit par observation directe, soit à l’aide de preuves enregistrées. Dans ce dernier cas, la chose mesurée n’a pas nécessairement à être présente ou même à exister.</w:t>
      </w:r>
    </w:p>
    <w:p w14:paraId="47925F6E" w14:textId="77777777" w:rsidR="0084489F" w:rsidRDefault="00110FE6">
      <w:pPr>
        <w:pStyle w:val="BodyText"/>
      </w:pPr>
      <w:r>
        <w:t>Même si la connaissance de la valeur d’une dimension nécessite qu’une activité de mesurage ait eu lieu, la dimension peut être un objet de discours avant qu’une telle activité ait débuté, ou même si l’activité n’a pas eu lieu.</w:t>
      </w:r>
    </w:p>
    <w:p w14:paraId="5563E490" w14:textId="77777777" w:rsidR="0084489F" w:rsidRDefault="00110FE6">
      <w:pPr>
        <w:pStyle w:val="BodyText"/>
      </w:pPr>
      <w:r>
        <w:rPr>
          <w:b/>
          <w:bCs/>
        </w:rPr>
        <w:t>Exemples</w:t>
      </w:r>
    </w:p>
    <w:p w14:paraId="74444DD6" w14:textId="77777777" w:rsidR="0084489F" w:rsidRDefault="00110FE6" w:rsidP="00806324">
      <w:pPr>
        <w:numPr>
          <w:ilvl w:val="0"/>
          <w:numId w:val="175"/>
        </w:numPr>
      </w:pPr>
      <w:r>
        <w:t>Le mesurage de la hauteur de la coupe en argent « 232 » le 31 août 1997 (</w:t>
      </w:r>
      <w:r>
        <w:rPr>
          <w:rStyle w:val="VerbatimChar"/>
        </w:rPr>
        <w:t>E16_Mesurage</w:t>
      </w:r>
      <w:r>
        <w:t>) a relevé comme dimension (</w:t>
      </w:r>
      <w:r>
        <w:rPr>
          <w:rStyle w:val="VerbatimChar"/>
        </w:rPr>
        <w:t>P40_a_relevé_comme_dimension</w:t>
      </w:r>
      <w:r>
        <w:t>) la hauteur de la coupe en argent « 232 » (</w:t>
      </w:r>
      <w:r>
        <w:rPr>
          <w:rStyle w:val="VerbatimChar"/>
        </w:rPr>
        <w:t>E54_Dimension</w:t>
      </w:r>
      <w:r>
        <w:t>) [qui a pour unité de mesure mm (</w:t>
      </w:r>
      <w:r>
        <w:rPr>
          <w:rStyle w:val="VerbatimChar"/>
        </w:rPr>
        <w:t>E58_Unité_de_mesure</w:t>
      </w:r>
      <w:r>
        <w:t>) et a pour valeur « 224 » (</w:t>
      </w:r>
      <w:r>
        <w:rPr>
          <w:rStyle w:val="VerbatimChar"/>
        </w:rPr>
        <w:t>E60_Nombre</w:t>
      </w:r>
      <w:r>
        <w:t>)] (fictif)</w:t>
      </w:r>
    </w:p>
    <w:p w14:paraId="7B6B0FA9" w14:textId="1CB0CFAE" w:rsidR="0084489F" w:rsidRDefault="00110FE6" w:rsidP="00806324">
      <w:pPr>
        <w:numPr>
          <w:ilvl w:val="0"/>
          <w:numId w:val="175"/>
        </w:numPr>
      </w:pPr>
      <w:r w:rsidRPr="1B9E7434">
        <w:rPr>
          <w:lang w:val="fr-FR"/>
        </w:rPr>
        <w:t>La datation au carbone 14 de la « Schœninger Speer II » en 1996 (</w:t>
      </w:r>
      <w:r w:rsidRPr="1B9E7434">
        <w:rPr>
          <w:rStyle w:val="VerbatimChar"/>
          <w:lang w:val="fr-FR"/>
        </w:rPr>
        <w:t>E16_Mesurage</w:t>
      </w:r>
      <w:r w:rsidRPr="1B9E7434">
        <w:rPr>
          <w:lang w:val="fr-FR"/>
        </w:rPr>
        <w:t>) a relevé comme dimension la distance entre 1996 et la croissance du bois de ladite lance (</w:t>
      </w:r>
      <w:r w:rsidRPr="1B9E7434">
        <w:rPr>
          <w:rStyle w:val="VerbatimChar"/>
          <w:lang w:val="fr-FR"/>
        </w:rPr>
        <w:t>E60_Nombre</w:t>
      </w:r>
      <w:r w:rsidRPr="1B9E7434">
        <w:rPr>
          <w:lang w:val="fr-FR"/>
        </w:rPr>
        <w:t xml:space="preserve">) [la datation au carbone 14 d'une lance en bois paléolithique complète datant d'environ 400 000 ans trouvée en 1995 à Schœningen, Niedersachsen, en Allemagne; voir aussi </w:t>
      </w:r>
      <w:r w:rsidRPr="1B9E7434">
        <w:rPr>
          <w:rStyle w:val="VerbatimChar"/>
          <w:lang w:val="fr-FR"/>
        </w:rPr>
        <w:t>E16_Mesurage</w:t>
      </w:r>
      <w:r w:rsidRPr="1B9E7434">
        <w:rPr>
          <w:lang w:val="fr-FR"/>
        </w:rPr>
        <w:t>] (Kouwenhoven, 1997)</w:t>
      </w:r>
    </w:p>
    <w:p w14:paraId="5544CF96" w14:textId="77777777" w:rsidR="0084489F" w:rsidRDefault="00110FE6">
      <w:pPr>
        <w:pStyle w:val="FirstParagraph"/>
      </w:pPr>
      <w:r>
        <w:rPr>
          <w:b/>
          <w:bCs/>
        </w:rPr>
        <w:t>Logique</w:t>
      </w:r>
    </w:p>
    <w:p w14:paraId="4BDC9DCF" w14:textId="77777777" w:rsidR="0084489F" w:rsidRDefault="00110FE6">
      <w:pPr>
        <w:pStyle w:val="BodyText"/>
      </w:pPr>
      <w:r w:rsidRPr="1B9E7434">
        <w:rPr>
          <w:lang w:val="fr-FR"/>
        </w:rPr>
        <w:t>P40(x,y) ⇒ E16(x)</w:t>
      </w:r>
    </w:p>
    <w:p w14:paraId="699EF2C0" w14:textId="77777777" w:rsidR="0084489F" w:rsidRDefault="00110FE6">
      <w:pPr>
        <w:pStyle w:val="BodyText"/>
      </w:pPr>
      <w:r w:rsidRPr="1B9E7434">
        <w:rPr>
          <w:lang w:val="fr-FR"/>
        </w:rPr>
        <w:t>P40(x,y)⇒ E54(y)</w:t>
      </w:r>
    </w:p>
    <w:p w14:paraId="11D3A6D0" w14:textId="77777777" w:rsidR="0084489F" w:rsidRDefault="00110FE6">
      <w:pPr>
        <w:pStyle w:val="BodyText"/>
      </w:pPr>
      <w:r w:rsidRPr="1B9E7434">
        <w:rPr>
          <w:lang w:val="fr-FR"/>
        </w:rPr>
        <w:t>P40(x,y) ⇒ P141(x,y)</w:t>
      </w:r>
    </w:p>
    <w:p w14:paraId="7FB34516" w14:textId="77777777" w:rsidR="0084489F" w:rsidRDefault="00110FE6">
      <w:pPr>
        <w:pStyle w:val="BodyText"/>
      </w:pPr>
      <w:r>
        <w:rPr>
          <w:b/>
          <w:bCs/>
        </w:rPr>
        <w:t>Propriétés</w:t>
      </w:r>
    </w:p>
    <w:p w14:paraId="1B6E60CB" w14:textId="77777777" w:rsidR="0084489F" w:rsidRDefault="00110FE6">
      <w:pPr>
        <w:pStyle w:val="BlockText"/>
      </w:pPr>
      <w:r>
        <w:rPr>
          <w:b/>
          <w:bCs/>
          <w:i/>
          <w:iCs/>
        </w:rPr>
        <w:t>Note de traduction</w:t>
      </w:r>
    </w:p>
    <w:p w14:paraId="748412B3" w14:textId="77777777" w:rsidR="0084489F" w:rsidRDefault="00110FE6">
      <w:pPr>
        <w:pStyle w:val="BlockText"/>
      </w:pPr>
      <w:r>
        <w:rPr>
          <w:b/>
          <w:bCs/>
          <w:i/>
          <w:iCs/>
        </w:rPr>
        <w:t>Références</w:t>
      </w:r>
    </w:p>
    <w:p w14:paraId="09CE5DC2" w14:textId="77777777" w:rsidR="0084489F" w:rsidRDefault="0084489F">
      <w:pPr>
        <w:pStyle w:val="BlockText"/>
      </w:pPr>
    </w:p>
    <w:p w14:paraId="4CEF9159" w14:textId="77777777" w:rsidR="0084489F" w:rsidRDefault="00110FE6" w:rsidP="0054555C">
      <w:pPr>
        <w:pStyle w:val="Heading2"/>
      </w:pPr>
      <w:bookmarkStart w:id="348" w:name="_Toc176864554"/>
      <w:bookmarkStart w:id="349" w:name="p41-a-classifie-(a-ete-classifie-par)"/>
      <w:bookmarkEnd w:id="347"/>
      <w:r>
        <w:lastRenderedPageBreak/>
        <w:t>P41 a classifié (a été classifié par)</w:t>
      </w:r>
      <w:bookmarkEnd w:id="348"/>
    </w:p>
    <w:p w14:paraId="1DA7F42D" w14:textId="77777777" w:rsidR="0084489F" w:rsidRDefault="00110FE6" w:rsidP="0054555C">
      <w:pPr>
        <w:pStyle w:val="FirstParagraph"/>
        <w:keepNext/>
        <w:keepLines/>
      </w:pPr>
      <w:r>
        <w:rPr>
          <w:b/>
          <w:bCs/>
        </w:rPr>
        <w:t>Domaine</w:t>
      </w:r>
    </w:p>
    <w:p w14:paraId="4F4F2AF4" w14:textId="77777777" w:rsidR="0084489F" w:rsidRDefault="00110FE6" w:rsidP="0054555C">
      <w:pPr>
        <w:pStyle w:val="BodyText"/>
        <w:keepNext/>
        <w:keepLines/>
      </w:pPr>
      <w:r>
        <w:rPr>
          <w:rStyle w:val="VerbatimChar"/>
        </w:rPr>
        <w:t>E17_Assignation_de_type</w:t>
      </w:r>
    </w:p>
    <w:p w14:paraId="2B2FACDB" w14:textId="77777777" w:rsidR="0084489F" w:rsidRDefault="00110FE6">
      <w:pPr>
        <w:pStyle w:val="BodyText"/>
      </w:pPr>
      <w:r>
        <w:rPr>
          <w:b/>
          <w:bCs/>
        </w:rPr>
        <w:t>Portée</w:t>
      </w:r>
    </w:p>
    <w:p w14:paraId="5F071BB5" w14:textId="77777777" w:rsidR="0084489F" w:rsidRDefault="00110FE6">
      <w:pPr>
        <w:pStyle w:val="BodyText"/>
      </w:pPr>
      <w:r>
        <w:rPr>
          <w:rStyle w:val="VerbatimChar"/>
        </w:rPr>
        <w:t>E1_Entité_CRM</w:t>
      </w:r>
    </w:p>
    <w:p w14:paraId="2EBED9E7" w14:textId="77777777" w:rsidR="0084489F" w:rsidRDefault="00110FE6">
      <w:pPr>
        <w:pStyle w:val="BodyText"/>
      </w:pPr>
      <w:r>
        <w:rPr>
          <w:b/>
          <w:bCs/>
        </w:rPr>
        <w:t>Sous-propriété de</w:t>
      </w:r>
    </w:p>
    <w:p w14:paraId="6ABA4304" w14:textId="77777777" w:rsidR="0084489F" w:rsidRDefault="00110FE6">
      <w:pPr>
        <w:pStyle w:val="BodyText"/>
      </w:pPr>
      <w:r>
        <w:rPr>
          <w:rStyle w:val="VerbatimChar"/>
        </w:rPr>
        <w:t>E13_Assignation_d’attribut</w:t>
      </w:r>
      <w:r>
        <w:t>.</w:t>
      </w:r>
    </w:p>
    <w:p w14:paraId="06A9D0F7" w14:textId="77777777" w:rsidR="0084489F" w:rsidRDefault="00110FE6">
      <w:pPr>
        <w:pStyle w:val="BodyText"/>
      </w:pPr>
      <w:r w:rsidRPr="1B9E7434">
        <w:rPr>
          <w:rStyle w:val="VerbatimChar"/>
          <w:lang w:val="fr-FR"/>
        </w:rPr>
        <w:t>P140_a_assigné_l’attribut_à (a_reçu_l’attribut_par)</w:t>
      </w:r>
      <w:r w:rsidRPr="1B9E7434">
        <w:rPr>
          <w:lang w:val="fr-FR"/>
        </w:rPr>
        <w:t xml:space="preserve"> : </w:t>
      </w:r>
      <w:r w:rsidRPr="1B9E7434">
        <w:rPr>
          <w:rStyle w:val="VerbatimChar"/>
          <w:lang w:val="fr-FR"/>
        </w:rPr>
        <w:t>E1_Entité_CRM</w:t>
      </w:r>
    </w:p>
    <w:p w14:paraId="3BC24569" w14:textId="77777777" w:rsidR="0084489F" w:rsidRDefault="00110FE6">
      <w:pPr>
        <w:pStyle w:val="BodyText"/>
      </w:pPr>
      <w:r>
        <w:rPr>
          <w:b/>
          <w:bCs/>
        </w:rPr>
        <w:t>Super-propriété de</w:t>
      </w:r>
    </w:p>
    <w:p w14:paraId="26ED9108" w14:textId="77777777" w:rsidR="0084489F" w:rsidRDefault="00110FE6">
      <w:pPr>
        <w:pStyle w:val="BodyText"/>
      </w:pPr>
      <w:r>
        <w:rPr>
          <w:b/>
          <w:bCs/>
        </w:rPr>
        <w:t>Quantification</w:t>
      </w:r>
    </w:p>
    <w:p w14:paraId="02E1A91E" w14:textId="77777777" w:rsidR="0084489F" w:rsidRDefault="00110FE6">
      <w:pPr>
        <w:pStyle w:val="BodyText"/>
      </w:pPr>
      <w:r w:rsidRPr="1B9E7434">
        <w:rPr>
          <w:lang w:val="fr-FR"/>
        </w:rPr>
        <w:t>plusieurs à un, nécessaire (1,1:0,n)</w:t>
      </w:r>
    </w:p>
    <w:p w14:paraId="262182C5" w14:textId="77777777" w:rsidR="0084489F" w:rsidRDefault="00110FE6">
      <w:pPr>
        <w:pStyle w:val="BodyText"/>
      </w:pPr>
      <w:r>
        <w:rPr>
          <w:b/>
          <w:bCs/>
        </w:rPr>
        <w:t>Note d’application</w:t>
      </w:r>
    </w:p>
    <w:p w14:paraId="6EA2931C" w14:textId="77777777" w:rsidR="0084489F" w:rsidRDefault="00110FE6">
      <w:pPr>
        <w:pStyle w:val="BodyText"/>
      </w:pPr>
      <w:r>
        <w:t xml:space="preserve">Cette propriété enregistre l'entité à laquelle un type a été assigné lors d'une instance de </w:t>
      </w:r>
      <w:r>
        <w:rPr>
          <w:rStyle w:val="VerbatimChar"/>
        </w:rPr>
        <w:t>E17_Assignation_de_type</w:t>
      </w:r>
      <w:r>
        <w:t>.</w:t>
      </w:r>
    </w:p>
    <w:p w14:paraId="6DF29E51" w14:textId="77777777" w:rsidR="0084489F" w:rsidRDefault="00110FE6">
      <w:pPr>
        <w:pStyle w:val="BodyText"/>
      </w:pPr>
      <w:r w:rsidRPr="1B9E7434">
        <w:rPr>
          <w:lang w:val="fr-FR"/>
        </w:rPr>
        <w:t xml:space="preserve">Toute instance d'une entité du CIDOC CRM peut se voir assigner un type par une instance de </w:t>
      </w:r>
      <w:r w:rsidRPr="1B9E7434">
        <w:rPr>
          <w:rStyle w:val="VerbatimChar"/>
          <w:lang w:val="fr-FR"/>
        </w:rPr>
        <w:t>E17_Assignation_de_type</w:t>
      </w:r>
      <w:r w:rsidRPr="1B9E7434">
        <w:rPr>
          <w:lang w:val="fr-FR"/>
        </w:rPr>
        <w:t xml:space="preserve">. Les instances de </w:t>
      </w:r>
      <w:r w:rsidRPr="1B9E7434">
        <w:rPr>
          <w:rStyle w:val="VerbatimChar"/>
          <w:lang w:val="fr-FR"/>
        </w:rPr>
        <w:t>E17_Assignation_de_type</w:t>
      </w:r>
      <w:r w:rsidRPr="1B9E7434">
        <w:rPr>
          <w:lang w:val="fr-FR"/>
        </w:rPr>
        <w:t xml:space="preserve"> permettent le chemin sémantique plus détaillé </w:t>
      </w:r>
      <w:r w:rsidRPr="1B9E7434">
        <w:rPr>
          <w:rStyle w:val="VerbatimChar"/>
          <w:lang w:val="fr-FR"/>
        </w:rPr>
        <w:t>E1_Entité_CRM</w:t>
      </w:r>
      <w:r w:rsidRPr="1B9E7434">
        <w:rPr>
          <w:lang w:val="fr-FR"/>
        </w:rPr>
        <w:t xml:space="preserve">, </w:t>
      </w:r>
      <w:r w:rsidRPr="1B9E7434">
        <w:rPr>
          <w:rStyle w:val="VerbatimChar"/>
          <w:lang w:val="fr-FR"/>
        </w:rPr>
        <w:t>P41i_a_été_classifié_par</w:t>
      </w:r>
      <w:r w:rsidRPr="1B9E7434">
        <w:rPr>
          <w:lang w:val="fr-FR"/>
        </w:rPr>
        <w:t xml:space="preserve">, </w:t>
      </w:r>
      <w:r w:rsidRPr="1B9E7434">
        <w:rPr>
          <w:rStyle w:val="VerbatimChar"/>
          <w:lang w:val="fr-FR"/>
        </w:rPr>
        <w:t>E17_Assignation_de_type</w:t>
      </w:r>
      <w:r w:rsidRPr="1B9E7434">
        <w:rPr>
          <w:lang w:val="fr-FR"/>
        </w:rPr>
        <w:t xml:space="preserve">, </w:t>
      </w:r>
      <w:r w:rsidRPr="1B9E7434">
        <w:rPr>
          <w:rStyle w:val="VerbatimChar"/>
          <w:lang w:val="fr-FR"/>
        </w:rPr>
        <w:t>P42_a_assigné</w:t>
      </w:r>
      <w:r w:rsidRPr="1B9E7434">
        <w:rPr>
          <w:lang w:val="fr-FR"/>
        </w:rPr>
        <w:t xml:space="preserve">, </w:t>
      </w:r>
      <w:r w:rsidRPr="1B9E7434">
        <w:rPr>
          <w:rStyle w:val="VerbatimChar"/>
          <w:lang w:val="fr-FR"/>
        </w:rPr>
        <w:t>E55_Type</w:t>
      </w:r>
      <w:r w:rsidRPr="1B9E7434">
        <w:rPr>
          <w:lang w:val="fr-FR"/>
        </w:rPr>
        <w:t xml:space="preserve"> pour l'assignation de types aux objets comparativement au raccourci offert par </w:t>
      </w:r>
      <w:r w:rsidRPr="1B9E7434">
        <w:rPr>
          <w:rStyle w:val="VerbatimChar"/>
          <w:lang w:val="fr-FR"/>
        </w:rPr>
        <w:t>P2_a_pour_type (est_le_type_de)</w:t>
      </w:r>
      <w:r w:rsidRPr="1B9E7434">
        <w:rPr>
          <w:lang w:val="fr-FR"/>
        </w:rPr>
        <w:t>.</w:t>
      </w:r>
    </w:p>
    <w:p w14:paraId="0FB08117" w14:textId="77777777" w:rsidR="0084489F" w:rsidRDefault="00110FE6">
      <w:pPr>
        <w:pStyle w:val="BodyText"/>
      </w:pPr>
      <w:r>
        <w:rPr>
          <w:b/>
          <w:bCs/>
        </w:rPr>
        <w:t>Exemples</w:t>
      </w:r>
    </w:p>
    <w:p w14:paraId="015505FB" w14:textId="77777777" w:rsidR="0084489F" w:rsidRDefault="00110FE6" w:rsidP="00806324">
      <w:pPr>
        <w:numPr>
          <w:ilvl w:val="0"/>
          <w:numId w:val="176"/>
        </w:numPr>
      </w:pPr>
      <w:r>
        <w:t>La classification de la coupe en argent « 232 » le 31 août 1997 (</w:t>
      </w:r>
      <w:r>
        <w:rPr>
          <w:rStyle w:val="VerbatimChar"/>
        </w:rPr>
        <w:t>E17_Assignation_de_type</w:t>
      </w:r>
      <w:r>
        <w:t>) a classifié (</w:t>
      </w:r>
      <w:r>
        <w:rPr>
          <w:rStyle w:val="VerbatimChar"/>
        </w:rPr>
        <w:t>P41_a_classifié</w:t>
      </w:r>
      <w:r>
        <w:t>) la coupe en argent « 232 » (</w:t>
      </w:r>
      <w:r>
        <w:rPr>
          <w:rStyle w:val="VerbatimChar"/>
        </w:rPr>
        <w:t>E22_Objet_élaboré_par_l’humain</w:t>
      </w:r>
      <w:r>
        <w:t>) (fictif)</w:t>
      </w:r>
    </w:p>
    <w:p w14:paraId="35D3319F" w14:textId="77777777" w:rsidR="0084489F" w:rsidRDefault="00110FE6">
      <w:pPr>
        <w:pStyle w:val="FirstParagraph"/>
      </w:pPr>
      <w:r>
        <w:rPr>
          <w:b/>
          <w:bCs/>
        </w:rPr>
        <w:t>Logique</w:t>
      </w:r>
    </w:p>
    <w:p w14:paraId="02236686" w14:textId="77777777" w:rsidR="0084489F" w:rsidRDefault="00110FE6">
      <w:pPr>
        <w:pStyle w:val="BodyText"/>
      </w:pPr>
      <w:r w:rsidRPr="1B9E7434">
        <w:rPr>
          <w:lang w:val="fr-FR"/>
        </w:rPr>
        <w:t>P41(x,y) ⇒ E17(x) P41(x,y) ⇒ E1(y) P41(x,y) ⇒ P140(x,y)</w:t>
      </w:r>
    </w:p>
    <w:p w14:paraId="2320E5BE" w14:textId="77777777" w:rsidR="0084489F" w:rsidRDefault="00110FE6">
      <w:pPr>
        <w:pStyle w:val="BodyText"/>
      </w:pPr>
      <w:r>
        <w:rPr>
          <w:b/>
          <w:bCs/>
        </w:rPr>
        <w:t>Propriétés</w:t>
      </w:r>
    </w:p>
    <w:p w14:paraId="401A734E" w14:textId="77777777" w:rsidR="0084489F" w:rsidRDefault="00110FE6">
      <w:pPr>
        <w:pStyle w:val="BlockText"/>
      </w:pPr>
      <w:r>
        <w:rPr>
          <w:b/>
          <w:bCs/>
          <w:i/>
          <w:iCs/>
        </w:rPr>
        <w:t>Note de traduction</w:t>
      </w:r>
    </w:p>
    <w:p w14:paraId="51C65A8A" w14:textId="77777777" w:rsidR="0084489F" w:rsidRDefault="00110FE6">
      <w:pPr>
        <w:pStyle w:val="BlockText"/>
      </w:pPr>
      <w:r>
        <w:rPr>
          <w:b/>
          <w:bCs/>
          <w:i/>
          <w:iCs/>
        </w:rPr>
        <w:t>Références</w:t>
      </w:r>
    </w:p>
    <w:p w14:paraId="418C4CDB" w14:textId="77777777" w:rsidR="0084489F" w:rsidRDefault="0084489F">
      <w:pPr>
        <w:pStyle w:val="BlockText"/>
      </w:pPr>
    </w:p>
    <w:p w14:paraId="3E6D368A" w14:textId="77777777" w:rsidR="0084489F" w:rsidRDefault="00110FE6">
      <w:pPr>
        <w:pStyle w:val="Heading2"/>
      </w:pPr>
      <w:bookmarkStart w:id="350" w:name="_Toc176864555"/>
      <w:bookmarkStart w:id="351" w:name="p42-a-assigne-(a-ete-assigne-par)"/>
      <w:bookmarkEnd w:id="349"/>
      <w:r>
        <w:t>P42 a assigné (a été assigné par)</w:t>
      </w:r>
      <w:bookmarkEnd w:id="350"/>
    </w:p>
    <w:p w14:paraId="7ED222D2" w14:textId="77777777" w:rsidR="0084489F" w:rsidRDefault="00110FE6">
      <w:pPr>
        <w:pStyle w:val="FirstParagraph"/>
      </w:pPr>
      <w:r>
        <w:rPr>
          <w:b/>
          <w:bCs/>
        </w:rPr>
        <w:t>Domaine</w:t>
      </w:r>
    </w:p>
    <w:p w14:paraId="5E8ED88F" w14:textId="77777777" w:rsidR="0084489F" w:rsidRDefault="00110FE6">
      <w:pPr>
        <w:pStyle w:val="BodyText"/>
      </w:pPr>
      <w:r>
        <w:rPr>
          <w:rStyle w:val="VerbatimChar"/>
        </w:rPr>
        <w:t>E17_Assignation_de_type</w:t>
      </w:r>
    </w:p>
    <w:p w14:paraId="2916D2F9" w14:textId="77777777" w:rsidR="0084489F" w:rsidRDefault="00110FE6">
      <w:pPr>
        <w:pStyle w:val="BodyText"/>
      </w:pPr>
      <w:r>
        <w:rPr>
          <w:b/>
          <w:bCs/>
        </w:rPr>
        <w:t>Portée</w:t>
      </w:r>
    </w:p>
    <w:p w14:paraId="6BA858F2" w14:textId="77777777" w:rsidR="0084489F" w:rsidRDefault="00110FE6">
      <w:pPr>
        <w:pStyle w:val="BodyText"/>
      </w:pPr>
      <w:r>
        <w:rPr>
          <w:rStyle w:val="VerbatimChar"/>
        </w:rPr>
        <w:t>E55_Type</w:t>
      </w:r>
    </w:p>
    <w:p w14:paraId="3469287C" w14:textId="77777777" w:rsidR="0084489F" w:rsidRDefault="00110FE6">
      <w:pPr>
        <w:pStyle w:val="BodyText"/>
      </w:pPr>
      <w:r>
        <w:rPr>
          <w:b/>
          <w:bCs/>
        </w:rPr>
        <w:lastRenderedPageBreak/>
        <w:t>Sous-propriété de</w:t>
      </w:r>
    </w:p>
    <w:p w14:paraId="4142FE87" w14:textId="77777777" w:rsidR="0084489F" w:rsidRDefault="00110FE6">
      <w:pPr>
        <w:pStyle w:val="BodyText"/>
      </w:pPr>
      <w:r>
        <w:rPr>
          <w:rStyle w:val="VerbatimChar"/>
        </w:rPr>
        <w:t>E13_Assignation_d’attribut</w:t>
      </w:r>
      <w:r>
        <w:t>.</w:t>
      </w:r>
    </w:p>
    <w:p w14:paraId="422B66F2" w14:textId="77777777" w:rsidR="0084489F" w:rsidRDefault="00110FE6">
      <w:pPr>
        <w:pStyle w:val="BodyText"/>
      </w:pPr>
      <w:r w:rsidRPr="1B9E7434">
        <w:rPr>
          <w:rStyle w:val="VerbatimChar"/>
          <w:lang w:val="fr-FR"/>
        </w:rPr>
        <w:t>P141_a_assigné (a_été_assigné_par)</w:t>
      </w:r>
      <w:r w:rsidRPr="1B9E7434">
        <w:rPr>
          <w:lang w:val="fr-FR"/>
        </w:rPr>
        <w:t xml:space="preserve"> : </w:t>
      </w:r>
      <w:r w:rsidRPr="1B9E7434">
        <w:rPr>
          <w:rStyle w:val="VerbatimChar"/>
          <w:lang w:val="fr-FR"/>
        </w:rPr>
        <w:t>E1_Entité_CRM</w:t>
      </w:r>
    </w:p>
    <w:p w14:paraId="16192CF4" w14:textId="77777777" w:rsidR="0084489F" w:rsidRDefault="00110FE6">
      <w:pPr>
        <w:pStyle w:val="BodyText"/>
      </w:pPr>
      <w:r>
        <w:rPr>
          <w:b/>
          <w:bCs/>
        </w:rPr>
        <w:t>Super-propriété de</w:t>
      </w:r>
    </w:p>
    <w:p w14:paraId="5EDE5AB7" w14:textId="77777777" w:rsidR="0084489F" w:rsidRDefault="00110FE6">
      <w:pPr>
        <w:pStyle w:val="BodyText"/>
      </w:pPr>
      <w:r>
        <w:rPr>
          <w:b/>
          <w:bCs/>
        </w:rPr>
        <w:t>Quantification</w:t>
      </w:r>
    </w:p>
    <w:p w14:paraId="134B02AA" w14:textId="77777777" w:rsidR="0084489F" w:rsidRDefault="00110FE6">
      <w:pPr>
        <w:pStyle w:val="BodyText"/>
      </w:pPr>
      <w:r w:rsidRPr="1B9E7434">
        <w:rPr>
          <w:lang w:val="fr-FR"/>
        </w:rPr>
        <w:t>plusieurs à plusieurs, nécessaire (1,n:0,n)</w:t>
      </w:r>
    </w:p>
    <w:p w14:paraId="3FB1E19D" w14:textId="77777777" w:rsidR="0084489F" w:rsidRDefault="00110FE6">
      <w:pPr>
        <w:pStyle w:val="BodyText"/>
      </w:pPr>
      <w:r>
        <w:rPr>
          <w:b/>
          <w:bCs/>
        </w:rPr>
        <w:t>Note d’application</w:t>
      </w:r>
    </w:p>
    <w:p w14:paraId="2629242C" w14:textId="77777777" w:rsidR="0084489F" w:rsidRDefault="00110FE6">
      <w:pPr>
        <w:pStyle w:val="BodyText"/>
      </w:pPr>
      <w:r>
        <w:t xml:space="preserve">Cette propriété enregistre le type qui a été assigné à une entité lors d'une instance de </w:t>
      </w:r>
      <w:r>
        <w:rPr>
          <w:rStyle w:val="VerbatimChar"/>
        </w:rPr>
        <w:t>E17_Assignation_de_type</w:t>
      </w:r>
      <w:r>
        <w:t>.</w:t>
      </w:r>
    </w:p>
    <w:p w14:paraId="135D6130" w14:textId="77777777" w:rsidR="0084489F" w:rsidRDefault="00110FE6">
      <w:pPr>
        <w:pStyle w:val="BodyText"/>
      </w:pPr>
      <w:r w:rsidRPr="1B9E7434">
        <w:rPr>
          <w:lang w:val="fr-FR"/>
        </w:rPr>
        <w:t xml:space="preserve">Les instances de </w:t>
      </w:r>
      <w:r w:rsidRPr="1B9E7434">
        <w:rPr>
          <w:rStyle w:val="VerbatimChar"/>
          <w:lang w:val="fr-FR"/>
        </w:rPr>
        <w:t>E17_Assignation_de_type</w:t>
      </w:r>
      <w:r w:rsidRPr="1B9E7434">
        <w:rPr>
          <w:lang w:val="fr-FR"/>
        </w:rPr>
        <w:t xml:space="preserve"> permettent le chemin sémantique plus détaillé </w:t>
      </w:r>
      <w:r w:rsidRPr="1B9E7434">
        <w:rPr>
          <w:rStyle w:val="VerbatimChar"/>
          <w:lang w:val="fr-FR"/>
        </w:rPr>
        <w:t>E1_Entité_CRM</w:t>
      </w:r>
      <w:r w:rsidRPr="1B9E7434">
        <w:rPr>
          <w:lang w:val="fr-FR"/>
        </w:rPr>
        <w:t xml:space="preserve">, </w:t>
      </w:r>
      <w:r w:rsidRPr="1B9E7434">
        <w:rPr>
          <w:rStyle w:val="VerbatimChar"/>
          <w:lang w:val="fr-FR"/>
        </w:rPr>
        <w:t>P41i_a_été_classifié_par</w:t>
      </w:r>
      <w:r w:rsidRPr="1B9E7434">
        <w:rPr>
          <w:lang w:val="fr-FR"/>
        </w:rPr>
        <w:t xml:space="preserve">, </w:t>
      </w:r>
      <w:r w:rsidRPr="1B9E7434">
        <w:rPr>
          <w:rStyle w:val="VerbatimChar"/>
          <w:lang w:val="fr-FR"/>
        </w:rPr>
        <w:t>E17_Assignation_de_type</w:t>
      </w:r>
      <w:r w:rsidRPr="1B9E7434">
        <w:rPr>
          <w:lang w:val="fr-FR"/>
        </w:rPr>
        <w:t xml:space="preserve">, </w:t>
      </w:r>
      <w:r w:rsidRPr="1B9E7434">
        <w:rPr>
          <w:rStyle w:val="VerbatimChar"/>
          <w:lang w:val="fr-FR"/>
        </w:rPr>
        <w:t>P42_a_assigné</w:t>
      </w:r>
      <w:r w:rsidRPr="1B9E7434">
        <w:rPr>
          <w:lang w:val="fr-FR"/>
        </w:rPr>
        <w:t xml:space="preserve">, </w:t>
      </w:r>
      <w:r w:rsidRPr="1B9E7434">
        <w:rPr>
          <w:rStyle w:val="VerbatimChar"/>
          <w:lang w:val="fr-FR"/>
        </w:rPr>
        <w:t>E55_Type</w:t>
      </w:r>
      <w:r w:rsidRPr="1B9E7434">
        <w:rPr>
          <w:lang w:val="fr-FR"/>
        </w:rPr>
        <w:t xml:space="preserve"> pour l'assignation de types aux objets comparativement au raccourci offert par </w:t>
      </w:r>
      <w:r w:rsidRPr="1B9E7434">
        <w:rPr>
          <w:rStyle w:val="VerbatimChar"/>
          <w:lang w:val="fr-FR"/>
        </w:rPr>
        <w:t>P2_a_pour_type (est_le_type_de)</w:t>
      </w:r>
      <w:r w:rsidRPr="1B9E7434">
        <w:rPr>
          <w:lang w:val="fr-FR"/>
        </w:rPr>
        <w:t>.</w:t>
      </w:r>
    </w:p>
    <w:p w14:paraId="00662092" w14:textId="77777777" w:rsidR="0084489F" w:rsidRDefault="00110FE6">
      <w:pPr>
        <w:pStyle w:val="BodyText"/>
      </w:pPr>
      <w:r>
        <w:t>Par exemple, un fragment de vase antique pourrait se voir assigner le type « amphore attique à panse à figures rouges » par l'expert A. Le même fragment pourrait se voir assigner le type « amphore à col » par l'expert B.</w:t>
      </w:r>
    </w:p>
    <w:p w14:paraId="68FC2201" w14:textId="77777777" w:rsidR="0084489F" w:rsidRDefault="00110FE6">
      <w:pPr>
        <w:pStyle w:val="BodyText"/>
      </w:pPr>
      <w:r>
        <w:t xml:space="preserve">Une instance de </w:t>
      </w:r>
      <w:r>
        <w:rPr>
          <w:rStyle w:val="VerbatimChar"/>
        </w:rPr>
        <w:t>E55_Type</w:t>
      </w:r>
      <w:r>
        <w:t xml:space="preserve"> peut être construite intellectuellement et indépendamment de l'attribution d'une autre instance à celle-ci.</w:t>
      </w:r>
    </w:p>
    <w:p w14:paraId="2BB17D92" w14:textId="77777777" w:rsidR="0084489F" w:rsidRDefault="00110FE6">
      <w:pPr>
        <w:pStyle w:val="BodyText"/>
      </w:pPr>
      <w:r>
        <w:rPr>
          <w:b/>
          <w:bCs/>
        </w:rPr>
        <w:t>Exemples</w:t>
      </w:r>
    </w:p>
    <w:p w14:paraId="532B1FE8" w14:textId="77777777" w:rsidR="0084489F" w:rsidRDefault="00110FE6" w:rsidP="00806324">
      <w:pPr>
        <w:numPr>
          <w:ilvl w:val="0"/>
          <w:numId w:val="177"/>
        </w:numPr>
      </w:pPr>
      <w:r>
        <w:t>La classification de la coupe en argent « 232 » le 31 août 1997 (</w:t>
      </w:r>
      <w:r>
        <w:rPr>
          <w:rStyle w:val="VerbatimChar"/>
        </w:rPr>
        <w:t>E17_Assignation_de_type</w:t>
      </w:r>
      <w:r>
        <w:t>) a assigné (</w:t>
      </w:r>
      <w:r>
        <w:rPr>
          <w:rStyle w:val="VerbatimChar"/>
        </w:rPr>
        <w:t>P42_a_assigné</w:t>
      </w:r>
      <w:r>
        <w:t>) « gobelet » (</w:t>
      </w:r>
      <w:r>
        <w:rPr>
          <w:rStyle w:val="VerbatimChar"/>
        </w:rPr>
        <w:t>E55_Type</w:t>
      </w:r>
      <w:r>
        <w:t>) (fictif)</w:t>
      </w:r>
    </w:p>
    <w:p w14:paraId="3873E744" w14:textId="77777777" w:rsidR="0084489F" w:rsidRDefault="00110FE6">
      <w:pPr>
        <w:pStyle w:val="FirstParagraph"/>
      </w:pPr>
      <w:r>
        <w:rPr>
          <w:b/>
          <w:bCs/>
        </w:rPr>
        <w:t>Logique</w:t>
      </w:r>
    </w:p>
    <w:p w14:paraId="517BE954" w14:textId="77777777" w:rsidR="0084489F" w:rsidRDefault="00110FE6">
      <w:pPr>
        <w:pStyle w:val="BodyText"/>
      </w:pPr>
      <w:r w:rsidRPr="1B9E7434">
        <w:rPr>
          <w:lang w:val="fr-FR"/>
        </w:rPr>
        <w:t>P42(x,y) ⇒ E17(x)</w:t>
      </w:r>
    </w:p>
    <w:p w14:paraId="19B31C40" w14:textId="77777777" w:rsidR="0084489F" w:rsidRDefault="00110FE6">
      <w:pPr>
        <w:pStyle w:val="BodyText"/>
      </w:pPr>
      <w:r w:rsidRPr="1B9E7434">
        <w:rPr>
          <w:lang w:val="fr-FR"/>
        </w:rPr>
        <w:t>P42(x,y)⇒ E55(y)</w:t>
      </w:r>
    </w:p>
    <w:p w14:paraId="074F89D6" w14:textId="77777777" w:rsidR="0084489F" w:rsidRDefault="00110FE6">
      <w:pPr>
        <w:pStyle w:val="BodyText"/>
      </w:pPr>
      <w:r w:rsidRPr="1B9E7434">
        <w:rPr>
          <w:lang w:val="fr-FR"/>
        </w:rPr>
        <w:t>P42(x,y) ⇒ P141(x,y)</w:t>
      </w:r>
    </w:p>
    <w:p w14:paraId="11678E44" w14:textId="77777777" w:rsidR="0084489F" w:rsidRDefault="00110FE6">
      <w:pPr>
        <w:pStyle w:val="BodyText"/>
      </w:pPr>
      <w:r>
        <w:rPr>
          <w:b/>
          <w:bCs/>
        </w:rPr>
        <w:t>Propriétés</w:t>
      </w:r>
    </w:p>
    <w:p w14:paraId="4CC99108" w14:textId="77777777" w:rsidR="0084489F" w:rsidRDefault="00110FE6">
      <w:pPr>
        <w:pStyle w:val="BlockText"/>
      </w:pPr>
      <w:r>
        <w:rPr>
          <w:b/>
          <w:bCs/>
          <w:i/>
          <w:iCs/>
        </w:rPr>
        <w:t>Note de traduction</w:t>
      </w:r>
    </w:p>
    <w:p w14:paraId="6BCDC0F0" w14:textId="77777777" w:rsidR="0084489F" w:rsidRDefault="00110FE6">
      <w:pPr>
        <w:pStyle w:val="BlockText"/>
      </w:pPr>
      <w:r>
        <w:rPr>
          <w:b/>
          <w:bCs/>
          <w:i/>
          <w:iCs/>
        </w:rPr>
        <w:t>Références</w:t>
      </w:r>
    </w:p>
    <w:p w14:paraId="4F6F99A5" w14:textId="77777777" w:rsidR="0084489F" w:rsidRDefault="0084489F">
      <w:pPr>
        <w:pStyle w:val="BlockText"/>
      </w:pPr>
    </w:p>
    <w:p w14:paraId="07661C7F" w14:textId="77777777" w:rsidR="0084489F" w:rsidRDefault="00110FE6">
      <w:pPr>
        <w:pStyle w:val="Heading2"/>
      </w:pPr>
      <w:bookmarkStart w:id="352" w:name="_Toc176864556"/>
      <w:bookmarkStart w:id="353" w:name="X8e031724ecb916af376f4b1ce27256b439192fb"/>
      <w:bookmarkEnd w:id="351"/>
      <w:r>
        <w:t>P43 a pour dimension (est la dimension de)</w:t>
      </w:r>
      <w:bookmarkEnd w:id="352"/>
    </w:p>
    <w:p w14:paraId="735FE789" w14:textId="77777777" w:rsidR="0084489F" w:rsidRDefault="00110FE6">
      <w:pPr>
        <w:pStyle w:val="FirstParagraph"/>
      </w:pPr>
      <w:r>
        <w:rPr>
          <w:b/>
          <w:bCs/>
        </w:rPr>
        <w:t>Domaine</w:t>
      </w:r>
    </w:p>
    <w:p w14:paraId="414263D6" w14:textId="77777777" w:rsidR="0084489F" w:rsidRDefault="00110FE6">
      <w:pPr>
        <w:pStyle w:val="BodyText"/>
      </w:pPr>
      <w:r>
        <w:rPr>
          <w:rStyle w:val="VerbatimChar"/>
        </w:rPr>
        <w:t>E70_Chose</w:t>
      </w:r>
    </w:p>
    <w:p w14:paraId="2AFCE654" w14:textId="77777777" w:rsidR="0084489F" w:rsidRDefault="00110FE6">
      <w:pPr>
        <w:pStyle w:val="BodyText"/>
      </w:pPr>
      <w:r>
        <w:rPr>
          <w:b/>
          <w:bCs/>
        </w:rPr>
        <w:t>Portée</w:t>
      </w:r>
    </w:p>
    <w:p w14:paraId="431CF956" w14:textId="77777777" w:rsidR="0084489F" w:rsidRDefault="00110FE6">
      <w:pPr>
        <w:pStyle w:val="BodyText"/>
      </w:pPr>
      <w:r>
        <w:rPr>
          <w:rStyle w:val="VerbatimChar"/>
        </w:rPr>
        <w:t>E54_Dimension</w:t>
      </w:r>
    </w:p>
    <w:p w14:paraId="49962365" w14:textId="77777777" w:rsidR="0084489F" w:rsidRDefault="00110FE6">
      <w:pPr>
        <w:pStyle w:val="BodyText"/>
      </w:pPr>
      <w:r>
        <w:rPr>
          <w:b/>
          <w:bCs/>
        </w:rPr>
        <w:lastRenderedPageBreak/>
        <w:t>Sous-propriété de</w:t>
      </w:r>
    </w:p>
    <w:p w14:paraId="1FD8BAA7" w14:textId="77777777" w:rsidR="0084489F" w:rsidRDefault="00110FE6">
      <w:pPr>
        <w:pStyle w:val="BodyText"/>
      </w:pPr>
      <w:r>
        <w:rPr>
          <w:b/>
          <w:bCs/>
        </w:rPr>
        <w:t>Super-propriété de</w:t>
      </w:r>
    </w:p>
    <w:p w14:paraId="5A1E3644" w14:textId="77777777" w:rsidR="0084489F" w:rsidRDefault="00110FE6">
      <w:pPr>
        <w:pStyle w:val="BodyText"/>
      </w:pPr>
      <w:r>
        <w:rPr>
          <w:b/>
          <w:bCs/>
        </w:rPr>
        <w:t>Quantification</w:t>
      </w:r>
    </w:p>
    <w:p w14:paraId="5414C085" w14:textId="77777777" w:rsidR="0084489F" w:rsidRDefault="00110FE6">
      <w:pPr>
        <w:pStyle w:val="BodyText"/>
      </w:pPr>
      <w:r w:rsidRPr="1B9E7434">
        <w:rPr>
          <w:lang w:val="fr-FR"/>
        </w:rPr>
        <w:t>un à plusieurs, dépendant (0,n:1,1)</w:t>
      </w:r>
    </w:p>
    <w:p w14:paraId="3B2A84C9" w14:textId="77777777" w:rsidR="0084489F" w:rsidRDefault="00110FE6">
      <w:pPr>
        <w:pStyle w:val="BodyText"/>
      </w:pPr>
      <w:r>
        <w:rPr>
          <w:b/>
          <w:bCs/>
        </w:rPr>
        <w:t>Note d’application</w:t>
      </w:r>
    </w:p>
    <w:p w14:paraId="6934DE05" w14:textId="77777777" w:rsidR="0084489F" w:rsidRDefault="00110FE6">
      <w:pPr>
        <w:pStyle w:val="BodyText"/>
      </w:pPr>
      <w:r>
        <w:t xml:space="preserve">Cette propriété enregistre une instance de </w:t>
      </w:r>
      <w:r>
        <w:rPr>
          <w:rStyle w:val="VerbatimChar"/>
        </w:rPr>
        <w:t>E54_Dimension</w:t>
      </w:r>
      <w:r>
        <w:t xml:space="preserve"> se rapportant à une instance de </w:t>
      </w:r>
      <w:r>
        <w:rPr>
          <w:rStyle w:val="VerbatimChar"/>
        </w:rPr>
        <w:t>E70_Chose</w:t>
      </w:r>
      <w:r>
        <w:t>.</w:t>
      </w:r>
    </w:p>
    <w:p w14:paraId="2C365F34" w14:textId="77777777" w:rsidR="0084489F" w:rsidRDefault="00110FE6">
      <w:pPr>
        <w:pStyle w:val="BodyText"/>
      </w:pPr>
      <w:r w:rsidRPr="1B9E7434">
        <w:rPr>
          <w:lang w:val="fr-FR"/>
        </w:rPr>
        <w:t xml:space="preserve">Cette propriété est un raccourci du chemin sémantique suivant : </w:t>
      </w:r>
      <w:r w:rsidRPr="1B9E7434">
        <w:rPr>
          <w:rStyle w:val="VerbatimChar"/>
          <w:lang w:val="fr-FR"/>
        </w:rPr>
        <w:t>E18_Chose_matérielle</w:t>
      </w:r>
      <w:r w:rsidRPr="1B9E7434">
        <w:rPr>
          <w:lang w:val="fr-FR"/>
        </w:rPr>
        <w:t xml:space="preserve">, </w:t>
      </w:r>
      <w:r w:rsidRPr="1B9E7434">
        <w:rPr>
          <w:rStyle w:val="VerbatimChar"/>
          <w:lang w:val="fr-FR"/>
        </w:rPr>
        <w:t>P39i_a_été_mesuré_par</w:t>
      </w:r>
      <w:r w:rsidRPr="1B9E7434">
        <w:rPr>
          <w:lang w:val="fr-FR"/>
        </w:rPr>
        <w:t xml:space="preserve">, </w:t>
      </w:r>
      <w:r w:rsidRPr="1B9E7434">
        <w:rPr>
          <w:rStyle w:val="VerbatimChar"/>
          <w:lang w:val="fr-FR"/>
        </w:rPr>
        <w:t>E16_Mesurage</w:t>
      </w:r>
      <w:r w:rsidRPr="1B9E7434">
        <w:rPr>
          <w:lang w:val="fr-FR"/>
        </w:rPr>
        <w:t xml:space="preserve">, </w:t>
      </w:r>
      <w:r w:rsidRPr="1B9E7434">
        <w:rPr>
          <w:rStyle w:val="VerbatimChar"/>
          <w:lang w:val="fr-FR"/>
        </w:rPr>
        <w:t>P40_a_relevé_comme_dimension (a_été_relevé_par)</w:t>
      </w:r>
      <w:r w:rsidRPr="1B9E7434">
        <w:rPr>
          <w:lang w:val="fr-FR"/>
        </w:rPr>
        <w:t xml:space="preserve">, </w:t>
      </w:r>
      <w:r w:rsidRPr="1B9E7434">
        <w:rPr>
          <w:rStyle w:val="VerbatimChar"/>
          <w:lang w:val="fr-FR"/>
        </w:rPr>
        <w:t>E54_Dimension</w:t>
      </w:r>
      <w:r w:rsidRPr="1B9E7434">
        <w:rPr>
          <w:lang w:val="fr-FR"/>
        </w:rPr>
        <w:t>.</w:t>
      </w:r>
    </w:p>
    <w:p w14:paraId="3CEF0B42" w14:textId="77777777" w:rsidR="0084489F" w:rsidRDefault="00110FE6">
      <w:pPr>
        <w:pStyle w:val="BodyText"/>
      </w:pPr>
      <w:r w:rsidRPr="1B9E7434">
        <w:rPr>
          <w:lang w:val="fr-FR"/>
        </w:rPr>
        <w:t xml:space="preserve">La propriété </w:t>
      </w:r>
      <w:r w:rsidRPr="1B9E7434">
        <w:rPr>
          <w:rStyle w:val="VerbatimChar"/>
          <w:lang w:val="fr-FR"/>
        </w:rPr>
        <w:t>P43_a_pour_dimension (est_la_dimension_de)</w:t>
      </w:r>
      <w:r w:rsidRPr="1B9E7434">
        <w:rPr>
          <w:lang w:val="fr-FR"/>
        </w:rPr>
        <w:t xml:space="preserve"> n'offre aucune information sur comment et quand une instance de </w:t>
      </w:r>
      <w:r w:rsidRPr="1B9E7434">
        <w:rPr>
          <w:rStyle w:val="VerbatimChar"/>
          <w:lang w:val="fr-FR"/>
        </w:rPr>
        <w:t>E54_Dimension</w:t>
      </w:r>
      <w:r w:rsidRPr="1B9E7434">
        <w:rPr>
          <w:lang w:val="fr-FR"/>
        </w:rPr>
        <w:t xml:space="preserve"> a été établie, ni par qui. La connaissance à propos d’une instance de </w:t>
      </w:r>
      <w:r w:rsidRPr="1B9E7434">
        <w:rPr>
          <w:rStyle w:val="VerbatimChar"/>
          <w:lang w:val="fr-FR"/>
        </w:rPr>
        <w:t>E54_Dimension</w:t>
      </w:r>
      <w:r w:rsidRPr="1B9E7434">
        <w:rPr>
          <w:lang w:val="fr-FR"/>
        </w:rPr>
        <w:t xml:space="preserve"> n’est pas nécessairement le résultat d’une activité de mesurage; elle peut être le résultat d’une activité d’évaluation de données ou d’autres informations. Dans ce cas, l'activité doit être documentée comme une instance de </w:t>
      </w:r>
      <w:r w:rsidRPr="1B9E7434">
        <w:rPr>
          <w:rStyle w:val="VerbatimChar"/>
          <w:lang w:val="fr-FR"/>
        </w:rPr>
        <w:t>E13_Assignation_d’attribut</w:t>
      </w:r>
      <w:r w:rsidRPr="1B9E7434">
        <w:rPr>
          <w:lang w:val="fr-FR"/>
        </w:rPr>
        <w:t>.</w:t>
      </w:r>
    </w:p>
    <w:p w14:paraId="398FB3C0" w14:textId="77777777" w:rsidR="0084489F" w:rsidRDefault="00110FE6">
      <w:pPr>
        <w:pStyle w:val="BodyText"/>
      </w:pPr>
      <w:r>
        <w:t xml:space="preserve">Une instance de </w:t>
      </w:r>
      <w:r>
        <w:rPr>
          <w:rStyle w:val="VerbatimChar"/>
        </w:rPr>
        <w:t>E54_Dimension</w:t>
      </w:r>
      <w:r>
        <w:t xml:space="preserve"> est spécifique à une instance de </w:t>
      </w:r>
      <w:r>
        <w:rPr>
          <w:rStyle w:val="VerbatimChar"/>
        </w:rPr>
        <w:t>E70_Chose</w:t>
      </w:r>
      <w:r>
        <w:t>.</w:t>
      </w:r>
    </w:p>
    <w:p w14:paraId="58EF9F3F" w14:textId="77777777" w:rsidR="0084489F" w:rsidRDefault="00110FE6">
      <w:pPr>
        <w:pStyle w:val="BodyText"/>
      </w:pPr>
      <w:r>
        <w:rPr>
          <w:b/>
          <w:bCs/>
        </w:rPr>
        <w:t>Exemples</w:t>
      </w:r>
    </w:p>
    <w:p w14:paraId="7BBD0D33" w14:textId="77777777" w:rsidR="0084489F" w:rsidRDefault="00110FE6" w:rsidP="00806324">
      <w:pPr>
        <w:numPr>
          <w:ilvl w:val="0"/>
          <w:numId w:val="178"/>
        </w:numPr>
      </w:pPr>
      <w:r>
        <w:t>La coupe en argent « 232 » (</w:t>
      </w:r>
      <w:r>
        <w:rPr>
          <w:rStyle w:val="VerbatimChar"/>
        </w:rPr>
        <w:t>E22_Objet_élaboré_par_l’humain</w:t>
      </w:r>
      <w:r>
        <w:t>) a pour dimension (</w:t>
      </w:r>
      <w:r>
        <w:rPr>
          <w:rStyle w:val="VerbatimChar"/>
        </w:rPr>
        <w:t>P43_a_pour_dimension</w:t>
      </w:r>
      <w:r>
        <w:t>) la hauteur de la coupe en argent « 232 » (</w:t>
      </w:r>
      <w:r>
        <w:rPr>
          <w:rStyle w:val="VerbatimChar"/>
        </w:rPr>
        <w:t>E54_Dimension</w:t>
      </w:r>
      <w:r>
        <w:t>) [qui a pour unité de mesure (</w:t>
      </w:r>
      <w:r>
        <w:rPr>
          <w:rStyle w:val="VerbatimChar"/>
        </w:rPr>
        <w:t>P91_a_pour_unité_de_mesure</w:t>
      </w:r>
      <w:r>
        <w:t>) « mm » (</w:t>
      </w:r>
      <w:r>
        <w:rPr>
          <w:rStyle w:val="VerbatimChar"/>
        </w:rPr>
        <w:t>E58_Unité_de_mesure</w:t>
      </w:r>
      <w:r>
        <w:t>) et pour valeur (</w:t>
      </w:r>
      <w:r>
        <w:rPr>
          <w:rStyle w:val="VerbatimChar"/>
        </w:rPr>
        <w:t>P90_a_pour_valeur</w:t>
      </w:r>
      <w:r>
        <w:t>) « 224 » (</w:t>
      </w:r>
      <w:r>
        <w:rPr>
          <w:rStyle w:val="VerbatimChar"/>
        </w:rPr>
        <w:t>E60_Nombre</w:t>
      </w:r>
      <w:r>
        <w:t>)] (fictif)</w:t>
      </w:r>
    </w:p>
    <w:p w14:paraId="1EB04B26" w14:textId="77777777" w:rsidR="0084489F" w:rsidRDefault="00110FE6">
      <w:pPr>
        <w:pStyle w:val="FirstParagraph"/>
      </w:pPr>
      <w:r>
        <w:rPr>
          <w:b/>
          <w:bCs/>
        </w:rPr>
        <w:t>Logique</w:t>
      </w:r>
    </w:p>
    <w:p w14:paraId="6C3FC0C0" w14:textId="77777777" w:rsidR="0084489F" w:rsidRDefault="00110FE6">
      <w:pPr>
        <w:pStyle w:val="BodyText"/>
      </w:pPr>
      <w:r w:rsidRPr="1B9E7434">
        <w:rPr>
          <w:lang w:val="fr-FR"/>
        </w:rPr>
        <w:t>P43(x,y) ⇒ E70(x) P43(x,y) ⇒ E54(y) P43(x,y) ⇐ (∃z) [E16(z) ˄ P39i(x,z) ˄ P40(z,y)]</w:t>
      </w:r>
    </w:p>
    <w:p w14:paraId="64D27EAF" w14:textId="77777777" w:rsidR="0084489F" w:rsidRDefault="00110FE6">
      <w:pPr>
        <w:pStyle w:val="BodyText"/>
      </w:pPr>
      <w:r>
        <w:rPr>
          <w:b/>
          <w:bCs/>
        </w:rPr>
        <w:t>Propriétés</w:t>
      </w:r>
    </w:p>
    <w:p w14:paraId="7A52E001" w14:textId="77777777" w:rsidR="0084489F" w:rsidRDefault="00110FE6">
      <w:pPr>
        <w:pStyle w:val="BlockText"/>
      </w:pPr>
      <w:r>
        <w:rPr>
          <w:b/>
          <w:bCs/>
          <w:i/>
          <w:iCs/>
        </w:rPr>
        <w:t>Note de traduction</w:t>
      </w:r>
    </w:p>
    <w:p w14:paraId="58687DCC" w14:textId="77777777" w:rsidR="0084489F" w:rsidRDefault="00110FE6">
      <w:pPr>
        <w:pStyle w:val="BlockText"/>
      </w:pPr>
      <w:r>
        <w:rPr>
          <w:b/>
          <w:bCs/>
          <w:i/>
          <w:iCs/>
        </w:rPr>
        <w:t>Références</w:t>
      </w:r>
    </w:p>
    <w:p w14:paraId="3BAEE9A1" w14:textId="77777777" w:rsidR="0084489F" w:rsidRDefault="0084489F">
      <w:pPr>
        <w:pStyle w:val="BlockText"/>
      </w:pPr>
    </w:p>
    <w:p w14:paraId="40459C41" w14:textId="77777777" w:rsidR="0084489F" w:rsidRDefault="00110FE6">
      <w:pPr>
        <w:pStyle w:val="Heading2"/>
      </w:pPr>
      <w:bookmarkStart w:id="354" w:name="_Toc176864557"/>
      <w:bookmarkStart w:id="355" w:name="Xf1a91ded366dd236f3346419bfe025425d68611"/>
      <w:bookmarkEnd w:id="353"/>
      <w:r>
        <w:t>P44 a pour état matériel (est l'état matériel de)</w:t>
      </w:r>
      <w:bookmarkEnd w:id="354"/>
    </w:p>
    <w:p w14:paraId="4988507D" w14:textId="77777777" w:rsidR="0084489F" w:rsidRDefault="00110FE6">
      <w:pPr>
        <w:pStyle w:val="FirstParagraph"/>
      </w:pPr>
      <w:r>
        <w:rPr>
          <w:b/>
          <w:bCs/>
        </w:rPr>
        <w:t>Domaine</w:t>
      </w:r>
    </w:p>
    <w:p w14:paraId="0D84B450" w14:textId="77777777" w:rsidR="0084489F" w:rsidRDefault="00110FE6">
      <w:pPr>
        <w:pStyle w:val="BodyText"/>
      </w:pPr>
      <w:r>
        <w:rPr>
          <w:rStyle w:val="VerbatimChar"/>
        </w:rPr>
        <w:t>E18_Chose_matérielle</w:t>
      </w:r>
    </w:p>
    <w:p w14:paraId="37061FEE" w14:textId="77777777" w:rsidR="0084489F" w:rsidRDefault="00110FE6">
      <w:pPr>
        <w:pStyle w:val="BodyText"/>
      </w:pPr>
      <w:r>
        <w:rPr>
          <w:b/>
          <w:bCs/>
        </w:rPr>
        <w:t>Portée</w:t>
      </w:r>
    </w:p>
    <w:p w14:paraId="0103B027" w14:textId="77777777" w:rsidR="0084489F" w:rsidRDefault="00110FE6">
      <w:pPr>
        <w:pStyle w:val="BodyText"/>
      </w:pPr>
      <w:r>
        <w:rPr>
          <w:rStyle w:val="VerbatimChar"/>
        </w:rPr>
        <w:t>E3_État_matériel</w:t>
      </w:r>
    </w:p>
    <w:p w14:paraId="05896E9C" w14:textId="77777777" w:rsidR="0084489F" w:rsidRDefault="00110FE6">
      <w:pPr>
        <w:pStyle w:val="BodyText"/>
      </w:pPr>
      <w:r>
        <w:rPr>
          <w:b/>
          <w:bCs/>
        </w:rPr>
        <w:t>Sous-propriété de</w:t>
      </w:r>
    </w:p>
    <w:p w14:paraId="0465111F" w14:textId="77777777" w:rsidR="0084489F" w:rsidRDefault="00110FE6">
      <w:pPr>
        <w:pStyle w:val="BodyText"/>
      </w:pPr>
      <w:r>
        <w:rPr>
          <w:b/>
          <w:bCs/>
        </w:rPr>
        <w:t>Super-propriété de</w:t>
      </w:r>
    </w:p>
    <w:p w14:paraId="344E84F2" w14:textId="77777777" w:rsidR="0084489F" w:rsidRDefault="00110FE6">
      <w:pPr>
        <w:pStyle w:val="BodyText"/>
      </w:pPr>
      <w:r>
        <w:rPr>
          <w:b/>
          <w:bCs/>
        </w:rPr>
        <w:t>Quantification</w:t>
      </w:r>
    </w:p>
    <w:p w14:paraId="434F18B3" w14:textId="77777777" w:rsidR="0084489F" w:rsidRDefault="00110FE6">
      <w:pPr>
        <w:pStyle w:val="BodyText"/>
      </w:pPr>
      <w:r w:rsidRPr="1B9E7434">
        <w:rPr>
          <w:lang w:val="fr-FR"/>
        </w:rPr>
        <w:t>un à plusieurs, dépendant (0,n:1,1)</w:t>
      </w:r>
    </w:p>
    <w:p w14:paraId="4C7358CD" w14:textId="77777777" w:rsidR="0084489F" w:rsidRDefault="00110FE6">
      <w:pPr>
        <w:pStyle w:val="BodyText"/>
      </w:pPr>
      <w:r>
        <w:rPr>
          <w:b/>
          <w:bCs/>
        </w:rPr>
        <w:lastRenderedPageBreak/>
        <w:t>Note d’application</w:t>
      </w:r>
    </w:p>
    <w:p w14:paraId="00229F25" w14:textId="77777777" w:rsidR="0084489F" w:rsidRDefault="00110FE6">
      <w:pPr>
        <w:pStyle w:val="BodyText"/>
      </w:pPr>
      <w:r>
        <w:t xml:space="preserve">Cette propriété enregistre une instance de </w:t>
      </w:r>
      <w:r>
        <w:rPr>
          <w:rStyle w:val="VerbatimChar"/>
        </w:rPr>
        <w:t>E3_État_matériel</w:t>
      </w:r>
      <w:r>
        <w:t xml:space="preserve"> concernant une instance de </w:t>
      </w:r>
      <w:r>
        <w:rPr>
          <w:rStyle w:val="VerbatimChar"/>
        </w:rPr>
        <w:t>E18_Chose_matérielle</w:t>
      </w:r>
      <w:r>
        <w:t>.</w:t>
      </w:r>
    </w:p>
    <w:p w14:paraId="4B400CC8" w14:textId="77777777" w:rsidR="0084489F" w:rsidRDefault="00110FE6">
      <w:pPr>
        <w:pStyle w:val="BodyText"/>
      </w:pPr>
      <w:r>
        <w:t xml:space="preserve">Cette propriété est un raccourci du chemin sémantique suivant : </w:t>
      </w:r>
      <w:r>
        <w:rPr>
          <w:rStyle w:val="VerbatimChar"/>
        </w:rPr>
        <w:t>E18_Chose_matérielle</w:t>
      </w:r>
      <w:r>
        <w:t xml:space="preserve">, </w:t>
      </w:r>
      <w:r>
        <w:rPr>
          <w:rStyle w:val="VerbatimChar"/>
        </w:rPr>
        <w:t>P34i_a_été_évalué_par</w:t>
      </w:r>
      <w:r>
        <w:t xml:space="preserve">, </w:t>
      </w:r>
      <w:r>
        <w:rPr>
          <w:rStyle w:val="VerbatimChar"/>
        </w:rPr>
        <w:t>E14_Évaluation_d’état_matériel</w:t>
      </w:r>
      <w:r>
        <w:t xml:space="preserve">, </w:t>
      </w:r>
      <w:r>
        <w:rPr>
          <w:rStyle w:val="VerbatimChar"/>
        </w:rPr>
        <w:t>P35_a_identifié</w:t>
      </w:r>
      <w:r>
        <w:t xml:space="preserve">, </w:t>
      </w:r>
      <w:r>
        <w:rPr>
          <w:rStyle w:val="VerbatimChar"/>
        </w:rPr>
        <w:t>E3_État_matériel</w:t>
      </w:r>
      <w:r>
        <w:t>.</w:t>
      </w:r>
    </w:p>
    <w:p w14:paraId="7337334A" w14:textId="77777777" w:rsidR="0084489F" w:rsidRDefault="00110FE6">
      <w:pPr>
        <w:pStyle w:val="BodyText"/>
      </w:pPr>
      <w:r w:rsidRPr="1B9E7434">
        <w:rPr>
          <w:rStyle w:val="VerbatimChar"/>
          <w:lang w:val="fr-FR"/>
        </w:rPr>
        <w:t>P44_a_pour_état_matériel (est_l’état_matériel_de)</w:t>
      </w:r>
      <w:r w:rsidRPr="1B9E7434">
        <w:rPr>
          <w:lang w:val="fr-FR"/>
        </w:rPr>
        <w:t xml:space="preserve"> ne procure pas d'information sur comment, quand ou par qui a été établie l'instance de </w:t>
      </w:r>
      <w:r w:rsidRPr="1B9E7434">
        <w:rPr>
          <w:rStyle w:val="VerbatimChar"/>
          <w:lang w:val="fr-FR"/>
        </w:rPr>
        <w:t>E3_État_matériel</w:t>
      </w:r>
      <w:r w:rsidRPr="1B9E7434">
        <w:rPr>
          <w:lang w:val="fr-FR"/>
        </w:rPr>
        <w:t>.</w:t>
      </w:r>
    </w:p>
    <w:p w14:paraId="27B795EB" w14:textId="77777777" w:rsidR="0084489F" w:rsidRDefault="00110FE6">
      <w:pPr>
        <w:pStyle w:val="BodyText"/>
      </w:pPr>
      <w:r>
        <w:t xml:space="preserve">Une instance de </w:t>
      </w:r>
      <w:r>
        <w:rPr>
          <w:rStyle w:val="VerbatimChar"/>
        </w:rPr>
        <w:t>E3_État_matériel</w:t>
      </w:r>
      <w:r>
        <w:t xml:space="preserve"> est spécifique à une instance de </w:t>
      </w:r>
      <w:r>
        <w:rPr>
          <w:rStyle w:val="VerbatimChar"/>
        </w:rPr>
        <w:t>E18_Chose_matérielle</w:t>
      </w:r>
      <w:r>
        <w:t>.</w:t>
      </w:r>
    </w:p>
    <w:p w14:paraId="48FF31E9" w14:textId="77777777" w:rsidR="0084489F" w:rsidRDefault="00110FE6">
      <w:pPr>
        <w:pStyle w:val="BodyText"/>
      </w:pPr>
      <w:r>
        <w:rPr>
          <w:b/>
          <w:bCs/>
        </w:rPr>
        <w:t>Exemples</w:t>
      </w:r>
    </w:p>
    <w:p w14:paraId="012A93CF" w14:textId="77777777" w:rsidR="0084489F" w:rsidRDefault="00110FE6" w:rsidP="00806324">
      <w:pPr>
        <w:numPr>
          <w:ilvl w:val="0"/>
          <w:numId w:val="179"/>
        </w:numPr>
      </w:pPr>
      <w:r>
        <w:t>La coupe en argent « 232 » (</w:t>
      </w:r>
      <w:r>
        <w:rPr>
          <w:rStyle w:val="VerbatimChar"/>
        </w:rPr>
        <w:t>E22_Objet_élaboré_par_l’humain</w:t>
      </w:r>
      <w:r>
        <w:t>) a pour état matériel (</w:t>
      </w:r>
      <w:r>
        <w:rPr>
          <w:rStyle w:val="VerbatimChar"/>
        </w:rPr>
        <w:t>P44_a_pour_état_matériel</w:t>
      </w:r>
      <w:r>
        <w:t>) des traces d'oxydation présentes en 1997 (</w:t>
      </w:r>
      <w:r>
        <w:rPr>
          <w:rStyle w:val="VerbatimChar"/>
        </w:rPr>
        <w:t>E3_État_matériel</w:t>
      </w:r>
      <w:r>
        <w:t>) [lesquelles ont pour type (</w:t>
      </w:r>
      <w:r>
        <w:rPr>
          <w:rStyle w:val="VerbatimChar"/>
        </w:rPr>
        <w:t>P2_a_pour_type</w:t>
      </w:r>
      <w:r>
        <w:t>) « traces d'oxydation » (</w:t>
      </w:r>
      <w:r>
        <w:rPr>
          <w:rStyle w:val="VerbatimChar"/>
        </w:rPr>
        <w:t>E55_Type</w:t>
      </w:r>
      <w:r>
        <w:t>)] (fictif)</w:t>
      </w:r>
    </w:p>
    <w:p w14:paraId="59752FB5" w14:textId="77777777" w:rsidR="0084489F" w:rsidRDefault="00110FE6">
      <w:pPr>
        <w:pStyle w:val="FirstParagraph"/>
      </w:pPr>
      <w:r>
        <w:rPr>
          <w:b/>
          <w:bCs/>
        </w:rPr>
        <w:t>Logique</w:t>
      </w:r>
    </w:p>
    <w:p w14:paraId="7FB425D7" w14:textId="77777777" w:rsidR="0084489F" w:rsidRDefault="00110FE6">
      <w:pPr>
        <w:pStyle w:val="BodyText"/>
      </w:pPr>
      <w:r w:rsidRPr="1B9E7434">
        <w:rPr>
          <w:lang w:val="fr-FR"/>
        </w:rPr>
        <w:t>P44(x,y) ⇒ E18(x)</w:t>
      </w:r>
    </w:p>
    <w:p w14:paraId="3D1CB4C6" w14:textId="77777777" w:rsidR="0084489F" w:rsidRDefault="00110FE6">
      <w:pPr>
        <w:pStyle w:val="BodyText"/>
      </w:pPr>
      <w:r w:rsidRPr="1B9E7434">
        <w:rPr>
          <w:lang w:val="fr-FR"/>
        </w:rPr>
        <w:t>P44(x,y) ⇒ E3(y)</w:t>
      </w:r>
    </w:p>
    <w:p w14:paraId="114FD996" w14:textId="77777777" w:rsidR="0084489F" w:rsidRDefault="00110FE6">
      <w:pPr>
        <w:pStyle w:val="BodyText"/>
      </w:pPr>
      <w:r w:rsidRPr="1B9E7434">
        <w:rPr>
          <w:lang w:val="fr-FR"/>
        </w:rPr>
        <w:t>P44(x,y) ⇐ (∃z) [E14(z) ˄ P34i(x,z) ˄ P35(z,y)]</w:t>
      </w:r>
    </w:p>
    <w:p w14:paraId="3F5B182C" w14:textId="77777777" w:rsidR="0084489F" w:rsidRDefault="00110FE6">
      <w:pPr>
        <w:pStyle w:val="BodyText"/>
      </w:pPr>
      <w:r>
        <w:rPr>
          <w:b/>
          <w:bCs/>
        </w:rPr>
        <w:t>Propriétés</w:t>
      </w:r>
    </w:p>
    <w:p w14:paraId="24BB312B" w14:textId="77777777" w:rsidR="0084489F" w:rsidRDefault="00110FE6">
      <w:pPr>
        <w:pStyle w:val="BlockText"/>
      </w:pPr>
      <w:r>
        <w:rPr>
          <w:b/>
          <w:bCs/>
          <w:i/>
          <w:iCs/>
        </w:rPr>
        <w:t>Note de traduction</w:t>
      </w:r>
    </w:p>
    <w:p w14:paraId="3C5A08A7" w14:textId="77777777" w:rsidR="0084489F" w:rsidRDefault="00110FE6">
      <w:pPr>
        <w:pStyle w:val="BlockText"/>
      </w:pPr>
      <w:r>
        <w:rPr>
          <w:b/>
          <w:bCs/>
          <w:i/>
          <w:iCs/>
        </w:rPr>
        <w:t>Références</w:t>
      </w:r>
    </w:p>
    <w:p w14:paraId="650AB3D3" w14:textId="77777777" w:rsidR="0084489F" w:rsidRDefault="0084489F">
      <w:pPr>
        <w:pStyle w:val="BlockText"/>
      </w:pPr>
    </w:p>
    <w:p w14:paraId="66A19897" w14:textId="77777777" w:rsidR="0084489F" w:rsidRDefault="00110FE6">
      <w:pPr>
        <w:pStyle w:val="Heading2"/>
      </w:pPr>
      <w:bookmarkStart w:id="356" w:name="_Toc176864558"/>
      <w:bookmarkStart w:id="357" w:name="p45-comprend-(est-inclus-dans)"/>
      <w:bookmarkEnd w:id="355"/>
      <w:r>
        <w:t>P45 comprend (est inclus dans)</w:t>
      </w:r>
      <w:bookmarkEnd w:id="356"/>
    </w:p>
    <w:p w14:paraId="6067CB1F" w14:textId="77777777" w:rsidR="0084489F" w:rsidRDefault="00110FE6">
      <w:pPr>
        <w:pStyle w:val="FirstParagraph"/>
      </w:pPr>
      <w:r>
        <w:rPr>
          <w:b/>
          <w:bCs/>
        </w:rPr>
        <w:t>Domaine</w:t>
      </w:r>
    </w:p>
    <w:p w14:paraId="08E83E2E" w14:textId="77777777" w:rsidR="0084489F" w:rsidRDefault="00110FE6">
      <w:pPr>
        <w:pStyle w:val="BodyText"/>
      </w:pPr>
      <w:r>
        <w:rPr>
          <w:rStyle w:val="VerbatimChar"/>
        </w:rPr>
        <w:t>E18_Chose_matérielle</w:t>
      </w:r>
    </w:p>
    <w:p w14:paraId="50A61CFD" w14:textId="77777777" w:rsidR="0084489F" w:rsidRDefault="00110FE6">
      <w:pPr>
        <w:pStyle w:val="BodyText"/>
      </w:pPr>
      <w:r>
        <w:rPr>
          <w:b/>
          <w:bCs/>
        </w:rPr>
        <w:t>Portée</w:t>
      </w:r>
    </w:p>
    <w:p w14:paraId="0FB2EB2F" w14:textId="77777777" w:rsidR="0084489F" w:rsidRDefault="00110FE6">
      <w:pPr>
        <w:pStyle w:val="BodyText"/>
      </w:pPr>
      <w:r>
        <w:rPr>
          <w:rStyle w:val="VerbatimChar"/>
        </w:rPr>
        <w:t>E57_Matériau</w:t>
      </w:r>
    </w:p>
    <w:p w14:paraId="5DF5124F" w14:textId="77777777" w:rsidR="0084489F" w:rsidRDefault="00110FE6">
      <w:pPr>
        <w:pStyle w:val="BodyText"/>
      </w:pPr>
      <w:r>
        <w:rPr>
          <w:b/>
          <w:bCs/>
        </w:rPr>
        <w:t>Sous-propriété de</w:t>
      </w:r>
    </w:p>
    <w:p w14:paraId="1DCC4F4C" w14:textId="77777777" w:rsidR="0084489F" w:rsidRDefault="00110FE6">
      <w:pPr>
        <w:pStyle w:val="BodyText"/>
      </w:pPr>
      <w:r>
        <w:rPr>
          <w:b/>
          <w:bCs/>
        </w:rPr>
        <w:t>Super-propriété de</w:t>
      </w:r>
    </w:p>
    <w:p w14:paraId="420ACDFB" w14:textId="77777777" w:rsidR="0084489F" w:rsidRDefault="00110FE6">
      <w:pPr>
        <w:pStyle w:val="BodyText"/>
      </w:pPr>
      <w:r>
        <w:rPr>
          <w:b/>
          <w:bCs/>
        </w:rPr>
        <w:t>Quantification</w:t>
      </w:r>
    </w:p>
    <w:p w14:paraId="338CF8F1" w14:textId="77777777" w:rsidR="0084489F" w:rsidRDefault="00110FE6">
      <w:pPr>
        <w:pStyle w:val="BodyText"/>
      </w:pPr>
      <w:r w:rsidRPr="1B9E7434">
        <w:rPr>
          <w:lang w:val="fr-FR"/>
        </w:rPr>
        <w:t>plusieurs à plusieurs, nécessaire (1,n:0,n)</w:t>
      </w:r>
    </w:p>
    <w:p w14:paraId="4236F876" w14:textId="77777777" w:rsidR="0084489F" w:rsidRDefault="00110FE6">
      <w:pPr>
        <w:pStyle w:val="BodyText"/>
      </w:pPr>
      <w:r>
        <w:rPr>
          <w:b/>
          <w:bCs/>
        </w:rPr>
        <w:t>Note d’application</w:t>
      </w:r>
    </w:p>
    <w:p w14:paraId="51E6A893" w14:textId="77777777" w:rsidR="0084489F" w:rsidRDefault="00110FE6">
      <w:pPr>
        <w:pStyle w:val="BodyText"/>
      </w:pPr>
      <w:r>
        <w:t xml:space="preserve">Cette propriété identifie les instances de </w:t>
      </w:r>
      <w:r>
        <w:rPr>
          <w:rStyle w:val="VerbatimChar"/>
        </w:rPr>
        <w:t>E57_Matériau</w:t>
      </w:r>
      <w:r>
        <w:t xml:space="preserve"> dont une instance de </w:t>
      </w:r>
      <w:r>
        <w:rPr>
          <w:rStyle w:val="VerbatimChar"/>
        </w:rPr>
        <w:t>E18_Chose_matérielle</w:t>
      </w:r>
      <w:r>
        <w:t xml:space="preserve"> est composée.</w:t>
      </w:r>
    </w:p>
    <w:p w14:paraId="18DDE3D9" w14:textId="77777777" w:rsidR="0084489F" w:rsidRDefault="00110FE6">
      <w:pPr>
        <w:pStyle w:val="BodyText"/>
      </w:pPr>
      <w:r w:rsidRPr="1B9E7434">
        <w:rPr>
          <w:lang w:val="fr-FR"/>
        </w:rPr>
        <w:t xml:space="preserve">Toutes les choses matérielles comprennent des matériaux physiques observables que </w:t>
      </w:r>
      <w:r w:rsidRPr="1B9E7434">
        <w:rPr>
          <w:rStyle w:val="VerbatimChar"/>
          <w:lang w:val="fr-FR"/>
        </w:rPr>
        <w:t>P45_comprend (est_inclus_dans)</w:t>
      </w:r>
      <w:r w:rsidRPr="1B9E7434">
        <w:rPr>
          <w:lang w:val="fr-FR"/>
        </w:rPr>
        <w:t xml:space="preserve"> permet d'enregistrer.</w:t>
      </w:r>
    </w:p>
    <w:p w14:paraId="137ACA83" w14:textId="77777777" w:rsidR="0084489F" w:rsidRDefault="00110FE6">
      <w:pPr>
        <w:pStyle w:val="BodyText"/>
      </w:pPr>
      <w:r>
        <w:lastRenderedPageBreak/>
        <w:t>Dans ce contexte, les matériaux observables sont distingués de matériaux bruts qui seraient consommés. De plus, un matériau pourrait ne pas avoir d'instance physique (p. ex. un alliage théorique).</w:t>
      </w:r>
    </w:p>
    <w:p w14:paraId="68B7AC6C" w14:textId="77777777" w:rsidR="0084489F" w:rsidRDefault="00110FE6">
      <w:pPr>
        <w:pStyle w:val="BodyText"/>
      </w:pPr>
      <w:r>
        <w:rPr>
          <w:b/>
          <w:bCs/>
        </w:rPr>
        <w:t>Exemples</w:t>
      </w:r>
    </w:p>
    <w:p w14:paraId="695EAB36" w14:textId="77777777" w:rsidR="0084489F" w:rsidRDefault="00110FE6" w:rsidP="00806324">
      <w:pPr>
        <w:numPr>
          <w:ilvl w:val="0"/>
          <w:numId w:val="180"/>
        </w:numPr>
      </w:pPr>
      <w:r>
        <w:t>La coupe en argent « 232 » (</w:t>
      </w:r>
      <w:r>
        <w:rPr>
          <w:rStyle w:val="VerbatimChar"/>
        </w:rPr>
        <w:t>E22_Objet_élaboré_par_l’humain</w:t>
      </w:r>
      <w:r>
        <w:t>) comprend (</w:t>
      </w:r>
      <w:r>
        <w:rPr>
          <w:rStyle w:val="VerbatimChar"/>
        </w:rPr>
        <w:t>P45_comprend</w:t>
      </w:r>
      <w:r>
        <w:t>) le matériau « argent » (</w:t>
      </w:r>
      <w:r>
        <w:rPr>
          <w:rStyle w:val="VerbatimChar"/>
        </w:rPr>
        <w:t>E57_Matériau</w:t>
      </w:r>
      <w:r>
        <w:t>) (fictif)</w:t>
      </w:r>
    </w:p>
    <w:p w14:paraId="6FDB19BF" w14:textId="77777777" w:rsidR="0084489F" w:rsidRDefault="00110FE6">
      <w:pPr>
        <w:pStyle w:val="FirstParagraph"/>
      </w:pPr>
      <w:r>
        <w:rPr>
          <w:b/>
          <w:bCs/>
        </w:rPr>
        <w:t>Logique</w:t>
      </w:r>
    </w:p>
    <w:p w14:paraId="43779A24" w14:textId="77777777" w:rsidR="0084489F" w:rsidRDefault="00110FE6">
      <w:pPr>
        <w:pStyle w:val="BodyText"/>
      </w:pPr>
      <w:r w:rsidRPr="1B9E7434">
        <w:rPr>
          <w:lang w:val="fr-FR"/>
        </w:rPr>
        <w:t>P45(x,y) ⇒ E18(x)</w:t>
      </w:r>
    </w:p>
    <w:p w14:paraId="5E612454" w14:textId="77777777" w:rsidR="0084489F" w:rsidRDefault="00110FE6">
      <w:pPr>
        <w:pStyle w:val="BodyText"/>
      </w:pPr>
      <w:r w:rsidRPr="1B9E7434">
        <w:rPr>
          <w:lang w:val="fr-FR"/>
        </w:rPr>
        <w:t>P45(x,y) ⇒ E57(y)</w:t>
      </w:r>
    </w:p>
    <w:p w14:paraId="4FBB8EC5" w14:textId="77777777" w:rsidR="0084489F" w:rsidRDefault="00110FE6">
      <w:pPr>
        <w:pStyle w:val="BodyText"/>
      </w:pPr>
      <w:r>
        <w:rPr>
          <w:b/>
          <w:bCs/>
        </w:rPr>
        <w:t>Propriétés</w:t>
      </w:r>
    </w:p>
    <w:p w14:paraId="6960F6C0" w14:textId="77777777" w:rsidR="0084489F" w:rsidRDefault="00110FE6">
      <w:pPr>
        <w:pStyle w:val="BlockText"/>
      </w:pPr>
      <w:r>
        <w:rPr>
          <w:b/>
          <w:bCs/>
          <w:i/>
          <w:iCs/>
        </w:rPr>
        <w:t>Note de traduction</w:t>
      </w:r>
    </w:p>
    <w:p w14:paraId="47E72620" w14:textId="77777777" w:rsidR="0084489F" w:rsidRDefault="00110FE6">
      <w:pPr>
        <w:pStyle w:val="BlockText"/>
      </w:pPr>
      <w:r>
        <w:rPr>
          <w:b/>
          <w:bCs/>
          <w:i/>
          <w:iCs/>
        </w:rPr>
        <w:t>Références</w:t>
      </w:r>
    </w:p>
    <w:p w14:paraId="09AE7591" w14:textId="77777777" w:rsidR="0084489F" w:rsidRDefault="0084489F">
      <w:pPr>
        <w:pStyle w:val="BlockText"/>
      </w:pPr>
    </w:p>
    <w:p w14:paraId="04E0EA49" w14:textId="77777777" w:rsidR="0084489F" w:rsidRDefault="00110FE6">
      <w:pPr>
        <w:pStyle w:val="Heading2"/>
      </w:pPr>
      <w:bookmarkStart w:id="358" w:name="_Toc176864559"/>
      <w:bookmarkStart w:id="359" w:name="p46-est-compose-de-(fait-partie-de)"/>
      <w:bookmarkEnd w:id="357"/>
      <w:r>
        <w:t>P46 est composé de (fait partie de)</w:t>
      </w:r>
      <w:bookmarkEnd w:id="358"/>
    </w:p>
    <w:p w14:paraId="4388A53F" w14:textId="77777777" w:rsidR="0084489F" w:rsidRDefault="00110FE6">
      <w:pPr>
        <w:pStyle w:val="FirstParagraph"/>
      </w:pPr>
      <w:r>
        <w:rPr>
          <w:b/>
          <w:bCs/>
        </w:rPr>
        <w:t>Domaine</w:t>
      </w:r>
    </w:p>
    <w:p w14:paraId="6C383A99" w14:textId="77777777" w:rsidR="0084489F" w:rsidRDefault="00110FE6">
      <w:pPr>
        <w:pStyle w:val="BodyText"/>
      </w:pPr>
      <w:r>
        <w:rPr>
          <w:rStyle w:val="VerbatimChar"/>
        </w:rPr>
        <w:t>E18_Chose_matérielle</w:t>
      </w:r>
    </w:p>
    <w:p w14:paraId="442D022F" w14:textId="77777777" w:rsidR="0084489F" w:rsidRDefault="00110FE6">
      <w:pPr>
        <w:pStyle w:val="BodyText"/>
      </w:pPr>
      <w:r>
        <w:rPr>
          <w:b/>
          <w:bCs/>
        </w:rPr>
        <w:t>Portée</w:t>
      </w:r>
    </w:p>
    <w:p w14:paraId="0DB98FA2" w14:textId="77777777" w:rsidR="0084489F" w:rsidRDefault="00110FE6">
      <w:pPr>
        <w:pStyle w:val="BodyText"/>
      </w:pPr>
      <w:r>
        <w:rPr>
          <w:rStyle w:val="VerbatimChar"/>
        </w:rPr>
        <w:t>E18_Chose_matérielle</w:t>
      </w:r>
    </w:p>
    <w:p w14:paraId="22C7E310" w14:textId="77777777" w:rsidR="0084489F" w:rsidRDefault="00110FE6">
      <w:pPr>
        <w:pStyle w:val="BodyText"/>
      </w:pPr>
      <w:r>
        <w:rPr>
          <w:b/>
          <w:bCs/>
        </w:rPr>
        <w:t>Sous-propriété de</w:t>
      </w:r>
    </w:p>
    <w:p w14:paraId="695EB2E7" w14:textId="77777777" w:rsidR="0084489F" w:rsidRDefault="00110FE6">
      <w:pPr>
        <w:pStyle w:val="BodyText"/>
      </w:pPr>
      <w:r>
        <w:rPr>
          <w:b/>
          <w:bCs/>
        </w:rPr>
        <w:t>Super-propriété de</w:t>
      </w:r>
    </w:p>
    <w:p w14:paraId="71023CCE" w14:textId="77777777" w:rsidR="0084489F" w:rsidRDefault="00110FE6">
      <w:pPr>
        <w:pStyle w:val="BodyText"/>
      </w:pPr>
      <w:r w:rsidRPr="1B9E7434">
        <w:rPr>
          <w:rStyle w:val="VerbatimChar"/>
          <w:lang w:val="fr-FR"/>
        </w:rPr>
        <w:t>E19_Objet_matériel</w:t>
      </w:r>
      <w:r w:rsidRPr="1B9E7434">
        <w:rPr>
          <w:lang w:val="fr-FR"/>
        </w:rPr>
        <w:t xml:space="preserve">. </w:t>
      </w:r>
      <w:r w:rsidRPr="1B9E7434">
        <w:rPr>
          <w:rStyle w:val="VerbatimChar"/>
          <w:lang w:val="fr-FR"/>
        </w:rPr>
        <w:t>P56_a_pour_caractéristique (se_trouve_sur)</w:t>
      </w:r>
      <w:r w:rsidRPr="1B9E7434">
        <w:rPr>
          <w:lang w:val="fr-FR"/>
        </w:rPr>
        <w:t xml:space="preserve"> : </w:t>
      </w:r>
      <w:r w:rsidRPr="1B9E7434">
        <w:rPr>
          <w:rStyle w:val="VerbatimChar"/>
          <w:lang w:val="fr-FR"/>
        </w:rPr>
        <w:t>E26_Caractéristique_physique</w:t>
      </w:r>
    </w:p>
    <w:p w14:paraId="7DE39275" w14:textId="77777777" w:rsidR="0084489F" w:rsidRDefault="00110FE6">
      <w:pPr>
        <w:pStyle w:val="BodyText"/>
      </w:pPr>
      <w:r>
        <w:rPr>
          <w:b/>
          <w:bCs/>
        </w:rPr>
        <w:t>Quantification</w:t>
      </w:r>
    </w:p>
    <w:p w14:paraId="1E769ACD" w14:textId="77777777" w:rsidR="0084489F" w:rsidRDefault="00110FE6">
      <w:pPr>
        <w:pStyle w:val="BodyText"/>
      </w:pPr>
      <w:r w:rsidRPr="1B9E7434">
        <w:rPr>
          <w:lang w:val="fr-FR"/>
        </w:rPr>
        <w:t>plusieurs à plusieurs (0,n:0,n)</w:t>
      </w:r>
    </w:p>
    <w:p w14:paraId="471D6D89" w14:textId="77777777" w:rsidR="0084489F" w:rsidRDefault="00110FE6">
      <w:pPr>
        <w:pStyle w:val="BodyText"/>
      </w:pPr>
      <w:r>
        <w:rPr>
          <w:b/>
          <w:bCs/>
        </w:rPr>
        <w:t>Note d’application</w:t>
      </w:r>
    </w:p>
    <w:p w14:paraId="4EFFEA0C" w14:textId="77777777" w:rsidR="0084489F" w:rsidRDefault="00110FE6">
      <w:pPr>
        <w:pStyle w:val="BodyText"/>
      </w:pPr>
      <w:r>
        <w:t xml:space="preserve">Cette propriété associe une instance de </w:t>
      </w:r>
      <w:r>
        <w:rPr>
          <w:rStyle w:val="VerbatimChar"/>
        </w:rPr>
        <w:t>E18_Chose_matérielle</w:t>
      </w:r>
      <w:r>
        <w:t xml:space="preserve"> à une autre instance de </w:t>
      </w:r>
      <w:r>
        <w:rPr>
          <w:rStyle w:val="VerbatimChar"/>
        </w:rPr>
        <w:t>E18_Chose_matérielle</w:t>
      </w:r>
      <w:r>
        <w:t xml:space="preserve"> dont elle fait partie. La portée spatiale de la partie composante est incluse dans la portée spatiale du tout.</w:t>
      </w:r>
    </w:p>
    <w:p w14:paraId="4AC2C0ED" w14:textId="77777777" w:rsidR="0084489F" w:rsidRDefault="00110FE6">
      <w:pPr>
        <w:pStyle w:val="BodyText"/>
      </w:pPr>
      <w:r>
        <w:t xml:space="preserve">Les éléments composants, puisqu’ils sont eux-mêmes des instances de </w:t>
      </w:r>
      <w:r>
        <w:rPr>
          <w:rStyle w:val="VerbatimChar"/>
        </w:rPr>
        <w:t>E18_Chose_matérielle</w:t>
      </w:r>
      <w:r>
        <w:t xml:space="preserve">, peuvent être à leur tour analysés comme contenant des sous-composants, ce qui crée donc une hiérarchie de subdivision en parties. Une instance de </w:t>
      </w:r>
      <w:r>
        <w:rPr>
          <w:rStyle w:val="VerbatimChar"/>
        </w:rPr>
        <w:t>E18_Chose_matérielle</w:t>
      </w:r>
      <w:r>
        <w:t xml:space="preserve"> peut être partagée entre plusieurs ensembles, par exemple dans le cas de deux bâtiments qui partagent un mur mitoyen. Cette propriété ne spécifie pas quand et pour combien de temps un élément composant fait partie d’un ensemble. Si un composant ne fait pas partie d’un ensemble du début ou jusqu’à la fin de l’existence de ce dernier, les classes </w:t>
      </w:r>
      <w:r>
        <w:rPr>
          <w:rStyle w:val="VerbatimChar"/>
        </w:rPr>
        <w:t>E79_Ajout_d’élément</w:t>
      </w:r>
      <w:r>
        <w:t xml:space="preserve"> et </w:t>
      </w:r>
      <w:r>
        <w:rPr>
          <w:rStyle w:val="VerbatimChar"/>
        </w:rPr>
        <w:t>E80_Retrait_d’élément</w:t>
      </w:r>
      <w:r>
        <w:t xml:space="preserve"> peuvent être utilisées pour documenter le moment où le composant devient une partie de cet ensemble spécifique et/ou quand il cesse de l’être. Durant l’intervalle temporel où le composant fait partie de cet ensemble, il est complètement contenu dans le lieu occupé par l’ensemble.</w:t>
      </w:r>
    </w:p>
    <w:p w14:paraId="2C701386" w14:textId="77777777" w:rsidR="0084489F" w:rsidRDefault="00110FE6">
      <w:pPr>
        <w:pStyle w:val="BodyText"/>
      </w:pPr>
      <w:r>
        <w:lastRenderedPageBreak/>
        <w:t xml:space="preserve">Cette propriété vise à décrire des composants spécifiques qui sont individuellement documentés, plutôt que des aspects généraux. Des descriptions générales de la structure d’une instance de </w:t>
      </w:r>
      <w:r>
        <w:rPr>
          <w:rStyle w:val="VerbatimChar"/>
        </w:rPr>
        <w:t>E18_Chose_matérielle</w:t>
      </w:r>
      <w:r>
        <w:t xml:space="preserve"> sont documentées par la propriété </w:t>
      </w:r>
      <w:r>
        <w:rPr>
          <w:rStyle w:val="VerbatimChar"/>
        </w:rPr>
        <w:t>P3_a_pour_note</w:t>
      </w:r>
      <w:r>
        <w:t>.</w:t>
      </w:r>
    </w:p>
    <w:p w14:paraId="62A9C3D5" w14:textId="77777777" w:rsidR="0084489F" w:rsidRDefault="00110FE6">
      <w:pPr>
        <w:pStyle w:val="BodyText"/>
      </w:pPr>
      <w:r w:rsidRPr="1B9E7434">
        <w:rPr>
          <w:lang w:val="fr-FR"/>
        </w:rPr>
        <w:t xml:space="preserve">Les instances de </w:t>
      </w:r>
      <w:r w:rsidRPr="1B9E7434">
        <w:rPr>
          <w:rStyle w:val="VerbatimChar"/>
          <w:lang w:val="fr-FR"/>
        </w:rPr>
        <w:t>E57_Matériau</w:t>
      </w:r>
      <w:r w:rsidRPr="1B9E7434">
        <w:rPr>
          <w:lang w:val="fr-FR"/>
        </w:rPr>
        <w:t xml:space="preserve"> dont une instance de </w:t>
      </w:r>
      <w:r w:rsidRPr="1B9E7434">
        <w:rPr>
          <w:rStyle w:val="VerbatimChar"/>
          <w:lang w:val="fr-FR"/>
        </w:rPr>
        <w:t>E18_Chose_matérielle</w:t>
      </w:r>
      <w:r w:rsidRPr="1B9E7434">
        <w:rPr>
          <w:lang w:val="fr-FR"/>
        </w:rPr>
        <w:t xml:space="preserve"> est composée doivent être documentées en utilisant la propriété </w:t>
      </w:r>
      <w:r w:rsidRPr="1B9E7434">
        <w:rPr>
          <w:rStyle w:val="VerbatimChar"/>
          <w:lang w:val="fr-FR"/>
        </w:rPr>
        <w:t>P45_comprend (est_inclus_dans)</w:t>
      </w:r>
      <w:r w:rsidRPr="1B9E7434">
        <w:rPr>
          <w:lang w:val="fr-FR"/>
        </w:rPr>
        <w:t>.</w:t>
      </w:r>
    </w:p>
    <w:p w14:paraId="25CABF83" w14:textId="77777777" w:rsidR="0084489F" w:rsidRDefault="00110FE6">
      <w:pPr>
        <w:pStyle w:val="BodyText"/>
      </w:pPr>
      <w:r>
        <w:t>Cette propriété est transitive et asymétrique.</w:t>
      </w:r>
    </w:p>
    <w:p w14:paraId="6E21C51A" w14:textId="77777777" w:rsidR="0084489F" w:rsidRDefault="00110FE6">
      <w:pPr>
        <w:pStyle w:val="BodyText"/>
      </w:pPr>
      <w:r>
        <w:rPr>
          <w:b/>
          <w:bCs/>
        </w:rPr>
        <w:t>Exemples</w:t>
      </w:r>
    </w:p>
    <w:p w14:paraId="20935F59" w14:textId="77777777" w:rsidR="0084489F" w:rsidRDefault="00110FE6" w:rsidP="00806324">
      <w:pPr>
        <w:numPr>
          <w:ilvl w:val="0"/>
          <w:numId w:val="181"/>
        </w:numPr>
      </w:pPr>
      <w:r>
        <w:t>Le carrosse royal (</w:t>
      </w:r>
      <w:r>
        <w:rPr>
          <w:rStyle w:val="VerbatimChar"/>
        </w:rPr>
        <w:t>E22_Objet_élaboré_par_l’humain</w:t>
      </w:r>
      <w:r>
        <w:t>) fait partie du (</w:t>
      </w:r>
      <w:r>
        <w:rPr>
          <w:rStyle w:val="VerbatimChar"/>
        </w:rPr>
        <w:t>P46i_fait_partie_de</w:t>
      </w:r>
      <w:r>
        <w:t>) cortège royal (</w:t>
      </w:r>
      <w:r>
        <w:rPr>
          <w:rStyle w:val="VerbatimChar"/>
        </w:rPr>
        <w:t>E22_Objet_élaboré_par_l’humain</w:t>
      </w:r>
      <w:r>
        <w:t>)</w:t>
      </w:r>
    </w:p>
    <w:p w14:paraId="50BD9832" w14:textId="1BBEC061" w:rsidR="0084489F" w:rsidRDefault="00110FE6" w:rsidP="00806324">
      <w:pPr>
        <w:numPr>
          <w:ilvl w:val="0"/>
          <w:numId w:val="181"/>
        </w:numPr>
      </w:pPr>
      <w:r w:rsidRPr="1B9E7434">
        <w:rPr>
          <w:lang w:val="fr-FR"/>
        </w:rPr>
        <w:t>Le « Hog’s back » (</w:t>
      </w:r>
      <w:r w:rsidRPr="1B9E7434">
        <w:rPr>
          <w:rStyle w:val="VerbatimChar"/>
          <w:lang w:val="fr-FR"/>
        </w:rPr>
        <w:t>E24_Chose_matérielle_élaborée_par_l’humain</w:t>
      </w:r>
      <w:r w:rsidRPr="1B9E7434">
        <w:rPr>
          <w:lang w:val="fr-FR"/>
        </w:rPr>
        <w:t xml:space="preserve"> ) fait partie du (</w:t>
      </w:r>
      <w:r w:rsidRPr="1B9E7434">
        <w:rPr>
          <w:rStyle w:val="VerbatimChar"/>
          <w:lang w:val="fr-FR"/>
        </w:rPr>
        <w:t>P46i_fait_partie_de</w:t>
      </w:r>
      <w:r w:rsidRPr="1B9E7434">
        <w:rPr>
          <w:lang w:val="fr-FR"/>
        </w:rPr>
        <w:t>) « Fosseway » (</w:t>
      </w:r>
      <w:r w:rsidRPr="1B9E7434">
        <w:rPr>
          <w:rStyle w:val="VerbatimChar"/>
          <w:lang w:val="fr-FR"/>
        </w:rPr>
        <w:t>E24_Chose_matérielle_élaborée_par_l’humain</w:t>
      </w:r>
      <w:r w:rsidRPr="1B9E7434">
        <w:rPr>
          <w:lang w:val="fr-FR"/>
        </w:rPr>
        <w:t>)</w:t>
      </w:r>
    </w:p>
    <w:p w14:paraId="14849F37" w14:textId="77777777" w:rsidR="0084489F" w:rsidRDefault="00110FE6">
      <w:pPr>
        <w:pStyle w:val="FirstParagraph"/>
      </w:pPr>
      <w:r>
        <w:rPr>
          <w:b/>
          <w:bCs/>
        </w:rPr>
        <w:t>Logique</w:t>
      </w:r>
    </w:p>
    <w:p w14:paraId="3EDCCDC8" w14:textId="77777777" w:rsidR="0084489F" w:rsidRDefault="00110FE6">
      <w:pPr>
        <w:pStyle w:val="BodyText"/>
      </w:pPr>
      <w:r w:rsidRPr="1B9E7434">
        <w:rPr>
          <w:lang w:val="fr-FR"/>
        </w:rPr>
        <w:t>P46(x,y) ⇒ E18(x)</w:t>
      </w:r>
    </w:p>
    <w:p w14:paraId="37CF5277" w14:textId="77777777" w:rsidR="0084489F" w:rsidRDefault="00110FE6">
      <w:pPr>
        <w:pStyle w:val="BodyText"/>
      </w:pPr>
      <w:r w:rsidRPr="1B9E7434">
        <w:rPr>
          <w:lang w:val="fr-FR"/>
        </w:rPr>
        <w:t>P46(x,y) ⇒ E18(y)</w:t>
      </w:r>
    </w:p>
    <w:p w14:paraId="279B6CC8" w14:textId="77777777" w:rsidR="0084489F" w:rsidRDefault="00110FE6">
      <w:pPr>
        <w:pStyle w:val="BodyText"/>
      </w:pPr>
      <w:r w:rsidRPr="1B9E7434">
        <w:rPr>
          <w:lang w:val="fr-FR"/>
        </w:rPr>
        <w:t>P46(x,y) ⇒ P132(x,y)</w:t>
      </w:r>
    </w:p>
    <w:p w14:paraId="10A90E6C" w14:textId="77777777" w:rsidR="0084489F" w:rsidRDefault="00110FE6">
      <w:pPr>
        <w:pStyle w:val="BodyText"/>
      </w:pPr>
      <w:r w:rsidRPr="1B9E7434">
        <w:rPr>
          <w:lang w:val="fr-FR"/>
        </w:rPr>
        <w:t>[P46(x,y) ∧ P46(y,z)] ⇒ P46(x,z)</w:t>
      </w:r>
    </w:p>
    <w:p w14:paraId="409B0FF0" w14:textId="77777777" w:rsidR="0084489F" w:rsidRDefault="00110FE6">
      <w:pPr>
        <w:pStyle w:val="BodyText"/>
      </w:pPr>
      <w:r w:rsidRPr="1B9E7434">
        <w:rPr>
          <w:lang w:val="fr-FR"/>
        </w:rPr>
        <w:t>P46(x,y) ⇒ (∃uzw)[E93(u) ∧ P195i (x,u) ∧ E52(z) ∧ P164(u,z) ∧ E93(w) ∧ P195i (w,y) ∧ P164(w,z) ∧ P10(w,u)]</w:t>
      </w:r>
    </w:p>
    <w:p w14:paraId="17BF47B3" w14:textId="77777777" w:rsidR="0084489F" w:rsidRDefault="00110FE6">
      <w:pPr>
        <w:pStyle w:val="BodyText"/>
      </w:pPr>
      <w:r w:rsidRPr="1B9E7434">
        <w:rPr>
          <w:lang w:val="fr-FR"/>
        </w:rPr>
        <w:t>P46(x,y) ⇒ ¬P46(y,x)</w:t>
      </w:r>
    </w:p>
    <w:p w14:paraId="202E6BE1" w14:textId="77777777" w:rsidR="0084489F" w:rsidRDefault="00110FE6">
      <w:pPr>
        <w:pStyle w:val="BodyText"/>
      </w:pPr>
      <w:r>
        <w:rPr>
          <w:b/>
          <w:bCs/>
        </w:rPr>
        <w:t>Propriétés</w:t>
      </w:r>
    </w:p>
    <w:p w14:paraId="2FED6604" w14:textId="77777777" w:rsidR="0084489F" w:rsidRDefault="00110FE6">
      <w:pPr>
        <w:pStyle w:val="BlockText"/>
      </w:pPr>
      <w:r>
        <w:rPr>
          <w:b/>
          <w:bCs/>
          <w:i/>
          <w:iCs/>
        </w:rPr>
        <w:t>Note de traduction</w:t>
      </w:r>
    </w:p>
    <w:p w14:paraId="416F61AC" w14:textId="77777777" w:rsidR="0084489F" w:rsidRDefault="00110FE6">
      <w:pPr>
        <w:pStyle w:val="BlockText"/>
      </w:pPr>
      <w:r>
        <w:rPr>
          <w:b/>
          <w:bCs/>
          <w:i/>
          <w:iCs/>
        </w:rPr>
        <w:t>Références</w:t>
      </w:r>
    </w:p>
    <w:p w14:paraId="6902E27E" w14:textId="77777777" w:rsidR="0084489F" w:rsidRDefault="0084489F">
      <w:pPr>
        <w:pStyle w:val="BlockText"/>
      </w:pPr>
    </w:p>
    <w:p w14:paraId="2EB7E1E7" w14:textId="77777777" w:rsidR="0084489F" w:rsidRDefault="00110FE6">
      <w:pPr>
        <w:pStyle w:val="Heading2"/>
      </w:pPr>
      <w:bookmarkStart w:id="360" w:name="_Toc176864560"/>
      <w:bookmarkStart w:id="361" w:name="X719eb258293089e789abfbecb28c2fce2fd6090"/>
      <w:bookmarkEnd w:id="359"/>
      <w:r>
        <w:t>P48 a pour identifiant préférentiel (est l’identifiant préférentiel de)</w:t>
      </w:r>
      <w:bookmarkEnd w:id="360"/>
    </w:p>
    <w:p w14:paraId="5F62247F" w14:textId="77777777" w:rsidR="0084489F" w:rsidRDefault="00110FE6">
      <w:pPr>
        <w:pStyle w:val="FirstParagraph"/>
      </w:pPr>
      <w:r>
        <w:rPr>
          <w:b/>
          <w:bCs/>
        </w:rPr>
        <w:t>Domaine</w:t>
      </w:r>
    </w:p>
    <w:p w14:paraId="531F0436" w14:textId="77777777" w:rsidR="0084489F" w:rsidRDefault="00110FE6">
      <w:pPr>
        <w:pStyle w:val="BodyText"/>
      </w:pPr>
      <w:r>
        <w:rPr>
          <w:rStyle w:val="VerbatimChar"/>
        </w:rPr>
        <w:t>E1_Entité_CRM</w:t>
      </w:r>
    </w:p>
    <w:p w14:paraId="67F170EB" w14:textId="77777777" w:rsidR="0084489F" w:rsidRDefault="00110FE6">
      <w:pPr>
        <w:pStyle w:val="BodyText"/>
      </w:pPr>
      <w:r>
        <w:rPr>
          <w:b/>
          <w:bCs/>
        </w:rPr>
        <w:t>Portée</w:t>
      </w:r>
    </w:p>
    <w:p w14:paraId="3485D764" w14:textId="77777777" w:rsidR="0084489F" w:rsidRDefault="00110FE6">
      <w:pPr>
        <w:pStyle w:val="BodyText"/>
      </w:pPr>
      <w:r>
        <w:rPr>
          <w:rStyle w:val="VerbatimChar"/>
        </w:rPr>
        <w:t>E42_Identifiant</w:t>
      </w:r>
    </w:p>
    <w:p w14:paraId="0DA4E003" w14:textId="77777777" w:rsidR="0084489F" w:rsidRDefault="00110FE6">
      <w:pPr>
        <w:pStyle w:val="BodyText"/>
      </w:pPr>
      <w:r>
        <w:rPr>
          <w:b/>
          <w:bCs/>
        </w:rPr>
        <w:t>Sous-propriété de</w:t>
      </w:r>
    </w:p>
    <w:p w14:paraId="09328DEA" w14:textId="77777777" w:rsidR="0084489F" w:rsidRDefault="00110FE6">
      <w:pPr>
        <w:pStyle w:val="BodyText"/>
      </w:pPr>
      <w:r>
        <w:rPr>
          <w:rStyle w:val="VerbatimChar"/>
        </w:rPr>
        <w:t>E1_Entité_CRM</w:t>
      </w:r>
      <w:r>
        <w:t xml:space="preserve">. </w:t>
      </w:r>
      <w:r>
        <w:rPr>
          <w:rStyle w:val="VerbatimChar"/>
        </w:rPr>
        <w:t>P1_est_identifié_par (identifie)</w:t>
      </w:r>
      <w:r>
        <w:t xml:space="preserve"> : </w:t>
      </w:r>
      <w:r>
        <w:rPr>
          <w:rStyle w:val="VerbatimChar"/>
        </w:rPr>
        <w:t>E41_Appellation</w:t>
      </w:r>
    </w:p>
    <w:p w14:paraId="737AEDAC" w14:textId="77777777" w:rsidR="0084489F" w:rsidRDefault="00110FE6">
      <w:pPr>
        <w:pStyle w:val="BodyText"/>
      </w:pPr>
      <w:r>
        <w:rPr>
          <w:b/>
          <w:bCs/>
        </w:rPr>
        <w:t>Super-propriété de</w:t>
      </w:r>
    </w:p>
    <w:p w14:paraId="4DFCCB02" w14:textId="77777777" w:rsidR="0084489F" w:rsidRDefault="00110FE6">
      <w:pPr>
        <w:pStyle w:val="BodyText"/>
      </w:pPr>
      <w:r>
        <w:rPr>
          <w:b/>
          <w:bCs/>
        </w:rPr>
        <w:t>Quantification</w:t>
      </w:r>
    </w:p>
    <w:p w14:paraId="7604D860" w14:textId="77777777" w:rsidR="0084489F" w:rsidRDefault="00110FE6">
      <w:pPr>
        <w:pStyle w:val="BodyText"/>
      </w:pPr>
      <w:r w:rsidRPr="1B9E7434">
        <w:rPr>
          <w:lang w:val="fr-FR"/>
        </w:rPr>
        <w:t>plusieurs à un (0,1:0,n)</w:t>
      </w:r>
    </w:p>
    <w:p w14:paraId="32EDD41C" w14:textId="77777777" w:rsidR="0084489F" w:rsidRDefault="00110FE6" w:rsidP="00F0771C">
      <w:pPr>
        <w:pStyle w:val="BodyText"/>
        <w:keepNext/>
      </w:pPr>
      <w:r>
        <w:rPr>
          <w:b/>
          <w:bCs/>
        </w:rPr>
        <w:lastRenderedPageBreak/>
        <w:t>Note d’application</w:t>
      </w:r>
    </w:p>
    <w:p w14:paraId="68EF0C1D" w14:textId="77777777" w:rsidR="0084489F" w:rsidRDefault="00110FE6" w:rsidP="00F0771C">
      <w:pPr>
        <w:pStyle w:val="BodyText"/>
        <w:keepNext/>
      </w:pPr>
      <w:r>
        <w:t xml:space="preserve">Cette propriété enregistre l’instance préférentielle de </w:t>
      </w:r>
      <w:r>
        <w:rPr>
          <w:rStyle w:val="VerbatimChar"/>
        </w:rPr>
        <w:t>E42_Identifiant</w:t>
      </w:r>
      <w:r>
        <w:t xml:space="preserve"> qui a été utilisée pour identifier une instance de </w:t>
      </w:r>
      <w:r>
        <w:rPr>
          <w:rStyle w:val="VerbatimChar"/>
        </w:rPr>
        <w:t>E1_Entité_CRM</w:t>
      </w:r>
      <w:r>
        <w:t xml:space="preserve"> au moment où cette propriété a été documentée.</w:t>
      </w:r>
    </w:p>
    <w:p w14:paraId="35B09B7D" w14:textId="77777777" w:rsidR="0084489F" w:rsidRDefault="00110FE6">
      <w:pPr>
        <w:pStyle w:val="BodyText"/>
      </w:pPr>
      <w:r>
        <w:t>Plus d’un identifiant préférentiel peut avoir été assigné à une entité au cours du temps.</w:t>
      </w:r>
    </w:p>
    <w:p w14:paraId="5349D3EA" w14:textId="77777777" w:rsidR="0084489F" w:rsidRDefault="00110FE6">
      <w:pPr>
        <w:pStyle w:val="BodyText"/>
      </w:pPr>
      <w:r>
        <w:t>L’usage de cette propriété requiert un mécanisme externe pour assigner la validité temporelle à l’instance du CIDOC CRM qui assigne l’identifiant.</w:t>
      </w:r>
    </w:p>
    <w:p w14:paraId="5253991D" w14:textId="77777777" w:rsidR="0084489F" w:rsidRDefault="00110FE6">
      <w:pPr>
        <w:pStyle w:val="BodyText"/>
      </w:pPr>
      <w:r w:rsidRPr="1B9E7434">
        <w:rPr>
          <w:lang w:val="fr-FR"/>
        </w:rPr>
        <w:t xml:space="preserve">Le fait qu’un identifiant soit privilégié par une organisation peut être exprimé dans un format indépendant du contexte en documentant cette préférence sous la forme d’une instance de </w:t>
      </w:r>
      <w:r w:rsidRPr="1B9E7434">
        <w:rPr>
          <w:rStyle w:val="VerbatimChar"/>
          <w:lang w:val="fr-FR"/>
        </w:rPr>
        <w:t>E55_Type</w:t>
      </w:r>
      <w:r w:rsidRPr="1B9E7434">
        <w:rPr>
          <w:lang w:val="fr-FR"/>
        </w:rPr>
        <w:t xml:space="preserve"> relié à une instance de </w:t>
      </w:r>
      <w:r w:rsidRPr="1B9E7434">
        <w:rPr>
          <w:rStyle w:val="VerbatimChar"/>
          <w:lang w:val="fr-FR"/>
        </w:rPr>
        <w:t>E15_Assignation_d'identifiant</w:t>
      </w:r>
      <w:r w:rsidRPr="1B9E7434">
        <w:rPr>
          <w:lang w:val="fr-FR"/>
        </w:rPr>
        <w:t xml:space="preserve"> par le biais de la propriété </w:t>
      </w:r>
      <w:r w:rsidRPr="1B9E7434">
        <w:rPr>
          <w:rStyle w:val="VerbatimChar"/>
          <w:lang w:val="fr-FR"/>
        </w:rPr>
        <w:t>P2_a_pour_type (est_le_type_de)</w:t>
      </w:r>
      <w:r w:rsidRPr="1B9E7434">
        <w:rPr>
          <w:lang w:val="fr-FR"/>
        </w:rPr>
        <w:t>.</w:t>
      </w:r>
    </w:p>
    <w:p w14:paraId="6C25D6F5" w14:textId="77777777" w:rsidR="0084489F" w:rsidRDefault="00110FE6">
      <w:pPr>
        <w:pStyle w:val="BodyText"/>
      </w:pPr>
      <w:r>
        <w:rPr>
          <w:b/>
          <w:bCs/>
        </w:rPr>
        <w:t>Exemples</w:t>
      </w:r>
    </w:p>
    <w:p w14:paraId="02B464A7" w14:textId="0AFF4648" w:rsidR="0084489F" w:rsidRDefault="00110FE6" w:rsidP="00806324">
      <w:pPr>
        <w:numPr>
          <w:ilvl w:val="0"/>
          <w:numId w:val="182"/>
        </w:numPr>
      </w:pPr>
      <w:r w:rsidRPr="1B9E7434">
        <w:rPr>
          <w:lang w:val="fr-FR"/>
        </w:rPr>
        <w:t>La paire de Lederhosen (culotte bavaroise) donnée par Martin Dœrr (</w:t>
      </w:r>
      <w:r w:rsidRPr="1B9E7434">
        <w:rPr>
          <w:rStyle w:val="VerbatimChar"/>
          <w:lang w:val="fr-FR"/>
        </w:rPr>
        <w:t>E22_Objet_élaboré_par_l’humain</w:t>
      </w:r>
      <w:r w:rsidRPr="1B9E7434">
        <w:rPr>
          <w:lang w:val="fr-FR"/>
        </w:rPr>
        <w:t>) a pour identifiant préférentiel (</w:t>
      </w:r>
      <w:r w:rsidRPr="1B9E7434">
        <w:rPr>
          <w:rStyle w:val="VerbatimChar"/>
          <w:lang w:val="fr-FR"/>
        </w:rPr>
        <w:t>P48_a_pour_identifiant_préférentiel</w:t>
      </w:r>
      <w:r w:rsidRPr="1B9E7434">
        <w:rPr>
          <w:lang w:val="fr-FR"/>
        </w:rPr>
        <w:t>) « OXCMS:2001.1.32 » (</w:t>
      </w:r>
      <w:r w:rsidRPr="1B9E7434">
        <w:rPr>
          <w:rStyle w:val="VerbatimChar"/>
          <w:lang w:val="fr-FR"/>
        </w:rPr>
        <w:t>E42_Identifiant</w:t>
      </w:r>
      <w:r w:rsidRPr="1B9E7434">
        <w:rPr>
          <w:lang w:val="fr-FR"/>
        </w:rPr>
        <w:t>) (fictif)</w:t>
      </w:r>
    </w:p>
    <w:p w14:paraId="5D8600A8" w14:textId="77777777" w:rsidR="0084489F" w:rsidRDefault="00110FE6">
      <w:pPr>
        <w:pStyle w:val="FirstParagraph"/>
      </w:pPr>
      <w:r>
        <w:rPr>
          <w:b/>
          <w:bCs/>
        </w:rPr>
        <w:t>Logique</w:t>
      </w:r>
    </w:p>
    <w:p w14:paraId="78D40A64" w14:textId="77777777" w:rsidR="0084489F" w:rsidRDefault="00110FE6">
      <w:pPr>
        <w:pStyle w:val="BodyText"/>
      </w:pPr>
      <w:r w:rsidRPr="1B9E7434">
        <w:rPr>
          <w:lang w:val="fr-FR"/>
        </w:rPr>
        <w:t>P48(x,y) ⇒ E1(x)</w:t>
      </w:r>
    </w:p>
    <w:p w14:paraId="799F9B9B" w14:textId="77777777" w:rsidR="0084489F" w:rsidRDefault="00110FE6">
      <w:pPr>
        <w:pStyle w:val="BodyText"/>
      </w:pPr>
      <w:r w:rsidRPr="1B9E7434">
        <w:rPr>
          <w:lang w:val="fr-FR"/>
        </w:rPr>
        <w:t>P48(x,y) ⇒ E42(y)</w:t>
      </w:r>
    </w:p>
    <w:p w14:paraId="7B217E1E" w14:textId="77777777" w:rsidR="0084489F" w:rsidRDefault="00110FE6">
      <w:pPr>
        <w:pStyle w:val="BodyText"/>
      </w:pPr>
      <w:r w:rsidRPr="1B9E7434">
        <w:rPr>
          <w:lang w:val="fr-FR"/>
        </w:rPr>
        <w:t>P48(x,y) ⇒ P1(x,y)</w:t>
      </w:r>
    </w:p>
    <w:p w14:paraId="4EF04BFE" w14:textId="77777777" w:rsidR="0084489F" w:rsidRDefault="00110FE6">
      <w:pPr>
        <w:pStyle w:val="BodyText"/>
      </w:pPr>
      <w:r>
        <w:rPr>
          <w:b/>
          <w:bCs/>
        </w:rPr>
        <w:t>Propriétés</w:t>
      </w:r>
    </w:p>
    <w:p w14:paraId="73A03C4B" w14:textId="77777777" w:rsidR="0084489F" w:rsidRDefault="00110FE6">
      <w:pPr>
        <w:pStyle w:val="BlockText"/>
      </w:pPr>
      <w:r>
        <w:rPr>
          <w:b/>
          <w:bCs/>
          <w:i/>
          <w:iCs/>
        </w:rPr>
        <w:t>Note de traduction</w:t>
      </w:r>
    </w:p>
    <w:p w14:paraId="6535EE19" w14:textId="77777777" w:rsidR="0084489F" w:rsidRDefault="00110FE6">
      <w:pPr>
        <w:pStyle w:val="BlockText"/>
      </w:pPr>
      <w:r>
        <w:rPr>
          <w:b/>
          <w:bCs/>
          <w:i/>
          <w:iCs/>
        </w:rPr>
        <w:t>Références</w:t>
      </w:r>
    </w:p>
    <w:p w14:paraId="60FC21CD" w14:textId="77777777" w:rsidR="0084489F" w:rsidRDefault="0084489F">
      <w:pPr>
        <w:pStyle w:val="BlockText"/>
      </w:pPr>
    </w:p>
    <w:p w14:paraId="43A9A4D1" w14:textId="77777777" w:rsidR="0084489F" w:rsidRDefault="00110FE6">
      <w:pPr>
        <w:pStyle w:val="Heading2"/>
      </w:pPr>
      <w:bookmarkStart w:id="362" w:name="_Toc176864561"/>
      <w:bookmarkStart w:id="363" w:name="Xe1efc7a3d5923f1df4e610c254779d64a696535"/>
      <w:bookmarkEnd w:id="361"/>
      <w:r>
        <w:t>P49 a pour actant détenteur actuel ou antérieur (est l’actant détenteur actuel ou antérieur de)</w:t>
      </w:r>
      <w:bookmarkEnd w:id="362"/>
    </w:p>
    <w:p w14:paraId="5E24BC9E" w14:textId="77777777" w:rsidR="0084489F" w:rsidRDefault="00110FE6">
      <w:pPr>
        <w:pStyle w:val="FirstParagraph"/>
      </w:pPr>
      <w:r>
        <w:rPr>
          <w:b/>
          <w:bCs/>
        </w:rPr>
        <w:t>Domaine</w:t>
      </w:r>
    </w:p>
    <w:p w14:paraId="4264D94F" w14:textId="77777777" w:rsidR="0084489F" w:rsidRDefault="00110FE6">
      <w:pPr>
        <w:pStyle w:val="BodyText"/>
      </w:pPr>
      <w:r>
        <w:rPr>
          <w:rStyle w:val="VerbatimChar"/>
        </w:rPr>
        <w:t>E18_Chose_matérielle</w:t>
      </w:r>
    </w:p>
    <w:p w14:paraId="31F1725C" w14:textId="77777777" w:rsidR="0084489F" w:rsidRDefault="00110FE6">
      <w:pPr>
        <w:pStyle w:val="BodyText"/>
      </w:pPr>
      <w:r>
        <w:rPr>
          <w:b/>
          <w:bCs/>
        </w:rPr>
        <w:t>Portée</w:t>
      </w:r>
    </w:p>
    <w:p w14:paraId="16BCF1EA" w14:textId="77777777" w:rsidR="0084489F" w:rsidRDefault="00110FE6">
      <w:pPr>
        <w:pStyle w:val="BodyText"/>
      </w:pPr>
      <w:r>
        <w:rPr>
          <w:rStyle w:val="VerbatimChar"/>
        </w:rPr>
        <w:t>E39_Actant</w:t>
      </w:r>
    </w:p>
    <w:p w14:paraId="69996437" w14:textId="77777777" w:rsidR="0084489F" w:rsidRDefault="00110FE6">
      <w:pPr>
        <w:pStyle w:val="BodyText"/>
      </w:pPr>
      <w:r>
        <w:rPr>
          <w:b/>
          <w:bCs/>
        </w:rPr>
        <w:t>Sous-propriété de</w:t>
      </w:r>
    </w:p>
    <w:p w14:paraId="3CA67363" w14:textId="77777777" w:rsidR="0084489F" w:rsidRDefault="00110FE6">
      <w:pPr>
        <w:pStyle w:val="BodyText"/>
      </w:pPr>
      <w:r>
        <w:rPr>
          <w:b/>
          <w:bCs/>
        </w:rPr>
        <w:t>Super-propriété de</w:t>
      </w:r>
    </w:p>
    <w:p w14:paraId="58A57BE6"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P50_a_pour_actant_détenteur_actuel (est_actant_détenteur_actuel_de)</w:t>
      </w:r>
      <w:r w:rsidRPr="1B9E7434">
        <w:rPr>
          <w:lang w:val="fr-FR"/>
        </w:rPr>
        <w:t xml:space="preserve"> : </w:t>
      </w:r>
      <w:r w:rsidRPr="1B9E7434">
        <w:rPr>
          <w:rStyle w:val="VerbatimChar"/>
          <w:lang w:val="fr-FR"/>
        </w:rPr>
        <w:t>E39_Actant</w:t>
      </w:r>
    </w:p>
    <w:p w14:paraId="5F8F05B6" w14:textId="77777777" w:rsidR="0084489F" w:rsidRDefault="00110FE6">
      <w:pPr>
        <w:pStyle w:val="BodyText"/>
      </w:pPr>
      <w:r w:rsidRPr="1B9E7434">
        <w:rPr>
          <w:rStyle w:val="VerbatimChar"/>
          <w:lang w:val="fr-FR"/>
        </w:rPr>
        <w:t>E78_Collection</w:t>
      </w:r>
      <w:r w:rsidRPr="1B9E7434">
        <w:rPr>
          <w:lang w:val="fr-FR"/>
        </w:rPr>
        <w:t xml:space="preserve">. </w:t>
      </w:r>
      <w:r w:rsidRPr="1B9E7434">
        <w:rPr>
          <w:rStyle w:val="VerbatimChar"/>
          <w:lang w:val="fr-FR"/>
        </w:rPr>
        <w:t>P109_a_pour_responsable_actuel_ou_antérieur_de_la_collection (est_responsable_actuel_ou_antérieur_de_la_collection)</w:t>
      </w:r>
      <w:r w:rsidRPr="1B9E7434">
        <w:rPr>
          <w:lang w:val="fr-FR"/>
        </w:rPr>
        <w:t xml:space="preserve"> : </w:t>
      </w:r>
      <w:r w:rsidRPr="1B9E7434">
        <w:rPr>
          <w:rStyle w:val="VerbatimChar"/>
          <w:lang w:val="fr-FR"/>
        </w:rPr>
        <w:t>E39_Actant</w:t>
      </w:r>
    </w:p>
    <w:p w14:paraId="0CDB0B2F" w14:textId="77777777" w:rsidR="0084489F" w:rsidRDefault="00110FE6" w:rsidP="00F0771C">
      <w:pPr>
        <w:pStyle w:val="BodyText"/>
        <w:keepNext/>
      </w:pPr>
      <w:r>
        <w:rPr>
          <w:b/>
          <w:bCs/>
        </w:rPr>
        <w:lastRenderedPageBreak/>
        <w:t>Quantification</w:t>
      </w:r>
    </w:p>
    <w:p w14:paraId="4A48CB69" w14:textId="77777777" w:rsidR="0084489F" w:rsidRDefault="00110FE6" w:rsidP="00F0771C">
      <w:pPr>
        <w:pStyle w:val="BodyText"/>
        <w:keepNext/>
      </w:pPr>
      <w:r w:rsidRPr="1B9E7434">
        <w:rPr>
          <w:lang w:val="fr-FR"/>
        </w:rPr>
        <w:t>plusieurs à plusieurs (0,n:0,n)</w:t>
      </w:r>
    </w:p>
    <w:p w14:paraId="65B063F8" w14:textId="77777777" w:rsidR="0084489F" w:rsidRDefault="00110FE6">
      <w:pPr>
        <w:pStyle w:val="BodyText"/>
      </w:pPr>
      <w:r>
        <w:rPr>
          <w:b/>
          <w:bCs/>
        </w:rPr>
        <w:t>Note d’application</w:t>
      </w:r>
    </w:p>
    <w:p w14:paraId="3AF7FF5B" w14:textId="77777777" w:rsidR="0084489F" w:rsidRDefault="00110FE6">
      <w:pPr>
        <w:pStyle w:val="BodyText"/>
      </w:pPr>
      <w:r>
        <w:t xml:space="preserve">Cette propriété identifie l’instance de </w:t>
      </w:r>
      <w:r>
        <w:rPr>
          <w:rStyle w:val="VerbatimChar"/>
        </w:rPr>
        <w:t>E39_Actant</w:t>
      </w:r>
      <w:r>
        <w:t xml:space="preserve"> qui a ou a eu la garde d’une instance de </w:t>
      </w:r>
      <w:r>
        <w:rPr>
          <w:rStyle w:val="VerbatimChar"/>
        </w:rPr>
        <w:t>E18_Chose_matérielle</w:t>
      </w:r>
      <w:r>
        <w:t xml:space="preserve"> à un moment donné. Cette propriété laisse ouverte la question de l’ajout ou du retrait des parties de la chose matérielle durant les intervalles temporels où elle a été sous la garde de cet actant. Il est cependant requis qu’au moins une partie, qui peut être identifiée sans ambiguïté comme étant représentative de l’ensemble, a été sous cette garde durant la totalité de l’intervalle temporel. La manière dont une part représentative est définie doit permettre de comprendre sans ambiguïté qui est détenteur d’une part et de l’ensemble, et doit être en conformité avec les critères d’identité de l’instance de </w:t>
      </w:r>
      <w:r>
        <w:rPr>
          <w:rStyle w:val="VerbatimChar"/>
        </w:rPr>
        <w:t>E18_Chose_matérielle</w:t>
      </w:r>
      <w:r>
        <w:t xml:space="preserve"> détenue.</w:t>
      </w:r>
    </w:p>
    <w:p w14:paraId="570C0CDD" w14:textId="77777777" w:rsidR="0084489F" w:rsidRDefault="00110FE6">
      <w:pPr>
        <w:pStyle w:val="BodyText"/>
      </w:pPr>
      <w:r w:rsidRPr="1B9E7434">
        <w:rPr>
          <w:lang w:val="fr-FR"/>
        </w:rPr>
        <w:t xml:space="preserve">La distinction entre la propriété </w:t>
      </w:r>
      <w:r w:rsidRPr="1B9E7434">
        <w:rPr>
          <w:rStyle w:val="VerbatimChar"/>
          <w:lang w:val="fr-FR"/>
        </w:rPr>
        <w:t>P50_a_pour_actant_détenteur_actuel (est_actant_détenteur_actuel_de)</w:t>
      </w:r>
      <w:r w:rsidRPr="1B9E7434">
        <w:rPr>
          <w:lang w:val="fr-FR"/>
        </w:rPr>
        <w:t xml:space="preserve"> et la propriété </w:t>
      </w:r>
      <w:r w:rsidRPr="1B9E7434">
        <w:rPr>
          <w:rStyle w:val="VerbatimChar"/>
          <w:lang w:val="fr-FR"/>
        </w:rPr>
        <w:t>P49_a_pour_actant_détenteur_actuel_ou_antérieur (est_l'actant_détenteur_actuel_ou_antérieur_de)</w:t>
      </w:r>
      <w:r w:rsidRPr="1B9E7434">
        <w:rPr>
          <w:lang w:val="fr-FR"/>
        </w:rPr>
        <w:t xml:space="preserve"> est que cette dernière ne précise pas si l'actant détenant la chose matérielle est antérieur ou actuel.</w:t>
      </w:r>
    </w:p>
    <w:p w14:paraId="04566D14" w14:textId="77777777" w:rsidR="0084489F" w:rsidRDefault="00110FE6">
      <w:pPr>
        <w:pStyle w:val="BodyText"/>
      </w:pPr>
      <w:r w:rsidRPr="1B9E7434">
        <w:rPr>
          <w:lang w:val="fr-FR"/>
        </w:rPr>
        <w:t xml:space="preserve">Cette propriété est un raccourci du chemin sémantique suivant : </w:t>
      </w:r>
      <w:r w:rsidRPr="1B9E7434">
        <w:rPr>
          <w:rStyle w:val="VerbatimChar"/>
          <w:lang w:val="fr-FR"/>
        </w:rPr>
        <w:t>E18_Chose_matérielle</w:t>
      </w:r>
      <w:r w:rsidRPr="1B9E7434">
        <w:rPr>
          <w:lang w:val="fr-FR"/>
        </w:rPr>
        <w:t xml:space="preserve">, </w:t>
      </w:r>
      <w:r w:rsidRPr="1B9E7434">
        <w:rPr>
          <w:rStyle w:val="VerbatimChar"/>
          <w:lang w:val="fr-FR"/>
        </w:rPr>
        <w:t>P30i_a_été_l’objet_d’un_transfert_de_garde_par</w:t>
      </w:r>
      <w:r w:rsidRPr="1B9E7434">
        <w:rPr>
          <w:lang w:val="fr-FR"/>
        </w:rPr>
        <w:t xml:space="preserve">, </w:t>
      </w:r>
      <w:r w:rsidRPr="1B9E7434">
        <w:rPr>
          <w:rStyle w:val="VerbatimChar"/>
          <w:lang w:val="fr-FR"/>
        </w:rPr>
        <w:t>E10_Transfert_de_la_garde</w:t>
      </w:r>
      <w:r w:rsidRPr="1B9E7434">
        <w:rPr>
          <w:lang w:val="fr-FR"/>
        </w:rPr>
        <w:t xml:space="preserve">, </w:t>
      </w:r>
      <w:r w:rsidRPr="1B9E7434">
        <w:rPr>
          <w:rStyle w:val="VerbatimChar"/>
          <w:lang w:val="fr-FR"/>
        </w:rPr>
        <w:t>P28_a_mis_fin_à_la_garde_par (a_cédé_la_garde_par)</w:t>
      </w:r>
      <w:r w:rsidRPr="1B9E7434">
        <w:rPr>
          <w:lang w:val="fr-FR"/>
        </w:rPr>
        <w:t xml:space="preserve"> (ou </w:t>
      </w:r>
      <w:r w:rsidRPr="1B9E7434">
        <w:rPr>
          <w:rStyle w:val="VerbatimChar"/>
          <w:lang w:val="fr-FR"/>
        </w:rPr>
        <w:t>P29_a_confié_la_garde_par (a_reçu_la_garde_par)</w:t>
      </w:r>
      <w:r w:rsidRPr="1B9E7434">
        <w:rPr>
          <w:lang w:val="fr-FR"/>
        </w:rPr>
        <w:t xml:space="preserve">), </w:t>
      </w:r>
      <w:r w:rsidRPr="1B9E7434">
        <w:rPr>
          <w:rStyle w:val="VerbatimChar"/>
          <w:lang w:val="fr-FR"/>
        </w:rPr>
        <w:t>E39_Actant</w:t>
      </w:r>
      <w:r w:rsidRPr="1B9E7434">
        <w:rPr>
          <w:lang w:val="fr-FR"/>
        </w:rPr>
        <w:t>.</w:t>
      </w:r>
    </w:p>
    <w:p w14:paraId="02A3563C" w14:textId="77777777" w:rsidR="0084489F" w:rsidRDefault="00110FE6">
      <w:pPr>
        <w:pStyle w:val="BodyText"/>
      </w:pPr>
      <w:r>
        <w:rPr>
          <w:b/>
          <w:bCs/>
        </w:rPr>
        <w:t>Exemples</w:t>
      </w:r>
    </w:p>
    <w:p w14:paraId="4F2FF797" w14:textId="64200A53" w:rsidR="0084489F" w:rsidRDefault="00110FE6" w:rsidP="00806324">
      <w:pPr>
        <w:numPr>
          <w:ilvl w:val="0"/>
          <w:numId w:val="183"/>
        </w:numPr>
      </w:pPr>
      <w:r w:rsidRPr="1B9E7434">
        <w:rPr>
          <w:lang w:val="fr-FR"/>
        </w:rPr>
        <w:t>Les œuvres peintes de la collection Iveagh Bequest (</w:t>
      </w:r>
      <w:r w:rsidRPr="1B9E7434">
        <w:rPr>
          <w:rStyle w:val="VerbatimChar"/>
          <w:lang w:val="fr-FR"/>
        </w:rPr>
        <w:t>E78_Collection</w:t>
      </w:r>
      <w:r w:rsidRPr="1B9E7434">
        <w:rPr>
          <w:lang w:val="fr-FR"/>
        </w:rPr>
        <w:t>) ont pour actant détenteur actuel ou antérieur (</w:t>
      </w:r>
      <w:r w:rsidRPr="1B9E7434">
        <w:rPr>
          <w:rStyle w:val="VerbatimChar"/>
          <w:lang w:val="fr-FR"/>
        </w:rPr>
        <w:t>P49_a_pour_actant_détenteur_actuel_ou_antérieur</w:t>
      </w:r>
      <w:r w:rsidRPr="1B9E7434">
        <w:rPr>
          <w:lang w:val="fr-FR"/>
        </w:rPr>
        <w:t>) Secure Deliveries Inc. (</w:t>
      </w:r>
      <w:r w:rsidRPr="1B9E7434">
        <w:rPr>
          <w:rStyle w:val="VerbatimChar"/>
          <w:lang w:val="fr-FR"/>
        </w:rPr>
        <w:t>E74_Groupe</w:t>
      </w:r>
      <w:r w:rsidRPr="1B9E7434">
        <w:rPr>
          <w:lang w:val="fr-FR"/>
        </w:rPr>
        <w:t>)</w:t>
      </w:r>
    </w:p>
    <w:p w14:paraId="7E3A33BF" w14:textId="77777777" w:rsidR="0084489F" w:rsidRDefault="00110FE6">
      <w:pPr>
        <w:pStyle w:val="FirstParagraph"/>
      </w:pPr>
      <w:r>
        <w:rPr>
          <w:b/>
          <w:bCs/>
        </w:rPr>
        <w:t>Logique</w:t>
      </w:r>
    </w:p>
    <w:p w14:paraId="19E019B4" w14:textId="77777777" w:rsidR="0084489F" w:rsidRDefault="00110FE6">
      <w:pPr>
        <w:pStyle w:val="BodyText"/>
      </w:pPr>
      <w:r w:rsidRPr="1B9E7434">
        <w:rPr>
          <w:lang w:val="fr-FR"/>
        </w:rPr>
        <w:t>P49(x,y) ⇒ E18(x)</w:t>
      </w:r>
    </w:p>
    <w:p w14:paraId="4546D6D9" w14:textId="77777777" w:rsidR="0084489F" w:rsidRDefault="00110FE6">
      <w:pPr>
        <w:pStyle w:val="BodyText"/>
      </w:pPr>
      <w:r w:rsidRPr="1B9E7434">
        <w:rPr>
          <w:lang w:val="fr-FR"/>
        </w:rPr>
        <w:t>P49(x,y) ⇒ E39(y)</w:t>
      </w:r>
    </w:p>
    <w:p w14:paraId="49AD0F1C" w14:textId="77777777" w:rsidR="0084489F" w:rsidRDefault="00110FE6">
      <w:pPr>
        <w:pStyle w:val="BodyText"/>
      </w:pPr>
      <w:r w:rsidRPr="1B9E7434">
        <w:rPr>
          <w:lang w:val="fr-FR"/>
        </w:rPr>
        <w:t>P49(x,y) ⇐ (∃z) [E10(z) ˄ P30i(x,z) ˄ [P28(z,y) ˅ P29(z,y) ]]</w:t>
      </w:r>
    </w:p>
    <w:p w14:paraId="0F297B91" w14:textId="77777777" w:rsidR="0084489F" w:rsidRDefault="00110FE6">
      <w:pPr>
        <w:pStyle w:val="BodyText"/>
      </w:pPr>
      <w:r>
        <w:rPr>
          <w:b/>
          <w:bCs/>
        </w:rPr>
        <w:t>Propriétés</w:t>
      </w:r>
    </w:p>
    <w:p w14:paraId="45762DB6" w14:textId="77777777" w:rsidR="0084489F" w:rsidRDefault="00110FE6">
      <w:pPr>
        <w:pStyle w:val="BlockText"/>
      </w:pPr>
      <w:r>
        <w:rPr>
          <w:b/>
          <w:bCs/>
          <w:i/>
          <w:iCs/>
        </w:rPr>
        <w:t>Note de traduction</w:t>
      </w:r>
    </w:p>
    <w:p w14:paraId="61C47642" w14:textId="77777777" w:rsidR="0084489F" w:rsidRDefault="00110FE6">
      <w:pPr>
        <w:pStyle w:val="BlockText"/>
      </w:pPr>
      <w:r>
        <w:rPr>
          <w:b/>
          <w:bCs/>
          <w:i/>
          <w:iCs/>
        </w:rPr>
        <w:t>Références</w:t>
      </w:r>
    </w:p>
    <w:p w14:paraId="48F9A555" w14:textId="77777777" w:rsidR="0084489F" w:rsidRDefault="0084489F">
      <w:pPr>
        <w:pStyle w:val="BlockText"/>
      </w:pPr>
    </w:p>
    <w:p w14:paraId="2C48822D" w14:textId="77777777" w:rsidR="0084489F" w:rsidRDefault="00110FE6">
      <w:pPr>
        <w:pStyle w:val="Heading2"/>
      </w:pPr>
      <w:bookmarkStart w:id="364" w:name="_Toc176864562"/>
      <w:bookmarkStart w:id="365" w:name="Xac74a405b92c96cc3fb474b41f8e3a3307b5731"/>
      <w:bookmarkEnd w:id="363"/>
      <w:r>
        <w:t>P50 a pour actant détenteur actuel (est l’actant détenteur actuel)</w:t>
      </w:r>
      <w:bookmarkEnd w:id="364"/>
    </w:p>
    <w:p w14:paraId="74B6B915" w14:textId="77777777" w:rsidR="0084489F" w:rsidRDefault="00110FE6">
      <w:pPr>
        <w:pStyle w:val="FirstParagraph"/>
      </w:pPr>
      <w:r>
        <w:rPr>
          <w:b/>
          <w:bCs/>
        </w:rPr>
        <w:t>Domaine</w:t>
      </w:r>
    </w:p>
    <w:p w14:paraId="20E75870" w14:textId="77777777" w:rsidR="0084489F" w:rsidRDefault="00110FE6">
      <w:pPr>
        <w:pStyle w:val="BodyText"/>
      </w:pPr>
      <w:r>
        <w:rPr>
          <w:rStyle w:val="VerbatimChar"/>
        </w:rPr>
        <w:t>E18_Chose_matérielle</w:t>
      </w:r>
    </w:p>
    <w:p w14:paraId="66387343" w14:textId="77777777" w:rsidR="0084489F" w:rsidRDefault="00110FE6">
      <w:pPr>
        <w:pStyle w:val="BodyText"/>
      </w:pPr>
      <w:r>
        <w:rPr>
          <w:b/>
          <w:bCs/>
        </w:rPr>
        <w:t>Portée</w:t>
      </w:r>
    </w:p>
    <w:p w14:paraId="1EAAC27C" w14:textId="77777777" w:rsidR="0084489F" w:rsidRDefault="00110FE6">
      <w:pPr>
        <w:pStyle w:val="BodyText"/>
      </w:pPr>
      <w:r>
        <w:rPr>
          <w:rStyle w:val="VerbatimChar"/>
        </w:rPr>
        <w:t>E39_Actant</w:t>
      </w:r>
    </w:p>
    <w:p w14:paraId="17F3CD2A" w14:textId="77777777" w:rsidR="0084489F" w:rsidRDefault="00110FE6" w:rsidP="00F0771C">
      <w:pPr>
        <w:pStyle w:val="BodyText"/>
        <w:keepNext/>
      </w:pPr>
      <w:r>
        <w:rPr>
          <w:b/>
          <w:bCs/>
        </w:rPr>
        <w:lastRenderedPageBreak/>
        <w:t>Sous-propriété de</w:t>
      </w:r>
    </w:p>
    <w:p w14:paraId="7F128DFC" w14:textId="77777777" w:rsidR="0084489F" w:rsidRDefault="00110FE6" w:rsidP="00F0771C">
      <w:pPr>
        <w:pStyle w:val="BodyText"/>
        <w:keepNext/>
      </w:pPr>
      <w:r w:rsidRPr="1B9E7434">
        <w:rPr>
          <w:rStyle w:val="VerbatimChar"/>
          <w:lang w:val="fr-FR"/>
        </w:rPr>
        <w:t>E18_Chose_matérielle</w:t>
      </w:r>
      <w:r w:rsidRPr="1B9E7434">
        <w:rPr>
          <w:lang w:val="fr-FR"/>
        </w:rPr>
        <w:t xml:space="preserve">. </w:t>
      </w:r>
      <w:r w:rsidRPr="1B9E7434">
        <w:rPr>
          <w:rStyle w:val="VerbatimChar"/>
          <w:lang w:val="fr-FR"/>
        </w:rPr>
        <w:t>P49_a_pour_actant_détenteur_actuel_ou_antérieur (est_l’actant_détenteur_actuel_ou_antérieur_de)</w:t>
      </w:r>
      <w:r w:rsidRPr="1B9E7434">
        <w:rPr>
          <w:lang w:val="fr-FR"/>
        </w:rPr>
        <w:t xml:space="preserve"> : </w:t>
      </w:r>
      <w:r w:rsidRPr="1B9E7434">
        <w:rPr>
          <w:rStyle w:val="VerbatimChar"/>
          <w:lang w:val="fr-FR"/>
        </w:rPr>
        <w:t>E39_Actant</w:t>
      </w:r>
    </w:p>
    <w:p w14:paraId="05DDF290" w14:textId="77777777" w:rsidR="0084489F" w:rsidRDefault="00110FE6">
      <w:pPr>
        <w:pStyle w:val="BodyText"/>
      </w:pPr>
      <w:r>
        <w:rPr>
          <w:b/>
          <w:bCs/>
        </w:rPr>
        <w:t>Super-propriété de</w:t>
      </w:r>
    </w:p>
    <w:p w14:paraId="2EAF3516" w14:textId="77777777" w:rsidR="0084489F" w:rsidRDefault="00110FE6">
      <w:pPr>
        <w:pStyle w:val="BodyText"/>
      </w:pPr>
      <w:r>
        <w:rPr>
          <w:b/>
          <w:bCs/>
        </w:rPr>
        <w:t>Quantification</w:t>
      </w:r>
    </w:p>
    <w:p w14:paraId="12945E5E" w14:textId="77777777" w:rsidR="0084489F" w:rsidRDefault="00110FE6">
      <w:pPr>
        <w:pStyle w:val="BodyText"/>
      </w:pPr>
      <w:r w:rsidRPr="1B9E7434">
        <w:rPr>
          <w:lang w:val="fr-FR"/>
        </w:rPr>
        <w:t>plusieurs à plusieurs (0,n:0,n)</w:t>
      </w:r>
    </w:p>
    <w:p w14:paraId="60F4F9AA" w14:textId="77777777" w:rsidR="0084489F" w:rsidRDefault="00110FE6">
      <w:pPr>
        <w:pStyle w:val="BodyText"/>
      </w:pPr>
      <w:r>
        <w:rPr>
          <w:b/>
          <w:bCs/>
        </w:rPr>
        <w:t>Note d’application</w:t>
      </w:r>
    </w:p>
    <w:p w14:paraId="311ACD78" w14:textId="77777777" w:rsidR="0084489F" w:rsidRDefault="00110FE6">
      <w:pPr>
        <w:pStyle w:val="BodyText"/>
      </w:pPr>
      <w:r>
        <w:t xml:space="preserve">Cette propriété identifie une instance de </w:t>
      </w:r>
      <w:r>
        <w:rPr>
          <w:rStyle w:val="VerbatimChar"/>
        </w:rPr>
        <w:t>E39_Actant</w:t>
      </w:r>
      <w:r>
        <w:t xml:space="preserve"> ayant eu la garde d’une instance de </w:t>
      </w:r>
      <w:r>
        <w:rPr>
          <w:rStyle w:val="VerbatimChar"/>
        </w:rPr>
        <w:t>E18_Chose_matérielle</w:t>
      </w:r>
      <w:r>
        <w:t xml:space="preserve"> au moment où l'information dans l'enregistrement ou la base de données contenant l'énoncé décrit par cette propriété était considérée valide.</w:t>
      </w:r>
    </w:p>
    <w:p w14:paraId="6C493ED8" w14:textId="77777777" w:rsidR="0084489F" w:rsidRDefault="00110FE6">
      <w:pPr>
        <w:pStyle w:val="BodyText"/>
      </w:pPr>
      <w:r>
        <w:t xml:space="preserve">Cette propriété est un raccourci du chemin sémantique suivant uniquement lorsque la garde n'a pas ultérieurement été cédée par l'actant la recevant : </w:t>
      </w:r>
      <w:r>
        <w:rPr>
          <w:rStyle w:val="VerbatimChar"/>
        </w:rPr>
        <w:t>E18_Chose_matérielle</w:t>
      </w:r>
      <w:r>
        <w:t xml:space="preserve">, </w:t>
      </w:r>
      <w:r>
        <w:rPr>
          <w:rStyle w:val="VerbatimChar"/>
        </w:rPr>
        <w:t>P30i_a_été_l’objet_d’un_transfert_de_garde_par</w:t>
      </w:r>
      <w:r>
        <w:t xml:space="preserve">, </w:t>
      </w:r>
      <w:r>
        <w:rPr>
          <w:rStyle w:val="VerbatimChar"/>
        </w:rPr>
        <w:t>E10_Transfert_de_la_garde</w:t>
      </w:r>
      <w:r>
        <w:t xml:space="preserve">, </w:t>
      </w:r>
      <w:r>
        <w:rPr>
          <w:rStyle w:val="VerbatimChar"/>
        </w:rPr>
        <w:t>P29_a_confié_la_garde_par</w:t>
      </w:r>
      <w:r>
        <w:t xml:space="preserve">, </w:t>
      </w:r>
      <w:r>
        <w:rPr>
          <w:rStyle w:val="VerbatimChar"/>
        </w:rPr>
        <w:t>E39_Actant</w:t>
      </w:r>
      <w:r>
        <w:t>.</w:t>
      </w:r>
    </w:p>
    <w:p w14:paraId="50FCE4E5" w14:textId="77777777" w:rsidR="0084489F" w:rsidRDefault="00110FE6">
      <w:pPr>
        <w:pStyle w:val="BodyText"/>
      </w:pPr>
      <w:r>
        <w:rPr>
          <w:b/>
          <w:bCs/>
        </w:rPr>
        <w:t>Exemples</w:t>
      </w:r>
    </w:p>
    <w:p w14:paraId="10E60BEC" w14:textId="44D5D690" w:rsidR="0084489F" w:rsidRDefault="00110FE6" w:rsidP="00806324">
      <w:pPr>
        <w:numPr>
          <w:ilvl w:val="0"/>
          <w:numId w:val="184"/>
        </w:numPr>
      </w:pPr>
      <w:r w:rsidRPr="1B9E7434">
        <w:rPr>
          <w:lang w:val="fr-FR"/>
        </w:rPr>
        <w:t>Les œuvres peintes de la collection Iveagh Bequest (</w:t>
      </w:r>
      <w:r w:rsidRPr="1B9E7434">
        <w:rPr>
          <w:rStyle w:val="VerbatimChar"/>
          <w:lang w:val="fr-FR"/>
        </w:rPr>
        <w:t>E78_Collection</w:t>
      </w:r>
      <w:r w:rsidRPr="1B9E7434">
        <w:rPr>
          <w:lang w:val="fr-FR"/>
        </w:rPr>
        <w:t>) ont pour actant détenteur actuel (</w:t>
      </w:r>
      <w:r w:rsidRPr="1B9E7434">
        <w:rPr>
          <w:rStyle w:val="VerbatimChar"/>
          <w:lang w:val="fr-FR"/>
        </w:rPr>
        <w:t>P50_a_pour_actant_détenteur_actuel</w:t>
      </w:r>
      <w:r w:rsidRPr="1B9E7434">
        <w:rPr>
          <w:lang w:val="fr-FR"/>
        </w:rPr>
        <w:t>) la National Gallery (</w:t>
      </w:r>
      <w:r w:rsidRPr="1B9E7434">
        <w:rPr>
          <w:rStyle w:val="VerbatimChar"/>
          <w:lang w:val="fr-FR"/>
        </w:rPr>
        <w:t>E74_Groupe</w:t>
      </w:r>
      <w:r w:rsidRPr="1B9E7434">
        <w:rPr>
          <w:lang w:val="fr-FR"/>
        </w:rPr>
        <w:t>) (Iveagh Bequest, 1975)</w:t>
      </w:r>
    </w:p>
    <w:p w14:paraId="64641155" w14:textId="77777777" w:rsidR="0084489F" w:rsidRDefault="00110FE6">
      <w:pPr>
        <w:pStyle w:val="FirstParagraph"/>
      </w:pPr>
      <w:r>
        <w:rPr>
          <w:b/>
          <w:bCs/>
        </w:rPr>
        <w:t>Logique</w:t>
      </w:r>
    </w:p>
    <w:p w14:paraId="6DF9D759" w14:textId="77777777" w:rsidR="0084489F" w:rsidRDefault="00110FE6">
      <w:pPr>
        <w:pStyle w:val="BodyText"/>
      </w:pPr>
      <w:r w:rsidRPr="1B9E7434">
        <w:rPr>
          <w:lang w:val="fr-FR"/>
        </w:rPr>
        <w:t>P50(x,y) ⇒ E18(x)</w:t>
      </w:r>
    </w:p>
    <w:p w14:paraId="24C759A2" w14:textId="77777777" w:rsidR="0084489F" w:rsidRDefault="00110FE6">
      <w:pPr>
        <w:pStyle w:val="BodyText"/>
      </w:pPr>
      <w:r w:rsidRPr="1B9E7434">
        <w:rPr>
          <w:lang w:val="fr-FR"/>
        </w:rPr>
        <w:t>P50(x,y) ⇒ E39(y)</w:t>
      </w:r>
    </w:p>
    <w:p w14:paraId="0EC66FB3" w14:textId="77777777" w:rsidR="0084489F" w:rsidRDefault="00110FE6">
      <w:pPr>
        <w:pStyle w:val="BodyText"/>
      </w:pPr>
      <w:r w:rsidRPr="1B9E7434">
        <w:rPr>
          <w:lang w:val="fr-FR"/>
        </w:rPr>
        <w:t>P50(x,y) ⇒ P49(x,y)</w:t>
      </w:r>
    </w:p>
    <w:p w14:paraId="6DB7E351" w14:textId="77777777" w:rsidR="0084489F" w:rsidRDefault="00110FE6">
      <w:pPr>
        <w:pStyle w:val="BodyText"/>
      </w:pPr>
      <w:r w:rsidRPr="1B9E7434">
        <w:rPr>
          <w:lang w:val="fr-FR"/>
        </w:rPr>
        <w:t>P50(x,y) ⇐ (∃z) [[E10(z) ˄ P30i(x,z) ˄ P29(z,y)]</w:t>
      </w:r>
    </w:p>
    <w:p w14:paraId="42988A98" w14:textId="77777777" w:rsidR="0084489F" w:rsidRDefault="00110FE6">
      <w:pPr>
        <w:pStyle w:val="BodyText"/>
      </w:pPr>
      <w:r w:rsidRPr="1B9E7434">
        <w:rPr>
          <w:lang w:val="fr-FR"/>
        </w:rPr>
        <w:t>˄ ¬ (∃w) [E10(w) ˄ P30i(x,w) ˄ P28(w,y)˄ P182(z,w)]]</w:t>
      </w:r>
    </w:p>
    <w:p w14:paraId="7109BFE8" w14:textId="77777777" w:rsidR="0084489F" w:rsidRDefault="00110FE6">
      <w:pPr>
        <w:pStyle w:val="BodyText"/>
      </w:pPr>
      <w:r>
        <w:rPr>
          <w:b/>
          <w:bCs/>
        </w:rPr>
        <w:t>Propriétés</w:t>
      </w:r>
    </w:p>
    <w:p w14:paraId="1E142D8E" w14:textId="77777777" w:rsidR="0084489F" w:rsidRDefault="00110FE6">
      <w:pPr>
        <w:pStyle w:val="BlockText"/>
      </w:pPr>
      <w:r>
        <w:rPr>
          <w:b/>
          <w:bCs/>
          <w:i/>
          <w:iCs/>
        </w:rPr>
        <w:t>Note de traduction</w:t>
      </w:r>
    </w:p>
    <w:p w14:paraId="0724673F" w14:textId="77777777" w:rsidR="0084489F" w:rsidRDefault="00110FE6">
      <w:pPr>
        <w:pStyle w:val="BlockText"/>
      </w:pPr>
      <w:r>
        <w:rPr>
          <w:b/>
          <w:bCs/>
          <w:i/>
          <w:iCs/>
        </w:rPr>
        <w:t>Références</w:t>
      </w:r>
    </w:p>
    <w:p w14:paraId="1A999A61" w14:textId="77777777" w:rsidR="0084489F" w:rsidRDefault="0084489F">
      <w:pPr>
        <w:pStyle w:val="BlockText"/>
      </w:pPr>
    </w:p>
    <w:p w14:paraId="11C44173" w14:textId="77777777" w:rsidR="0084489F" w:rsidRDefault="00110FE6">
      <w:pPr>
        <w:pStyle w:val="Heading2"/>
      </w:pPr>
      <w:bookmarkStart w:id="366" w:name="_Toc176864563"/>
      <w:bookmarkStart w:id="367" w:name="Xa136e64a13ec73d4bf29232b0e656483e4ed856"/>
      <w:bookmarkEnd w:id="365"/>
      <w:r>
        <w:t>P51 a pour propriétaire actuel ou antérieur (est l’actant propriétaire actuel ou antérieur de)</w:t>
      </w:r>
      <w:bookmarkEnd w:id="366"/>
    </w:p>
    <w:p w14:paraId="310F93D2" w14:textId="77777777" w:rsidR="0084489F" w:rsidRDefault="00110FE6">
      <w:pPr>
        <w:pStyle w:val="FirstParagraph"/>
      </w:pPr>
      <w:r>
        <w:rPr>
          <w:b/>
          <w:bCs/>
        </w:rPr>
        <w:t>Domaine</w:t>
      </w:r>
    </w:p>
    <w:p w14:paraId="3DA6BE39" w14:textId="77777777" w:rsidR="0084489F" w:rsidRDefault="00110FE6">
      <w:pPr>
        <w:pStyle w:val="BodyText"/>
      </w:pPr>
      <w:r>
        <w:rPr>
          <w:rStyle w:val="VerbatimChar"/>
        </w:rPr>
        <w:t>E18_Chose_matérielle</w:t>
      </w:r>
    </w:p>
    <w:p w14:paraId="40DC6FDE" w14:textId="77777777" w:rsidR="0084489F" w:rsidRDefault="00110FE6">
      <w:pPr>
        <w:pStyle w:val="BodyText"/>
      </w:pPr>
      <w:r>
        <w:rPr>
          <w:b/>
          <w:bCs/>
        </w:rPr>
        <w:t>Portée</w:t>
      </w:r>
    </w:p>
    <w:p w14:paraId="63BC6559" w14:textId="77777777" w:rsidR="0084489F" w:rsidRDefault="00110FE6">
      <w:pPr>
        <w:pStyle w:val="BodyText"/>
      </w:pPr>
      <w:r>
        <w:rPr>
          <w:rStyle w:val="VerbatimChar"/>
        </w:rPr>
        <w:t>E39_Actant</w:t>
      </w:r>
    </w:p>
    <w:p w14:paraId="4D88EF08" w14:textId="77777777" w:rsidR="0084489F" w:rsidRDefault="00110FE6">
      <w:pPr>
        <w:pStyle w:val="BodyText"/>
      </w:pPr>
      <w:r>
        <w:rPr>
          <w:b/>
          <w:bCs/>
        </w:rPr>
        <w:t>Sous-propriété de</w:t>
      </w:r>
    </w:p>
    <w:p w14:paraId="1946EEBC" w14:textId="77777777" w:rsidR="0084489F" w:rsidRDefault="00110FE6">
      <w:pPr>
        <w:pStyle w:val="BodyText"/>
      </w:pPr>
      <w:r>
        <w:rPr>
          <w:b/>
          <w:bCs/>
        </w:rPr>
        <w:lastRenderedPageBreak/>
        <w:t>Super-propriété de</w:t>
      </w:r>
    </w:p>
    <w:p w14:paraId="51415A31"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P52_a_pour_propriétaire_actuel (est_l’actant_propriétaire_actuel_de)</w:t>
      </w:r>
      <w:r w:rsidRPr="1B9E7434">
        <w:rPr>
          <w:lang w:val="fr-FR"/>
        </w:rPr>
        <w:t xml:space="preserve"> : </w:t>
      </w:r>
      <w:r w:rsidRPr="1B9E7434">
        <w:rPr>
          <w:rStyle w:val="VerbatimChar"/>
          <w:lang w:val="fr-FR"/>
        </w:rPr>
        <w:t>E39_Actant</w:t>
      </w:r>
    </w:p>
    <w:p w14:paraId="532DF6F8" w14:textId="77777777" w:rsidR="0084489F" w:rsidRDefault="00110FE6">
      <w:pPr>
        <w:pStyle w:val="BodyText"/>
      </w:pPr>
      <w:r>
        <w:rPr>
          <w:b/>
          <w:bCs/>
        </w:rPr>
        <w:t>Quantification</w:t>
      </w:r>
    </w:p>
    <w:p w14:paraId="25687AE3" w14:textId="77777777" w:rsidR="0084489F" w:rsidRDefault="00110FE6">
      <w:pPr>
        <w:pStyle w:val="BodyText"/>
      </w:pPr>
      <w:r w:rsidRPr="1B9E7434">
        <w:rPr>
          <w:lang w:val="fr-FR"/>
        </w:rPr>
        <w:t>plusieurs à plusieurs (0,n:0,n)</w:t>
      </w:r>
    </w:p>
    <w:p w14:paraId="343F146E" w14:textId="77777777" w:rsidR="0084489F" w:rsidRDefault="00110FE6">
      <w:pPr>
        <w:pStyle w:val="BodyText"/>
      </w:pPr>
      <w:r>
        <w:rPr>
          <w:b/>
          <w:bCs/>
        </w:rPr>
        <w:t>Note d’application</w:t>
      </w:r>
    </w:p>
    <w:p w14:paraId="72FFA21D" w14:textId="77777777" w:rsidR="0084489F" w:rsidRDefault="00110FE6">
      <w:pPr>
        <w:pStyle w:val="BodyText"/>
      </w:pPr>
      <w:r>
        <w:t xml:space="preserve">Cette propriété identifie l’instance de </w:t>
      </w:r>
      <w:r>
        <w:rPr>
          <w:rStyle w:val="VerbatimChar"/>
        </w:rPr>
        <w:t>E39_Actant</w:t>
      </w:r>
      <w:r>
        <w:t xml:space="preserve"> qui est ou qui a été le propriétaire légal (c.-à-d. le détenteur du titre de propriété) d’une instance de </w:t>
      </w:r>
      <w:r>
        <w:rPr>
          <w:rStyle w:val="VerbatimChar"/>
        </w:rPr>
        <w:t>E18_Chose_matérielle</w:t>
      </w:r>
      <w:r>
        <w:t xml:space="preserve"> à un moment donné.</w:t>
      </w:r>
    </w:p>
    <w:p w14:paraId="53FB30CA" w14:textId="77777777" w:rsidR="0084489F" w:rsidRDefault="00110FE6">
      <w:pPr>
        <w:pStyle w:val="BodyText"/>
      </w:pPr>
      <w:r w:rsidRPr="1B9E7434">
        <w:rPr>
          <w:lang w:val="fr-FR"/>
        </w:rPr>
        <w:t xml:space="preserve">La distinction avec </w:t>
      </w:r>
      <w:r w:rsidRPr="1B9E7434">
        <w:rPr>
          <w:rStyle w:val="VerbatimChar"/>
          <w:lang w:val="fr-FR"/>
        </w:rPr>
        <w:t>P52_a_pour_propriétaire_actuel (est_l’actant_propriétaire_actuel_de)</w:t>
      </w:r>
      <w:r w:rsidRPr="1B9E7434">
        <w:rPr>
          <w:lang w:val="fr-FR"/>
        </w:rPr>
        <w:t xml:space="preserve"> est le fait que </w:t>
      </w:r>
      <w:r w:rsidRPr="1B9E7434">
        <w:rPr>
          <w:rStyle w:val="VerbatimChar"/>
          <w:lang w:val="fr-FR"/>
        </w:rPr>
        <w:t>P51_a_pour_propriétaire_actuel_ou_antérieur (est_l’actant_propriétaire_actuel_ou_antérieur_de)</w:t>
      </w:r>
      <w:r w:rsidRPr="1B9E7434">
        <w:rPr>
          <w:lang w:val="fr-FR"/>
        </w:rPr>
        <w:t xml:space="preserve"> ne précise pas si le ou les propriétaires indiqués sont actuels.</w:t>
      </w:r>
    </w:p>
    <w:p w14:paraId="668B91C4" w14:textId="77777777" w:rsidR="0084489F" w:rsidRDefault="00110FE6">
      <w:pPr>
        <w:pStyle w:val="BodyText"/>
      </w:pPr>
      <w:r>
        <w:t>Cette propriété est un raccourci du chemin sémantique suivant :</w:t>
      </w:r>
    </w:p>
    <w:p w14:paraId="13640AFC" w14:textId="77777777" w:rsidR="0084489F" w:rsidRDefault="00110FE6">
      <w:pPr>
        <w:pStyle w:val="BodyText"/>
      </w:pPr>
      <w:r>
        <w:rPr>
          <w:rStyle w:val="VerbatimChar"/>
        </w:rPr>
        <w:t>E18_Chose_matérielle</w:t>
      </w:r>
      <w:r>
        <w:t xml:space="preserve">, </w:t>
      </w:r>
      <w:r>
        <w:rPr>
          <w:rStyle w:val="VerbatimChar"/>
        </w:rPr>
        <w:t>P24i__changé_de_propriétaire_par</w:t>
      </w:r>
      <w:r>
        <w:t xml:space="preserve">, </w:t>
      </w:r>
      <w:r>
        <w:rPr>
          <w:rStyle w:val="VerbatimChar"/>
        </w:rPr>
        <w:t>E8_Acquisition</w:t>
      </w:r>
      <w:r>
        <w:t xml:space="preserve">, </w:t>
      </w:r>
      <w:r>
        <w:rPr>
          <w:rStyle w:val="VerbatimChar"/>
        </w:rPr>
        <w:t>P23_a_transféré_le_titre_de_propriété_de</w:t>
      </w:r>
      <w:r>
        <w:t xml:space="preserve"> (ou </w:t>
      </w:r>
      <w:r>
        <w:rPr>
          <w:rStyle w:val="VerbatimChar"/>
        </w:rPr>
        <w:t>P22_a_transféré_le_titre_de_propriété_à</w:t>
      </w:r>
      <w:r>
        <w:t xml:space="preserve">), </w:t>
      </w:r>
      <w:r>
        <w:rPr>
          <w:rStyle w:val="VerbatimChar"/>
        </w:rPr>
        <w:t>E39_Actant</w:t>
      </w:r>
      <w:r>
        <w:t>.</w:t>
      </w:r>
    </w:p>
    <w:p w14:paraId="000625EA" w14:textId="77777777" w:rsidR="0084489F" w:rsidRDefault="00110FE6">
      <w:pPr>
        <w:pStyle w:val="BodyText"/>
      </w:pPr>
      <w:r>
        <w:rPr>
          <w:b/>
          <w:bCs/>
        </w:rPr>
        <w:t>Exemples</w:t>
      </w:r>
    </w:p>
    <w:p w14:paraId="06E9369C" w14:textId="7F5063B3" w:rsidR="0084489F" w:rsidRDefault="00110FE6" w:rsidP="00806324">
      <w:pPr>
        <w:numPr>
          <w:ilvl w:val="0"/>
          <w:numId w:val="185"/>
        </w:numPr>
      </w:pPr>
      <w:r w:rsidRPr="1B9E7434">
        <w:rPr>
          <w:lang w:val="fr-FR"/>
        </w:rPr>
        <w:t>Les œuvres peintes de la collection Iveagh Bequest (</w:t>
      </w:r>
      <w:r w:rsidRPr="1B9E7434">
        <w:rPr>
          <w:rStyle w:val="VerbatimChar"/>
          <w:lang w:val="fr-FR"/>
        </w:rPr>
        <w:t>E78_Collection</w:t>
      </w:r>
      <w:r w:rsidRPr="1B9E7434">
        <w:rPr>
          <w:lang w:val="fr-FR"/>
        </w:rPr>
        <w:t>) ont pour propriétaire actuel ou antérieur (</w:t>
      </w:r>
      <w:r w:rsidRPr="1B9E7434">
        <w:rPr>
          <w:rStyle w:val="VerbatimChar"/>
          <w:lang w:val="fr-FR"/>
        </w:rPr>
        <w:t>P51_a_pour_propriétaire_actuel_ou_antérieur</w:t>
      </w:r>
      <w:r w:rsidRPr="1B9E7434">
        <w:rPr>
          <w:lang w:val="fr-FR"/>
        </w:rPr>
        <w:t>) Lord Iveagh (</w:t>
      </w:r>
      <w:r w:rsidRPr="1B9E7434">
        <w:rPr>
          <w:rStyle w:val="VerbatimChar"/>
          <w:lang w:val="fr-FR"/>
        </w:rPr>
        <w:t>E21_Personne</w:t>
      </w:r>
      <w:r w:rsidRPr="1B9E7434">
        <w:rPr>
          <w:lang w:val="fr-FR"/>
        </w:rPr>
        <w:t>) (Bryant, 1990)</w:t>
      </w:r>
    </w:p>
    <w:p w14:paraId="3BE0C5C8" w14:textId="77777777" w:rsidR="0084489F" w:rsidRDefault="00110FE6">
      <w:pPr>
        <w:pStyle w:val="FirstParagraph"/>
      </w:pPr>
      <w:r>
        <w:rPr>
          <w:b/>
          <w:bCs/>
        </w:rPr>
        <w:t>Logique</w:t>
      </w:r>
    </w:p>
    <w:p w14:paraId="39105940" w14:textId="77777777" w:rsidR="0084489F" w:rsidRDefault="00110FE6">
      <w:pPr>
        <w:pStyle w:val="BodyText"/>
      </w:pPr>
      <w:r w:rsidRPr="1B9E7434">
        <w:rPr>
          <w:lang w:val="fr-FR"/>
        </w:rPr>
        <w:t>P51(x,y) ⇒ E18(x)</w:t>
      </w:r>
    </w:p>
    <w:p w14:paraId="433CBA7A" w14:textId="77777777" w:rsidR="0084489F" w:rsidRDefault="00110FE6">
      <w:pPr>
        <w:pStyle w:val="BodyText"/>
      </w:pPr>
      <w:r w:rsidRPr="1B9E7434">
        <w:rPr>
          <w:lang w:val="fr-FR"/>
        </w:rPr>
        <w:t>P51(x,y) ⇒ E39(y)</w:t>
      </w:r>
    </w:p>
    <w:p w14:paraId="0BCAA614" w14:textId="77777777" w:rsidR="0084489F" w:rsidRDefault="00110FE6">
      <w:pPr>
        <w:pStyle w:val="BodyText"/>
      </w:pPr>
      <w:r w:rsidRPr="1B9E7434">
        <w:rPr>
          <w:lang w:val="fr-FR"/>
        </w:rPr>
        <w:t>P51(x,y) ⇐ (∃z) [E8(z) ˄ P24i(x,z) ˄ [P23(z,y) ˅ P22(z,y) ]]</w:t>
      </w:r>
    </w:p>
    <w:p w14:paraId="7851F2E0" w14:textId="77777777" w:rsidR="0084489F" w:rsidRDefault="00110FE6">
      <w:pPr>
        <w:pStyle w:val="BodyText"/>
      </w:pPr>
      <w:r>
        <w:rPr>
          <w:b/>
          <w:bCs/>
        </w:rPr>
        <w:t>Propriétés</w:t>
      </w:r>
    </w:p>
    <w:p w14:paraId="7ADF829E" w14:textId="77777777" w:rsidR="0084489F" w:rsidRDefault="00110FE6">
      <w:pPr>
        <w:pStyle w:val="BlockText"/>
      </w:pPr>
      <w:r>
        <w:rPr>
          <w:b/>
          <w:bCs/>
          <w:i/>
          <w:iCs/>
        </w:rPr>
        <w:t>Note de traduction</w:t>
      </w:r>
    </w:p>
    <w:p w14:paraId="6BA2E25A" w14:textId="77777777" w:rsidR="0084489F" w:rsidRDefault="00110FE6">
      <w:pPr>
        <w:pStyle w:val="BlockText"/>
      </w:pPr>
      <w:r>
        <w:rPr>
          <w:b/>
          <w:bCs/>
          <w:i/>
          <w:iCs/>
        </w:rPr>
        <w:t>Références</w:t>
      </w:r>
    </w:p>
    <w:p w14:paraId="62D299BE" w14:textId="77777777" w:rsidR="0084489F" w:rsidRDefault="0084489F">
      <w:pPr>
        <w:pStyle w:val="BlockText"/>
      </w:pPr>
    </w:p>
    <w:p w14:paraId="44610263" w14:textId="77777777" w:rsidR="0084489F" w:rsidRDefault="00110FE6">
      <w:pPr>
        <w:pStyle w:val="Heading2"/>
      </w:pPr>
      <w:bookmarkStart w:id="368" w:name="_Toc176864564"/>
      <w:bookmarkStart w:id="369" w:name="Xf01268bbaf1fc9eb98ea41bac73271042f6252f"/>
      <w:bookmarkEnd w:id="367"/>
      <w:r>
        <w:t>P52 a pour propriétaire actuel (est l'actant propriétaire actuel de)</w:t>
      </w:r>
      <w:bookmarkEnd w:id="368"/>
    </w:p>
    <w:p w14:paraId="58A56D2D" w14:textId="77777777" w:rsidR="0084489F" w:rsidRDefault="00110FE6">
      <w:pPr>
        <w:pStyle w:val="FirstParagraph"/>
      </w:pPr>
      <w:r>
        <w:rPr>
          <w:b/>
          <w:bCs/>
        </w:rPr>
        <w:t>Domaine</w:t>
      </w:r>
    </w:p>
    <w:p w14:paraId="5D5A2FB0" w14:textId="77777777" w:rsidR="0084489F" w:rsidRDefault="00110FE6">
      <w:pPr>
        <w:pStyle w:val="BodyText"/>
      </w:pPr>
      <w:r>
        <w:rPr>
          <w:rStyle w:val="VerbatimChar"/>
        </w:rPr>
        <w:t>E18_Chose_matérielle</w:t>
      </w:r>
    </w:p>
    <w:p w14:paraId="67E452B2" w14:textId="77777777" w:rsidR="0084489F" w:rsidRDefault="00110FE6">
      <w:pPr>
        <w:pStyle w:val="BodyText"/>
      </w:pPr>
      <w:r>
        <w:rPr>
          <w:b/>
          <w:bCs/>
        </w:rPr>
        <w:t>Portée</w:t>
      </w:r>
    </w:p>
    <w:p w14:paraId="3D4555C0" w14:textId="77777777" w:rsidR="0084489F" w:rsidRDefault="00110FE6">
      <w:pPr>
        <w:pStyle w:val="BodyText"/>
      </w:pPr>
      <w:r>
        <w:rPr>
          <w:rStyle w:val="VerbatimChar"/>
        </w:rPr>
        <w:t>E39_Actant</w:t>
      </w:r>
    </w:p>
    <w:p w14:paraId="27F76D7C" w14:textId="77777777" w:rsidR="0084489F" w:rsidRDefault="00110FE6" w:rsidP="004F1EE3">
      <w:pPr>
        <w:pStyle w:val="BodyText"/>
        <w:keepNext/>
      </w:pPr>
      <w:r>
        <w:rPr>
          <w:b/>
          <w:bCs/>
        </w:rPr>
        <w:lastRenderedPageBreak/>
        <w:t>Sous-propriété de</w:t>
      </w:r>
    </w:p>
    <w:p w14:paraId="5A2FF381" w14:textId="77777777" w:rsidR="0084489F" w:rsidRDefault="00110FE6" w:rsidP="004F1EE3">
      <w:pPr>
        <w:pStyle w:val="BodyText"/>
        <w:keepNext/>
      </w:pPr>
      <w:r w:rsidRPr="1B9E7434">
        <w:rPr>
          <w:rStyle w:val="VerbatimChar"/>
          <w:lang w:val="fr-FR"/>
        </w:rPr>
        <w:t>E18_Chose_matérielle</w:t>
      </w:r>
      <w:r w:rsidRPr="1B9E7434">
        <w:rPr>
          <w:lang w:val="fr-FR"/>
        </w:rPr>
        <w:t xml:space="preserve">. </w:t>
      </w:r>
      <w:r w:rsidRPr="1B9E7434">
        <w:rPr>
          <w:rStyle w:val="VerbatimChar"/>
          <w:lang w:val="fr-FR"/>
        </w:rPr>
        <w:t>P51_a_pour_propriétaire_actuel_ou_antérieur (est_l’actant_propriétaire_actuel_ou_antérieur_de)</w:t>
      </w:r>
      <w:r w:rsidRPr="1B9E7434">
        <w:rPr>
          <w:lang w:val="fr-FR"/>
        </w:rPr>
        <w:t xml:space="preserve"> : </w:t>
      </w:r>
      <w:r w:rsidRPr="1B9E7434">
        <w:rPr>
          <w:rStyle w:val="VerbatimChar"/>
          <w:lang w:val="fr-FR"/>
        </w:rPr>
        <w:t>E39_Actant</w:t>
      </w:r>
    </w:p>
    <w:p w14:paraId="7C9D844F" w14:textId="77777777" w:rsidR="0084489F" w:rsidRDefault="00110FE6">
      <w:pPr>
        <w:pStyle w:val="BodyText"/>
      </w:pPr>
      <w:r w:rsidRPr="1B9E7434">
        <w:rPr>
          <w:rStyle w:val="VerbatimChar"/>
          <w:lang w:val="fr-FR"/>
        </w:rPr>
        <w:t>E72_Objet_juridique</w:t>
      </w:r>
      <w:r w:rsidRPr="1B9E7434">
        <w:rPr>
          <w:lang w:val="fr-FR"/>
        </w:rPr>
        <w:t xml:space="preserve">. </w:t>
      </w:r>
      <w:r w:rsidRPr="1B9E7434">
        <w:rPr>
          <w:rStyle w:val="VerbatimChar"/>
          <w:lang w:val="fr-FR"/>
        </w:rPr>
        <w:t>P105_droit_détenu_par (détient_le_droit_sur)</w:t>
      </w:r>
      <w:r w:rsidRPr="1B9E7434">
        <w:rPr>
          <w:lang w:val="fr-FR"/>
        </w:rPr>
        <w:t xml:space="preserve"> : </w:t>
      </w:r>
      <w:r w:rsidRPr="1B9E7434">
        <w:rPr>
          <w:rStyle w:val="VerbatimChar"/>
          <w:lang w:val="fr-FR"/>
        </w:rPr>
        <w:t>E39_Actant</w:t>
      </w:r>
    </w:p>
    <w:p w14:paraId="41E9D2D8" w14:textId="77777777" w:rsidR="0084489F" w:rsidRDefault="00110FE6">
      <w:pPr>
        <w:pStyle w:val="BodyText"/>
      </w:pPr>
      <w:r>
        <w:rPr>
          <w:b/>
          <w:bCs/>
        </w:rPr>
        <w:t>Super-propriété de</w:t>
      </w:r>
    </w:p>
    <w:p w14:paraId="424A83F5" w14:textId="77777777" w:rsidR="0084489F" w:rsidRDefault="00110FE6">
      <w:pPr>
        <w:pStyle w:val="BodyText"/>
      </w:pPr>
      <w:r>
        <w:rPr>
          <w:b/>
          <w:bCs/>
        </w:rPr>
        <w:t>Quantification</w:t>
      </w:r>
    </w:p>
    <w:p w14:paraId="3FB51F87" w14:textId="77777777" w:rsidR="0084489F" w:rsidRDefault="00110FE6">
      <w:pPr>
        <w:pStyle w:val="BodyText"/>
      </w:pPr>
      <w:r w:rsidRPr="1B9E7434">
        <w:rPr>
          <w:lang w:val="fr-FR"/>
        </w:rPr>
        <w:t>plusieurs à plusieurs (0,n:0,n)</w:t>
      </w:r>
    </w:p>
    <w:p w14:paraId="2287497F" w14:textId="77777777" w:rsidR="0084489F" w:rsidRDefault="00110FE6">
      <w:pPr>
        <w:pStyle w:val="BodyText"/>
      </w:pPr>
      <w:r>
        <w:rPr>
          <w:b/>
          <w:bCs/>
        </w:rPr>
        <w:t>Note d’application</w:t>
      </w:r>
    </w:p>
    <w:p w14:paraId="3B1B639B" w14:textId="77777777" w:rsidR="0084489F" w:rsidRDefault="00110FE6">
      <w:pPr>
        <w:pStyle w:val="BodyText"/>
      </w:pPr>
      <w:r>
        <w:t xml:space="preserve">Cette propriété identifie l'instance de </w:t>
      </w:r>
      <w:r>
        <w:rPr>
          <w:rStyle w:val="VerbatimChar"/>
        </w:rPr>
        <w:t>E21_Personne</w:t>
      </w:r>
      <w:r>
        <w:t xml:space="preserve"> ou de </w:t>
      </w:r>
      <w:r>
        <w:rPr>
          <w:rStyle w:val="VerbatimChar"/>
        </w:rPr>
        <w:t>E74_Groupe</w:t>
      </w:r>
      <w:r>
        <w:t xml:space="preserve"> qui était propriétaire d'une instance de </w:t>
      </w:r>
      <w:r>
        <w:rPr>
          <w:rStyle w:val="VerbatimChar"/>
        </w:rPr>
        <w:t>E18_Chose_matérielle</w:t>
      </w:r>
      <w:r>
        <w:t xml:space="preserve"> au moment où l'information dans l'enregistrement ou la base de données contenant l'énoncé décrit par cette propriété était considérée valide.</w:t>
      </w:r>
    </w:p>
    <w:p w14:paraId="24C8FC50" w14:textId="77777777" w:rsidR="0084489F" w:rsidRDefault="00110FE6">
      <w:pPr>
        <w:pStyle w:val="BodyText"/>
      </w:pPr>
      <w:r>
        <w:t xml:space="preserve">Cette propriété est un raccourci du chemin sémantique suivant : </w:t>
      </w:r>
      <w:r>
        <w:rPr>
          <w:rStyle w:val="VerbatimChar"/>
        </w:rPr>
        <w:t>E18_Chose_matérielle</w:t>
      </w:r>
      <w:r>
        <w:t xml:space="preserve">, </w:t>
      </w:r>
      <w:r>
        <w:rPr>
          <w:rStyle w:val="VerbatimChar"/>
        </w:rPr>
        <w:t>P24i_a_changé_de_propriétaire_par</w:t>
      </w:r>
      <w:r>
        <w:t xml:space="preserve">, </w:t>
      </w:r>
      <w:r>
        <w:rPr>
          <w:rStyle w:val="VerbatimChar"/>
        </w:rPr>
        <w:t>E8_Acquisition</w:t>
      </w:r>
      <w:r>
        <w:t xml:space="preserve">, </w:t>
      </w:r>
      <w:r>
        <w:rPr>
          <w:rStyle w:val="VerbatimChar"/>
        </w:rPr>
        <w:t>P22_a_transféré_le_titre_de_propriété_à</w:t>
      </w:r>
      <w:r>
        <w:t xml:space="preserve">, </w:t>
      </w:r>
      <w:r>
        <w:rPr>
          <w:rStyle w:val="VerbatimChar"/>
        </w:rPr>
        <w:t>E39_Actant</w:t>
      </w:r>
      <w:r>
        <w:t>, si et seulement si l'évènement d'acquisition est le plus récent.</w:t>
      </w:r>
    </w:p>
    <w:p w14:paraId="4D845C15" w14:textId="77777777" w:rsidR="0084489F" w:rsidRDefault="00110FE6">
      <w:pPr>
        <w:pStyle w:val="BodyText"/>
      </w:pPr>
      <w:r>
        <w:rPr>
          <w:b/>
          <w:bCs/>
        </w:rPr>
        <w:t>Exemples</w:t>
      </w:r>
    </w:p>
    <w:p w14:paraId="69CD755B" w14:textId="28C447B1" w:rsidR="0084489F" w:rsidRDefault="00110FE6" w:rsidP="00806324">
      <w:pPr>
        <w:numPr>
          <w:ilvl w:val="0"/>
          <w:numId w:val="186"/>
        </w:numPr>
      </w:pPr>
      <w:r w:rsidRPr="1B9E7434">
        <w:rPr>
          <w:lang w:val="fr-FR"/>
        </w:rPr>
        <w:t>Les œuvres peintes de la collection Iveagh Bequest (</w:t>
      </w:r>
      <w:r w:rsidRPr="1B9E7434">
        <w:rPr>
          <w:rStyle w:val="VerbatimChar"/>
          <w:lang w:val="fr-FR"/>
        </w:rPr>
        <w:t>E78_Collection</w:t>
      </w:r>
      <w:r w:rsidRPr="1B9E7434">
        <w:rPr>
          <w:lang w:val="fr-FR"/>
        </w:rPr>
        <w:t>) ont pour propriétaire actuel (</w:t>
      </w:r>
      <w:r w:rsidRPr="1B9E7434">
        <w:rPr>
          <w:rStyle w:val="VerbatimChar"/>
          <w:lang w:val="fr-FR"/>
        </w:rPr>
        <w:t>P52_a_pour_propriétaire_actuel</w:t>
      </w:r>
      <w:r w:rsidRPr="1B9E7434">
        <w:rPr>
          <w:lang w:val="fr-FR"/>
        </w:rPr>
        <w:t>) Historic England (</w:t>
      </w:r>
      <w:r w:rsidRPr="1B9E7434">
        <w:rPr>
          <w:rStyle w:val="VerbatimChar"/>
          <w:lang w:val="fr-FR"/>
        </w:rPr>
        <w:t>E74_Groupe</w:t>
      </w:r>
      <w:r w:rsidRPr="1B9E7434">
        <w:rPr>
          <w:lang w:val="fr-FR"/>
        </w:rPr>
        <w:t>) [Cela est valide en 2021 EC. L'importante collection des maîtres anciens et des portraits de Britanniques a été léguée à Kenwood par Edward Cecil Guinness, 1</w:t>
      </w:r>
      <w:r w:rsidRPr="1B9E7434">
        <w:rPr>
          <w:vertAlign w:val="superscript"/>
          <w:lang w:val="fr-FR"/>
        </w:rPr>
        <w:t>er</w:t>
      </w:r>
      <w:r w:rsidRPr="1B9E7434">
        <w:rPr>
          <w:lang w:val="fr-FR"/>
        </w:rPr>
        <w:t xml:space="preserve"> comte d'Iveagh en 1927] (Iveagh Bequest, 1975; Bryant, 1990)</w:t>
      </w:r>
    </w:p>
    <w:p w14:paraId="0A1C1B33" w14:textId="77777777" w:rsidR="0084489F" w:rsidRDefault="00110FE6">
      <w:pPr>
        <w:pStyle w:val="FirstParagraph"/>
      </w:pPr>
      <w:r>
        <w:rPr>
          <w:b/>
          <w:bCs/>
        </w:rPr>
        <w:t>Logique</w:t>
      </w:r>
    </w:p>
    <w:p w14:paraId="734C1FA8" w14:textId="77777777" w:rsidR="0084489F" w:rsidRDefault="00110FE6">
      <w:pPr>
        <w:pStyle w:val="BodyText"/>
      </w:pPr>
      <w:r w:rsidRPr="1B9E7434">
        <w:rPr>
          <w:lang w:val="fr-FR"/>
        </w:rPr>
        <w:t>P52(x,y) ⇒ E18(x)</w:t>
      </w:r>
    </w:p>
    <w:p w14:paraId="4A676FB5" w14:textId="77777777" w:rsidR="0084489F" w:rsidRDefault="00110FE6">
      <w:pPr>
        <w:pStyle w:val="BodyText"/>
      </w:pPr>
      <w:r w:rsidRPr="1B9E7434">
        <w:rPr>
          <w:lang w:val="fr-FR"/>
        </w:rPr>
        <w:t>P52(x,y) ⇒ E39(y)</w:t>
      </w:r>
    </w:p>
    <w:p w14:paraId="7D35605F" w14:textId="77777777" w:rsidR="0084489F" w:rsidRDefault="00110FE6">
      <w:pPr>
        <w:pStyle w:val="BodyText"/>
      </w:pPr>
      <w:r w:rsidRPr="1B9E7434">
        <w:rPr>
          <w:lang w:val="fr-FR"/>
        </w:rPr>
        <w:t>P52(x,y) ⇒ P51(x,y)</w:t>
      </w:r>
    </w:p>
    <w:p w14:paraId="03BF12C1" w14:textId="77777777" w:rsidR="0084489F" w:rsidRDefault="00110FE6">
      <w:pPr>
        <w:pStyle w:val="BodyText"/>
      </w:pPr>
      <w:r w:rsidRPr="1B9E7434">
        <w:rPr>
          <w:lang w:val="fr-FR"/>
        </w:rPr>
        <w:t>P52(x,y) ⇒ P105(x,y)</w:t>
      </w:r>
    </w:p>
    <w:p w14:paraId="543F1B80" w14:textId="77777777" w:rsidR="0084489F" w:rsidRDefault="00110FE6">
      <w:pPr>
        <w:pStyle w:val="BodyText"/>
      </w:pPr>
      <w:r w:rsidRPr="1B9E7434">
        <w:rPr>
          <w:lang w:val="fr-FR"/>
        </w:rPr>
        <w:t>P52(x,y) ⇐ (∃z) [[E8(z) ˄ P24i(x,z) ˄ P22(z,y)]</w:t>
      </w:r>
    </w:p>
    <w:p w14:paraId="140EEFD8" w14:textId="77777777" w:rsidR="0084489F" w:rsidRDefault="00110FE6">
      <w:pPr>
        <w:pStyle w:val="BodyText"/>
      </w:pPr>
      <w:r w:rsidRPr="1B9E7434">
        <w:rPr>
          <w:lang w:val="fr-FR"/>
        </w:rPr>
        <w:t>˄ ¬ (∃w) [E8(w) ˄ P24i(x,w) ˄ P23(w,y)˄ P182(z,w)]]</w:t>
      </w:r>
    </w:p>
    <w:p w14:paraId="1C13EBFE" w14:textId="77777777" w:rsidR="0084489F" w:rsidRDefault="00110FE6">
      <w:pPr>
        <w:pStyle w:val="BodyText"/>
      </w:pPr>
      <w:r>
        <w:rPr>
          <w:b/>
          <w:bCs/>
        </w:rPr>
        <w:t>Propriétés</w:t>
      </w:r>
    </w:p>
    <w:p w14:paraId="43511D6E" w14:textId="77777777" w:rsidR="0084489F" w:rsidRDefault="00110FE6">
      <w:pPr>
        <w:pStyle w:val="BlockText"/>
      </w:pPr>
      <w:r>
        <w:rPr>
          <w:b/>
          <w:bCs/>
          <w:i/>
          <w:iCs/>
        </w:rPr>
        <w:t>Note de traduction</w:t>
      </w:r>
    </w:p>
    <w:p w14:paraId="19E2DA9B" w14:textId="77777777" w:rsidR="0084489F" w:rsidRDefault="00110FE6">
      <w:pPr>
        <w:pStyle w:val="BlockText"/>
      </w:pPr>
      <w:r>
        <w:rPr>
          <w:b/>
          <w:bCs/>
          <w:i/>
          <w:iCs/>
        </w:rPr>
        <w:t>Références</w:t>
      </w:r>
    </w:p>
    <w:p w14:paraId="2EE93763" w14:textId="77777777" w:rsidR="0084489F" w:rsidRDefault="0084489F">
      <w:pPr>
        <w:pStyle w:val="BlockText"/>
      </w:pPr>
    </w:p>
    <w:p w14:paraId="43FEAAF4" w14:textId="77777777" w:rsidR="0084489F" w:rsidRDefault="00110FE6">
      <w:pPr>
        <w:pStyle w:val="Heading2"/>
      </w:pPr>
      <w:bookmarkStart w:id="370" w:name="_Toc176864565"/>
      <w:bookmarkStart w:id="371" w:name="X3eb8dd7b8a5930f317732f87547f6987728f348"/>
      <w:bookmarkEnd w:id="369"/>
      <w:r>
        <w:t>P53 a pour localisation actuelle ou antérieure (est la localisation actuelle ou antérieure de)</w:t>
      </w:r>
      <w:bookmarkEnd w:id="370"/>
    </w:p>
    <w:p w14:paraId="1BF13240" w14:textId="77777777" w:rsidR="0084489F" w:rsidRDefault="00110FE6">
      <w:pPr>
        <w:pStyle w:val="FirstParagraph"/>
      </w:pPr>
      <w:r>
        <w:rPr>
          <w:b/>
          <w:bCs/>
        </w:rPr>
        <w:t>Domaine</w:t>
      </w:r>
    </w:p>
    <w:p w14:paraId="0F219267" w14:textId="77777777" w:rsidR="0084489F" w:rsidRDefault="00110FE6">
      <w:pPr>
        <w:pStyle w:val="BodyText"/>
      </w:pPr>
      <w:r>
        <w:rPr>
          <w:rStyle w:val="VerbatimChar"/>
        </w:rPr>
        <w:t>E18_Chose_matérielle</w:t>
      </w:r>
    </w:p>
    <w:p w14:paraId="15FA2208" w14:textId="77777777" w:rsidR="0084489F" w:rsidRDefault="00110FE6">
      <w:pPr>
        <w:pStyle w:val="BodyText"/>
      </w:pPr>
      <w:r>
        <w:rPr>
          <w:b/>
          <w:bCs/>
        </w:rPr>
        <w:lastRenderedPageBreak/>
        <w:t>Portée</w:t>
      </w:r>
    </w:p>
    <w:p w14:paraId="37F8519E" w14:textId="77777777" w:rsidR="0084489F" w:rsidRDefault="00110FE6">
      <w:pPr>
        <w:pStyle w:val="BodyText"/>
      </w:pPr>
      <w:r>
        <w:rPr>
          <w:rStyle w:val="VerbatimChar"/>
        </w:rPr>
        <w:t>E53_Lieu</w:t>
      </w:r>
    </w:p>
    <w:p w14:paraId="4C5FE387" w14:textId="77777777" w:rsidR="0084489F" w:rsidRDefault="00110FE6">
      <w:pPr>
        <w:pStyle w:val="BodyText"/>
      </w:pPr>
      <w:r>
        <w:rPr>
          <w:b/>
          <w:bCs/>
        </w:rPr>
        <w:t>Sous-propriété de</w:t>
      </w:r>
    </w:p>
    <w:p w14:paraId="7FA91C26" w14:textId="77777777" w:rsidR="0084489F" w:rsidRDefault="00110FE6">
      <w:pPr>
        <w:pStyle w:val="BodyText"/>
      </w:pPr>
      <w:r>
        <w:rPr>
          <w:b/>
          <w:bCs/>
        </w:rPr>
        <w:t>Super-propriété de</w:t>
      </w:r>
    </w:p>
    <w:p w14:paraId="15A9CB94" w14:textId="77777777" w:rsidR="0084489F" w:rsidRDefault="00110FE6">
      <w:pPr>
        <w:pStyle w:val="BodyText"/>
      </w:pPr>
      <w:r w:rsidRPr="1B9E7434">
        <w:rPr>
          <w:rStyle w:val="VerbatimChar"/>
          <w:lang w:val="fr-FR"/>
        </w:rPr>
        <w:t>E19_Objet_matériel</w:t>
      </w:r>
      <w:r w:rsidRPr="1B9E7434">
        <w:rPr>
          <w:lang w:val="fr-FR"/>
        </w:rPr>
        <w:t xml:space="preserve">. </w:t>
      </w:r>
      <w:r w:rsidRPr="1B9E7434">
        <w:rPr>
          <w:rStyle w:val="VerbatimChar"/>
          <w:lang w:val="fr-FR"/>
        </w:rPr>
        <w:t>P55_a_actuellement_pour_localisation (est_actuellement_la_localisation_de)</w:t>
      </w:r>
      <w:r w:rsidRPr="1B9E7434">
        <w:rPr>
          <w:lang w:val="fr-FR"/>
        </w:rPr>
        <w:t xml:space="preserve"> : </w:t>
      </w:r>
      <w:r w:rsidRPr="1B9E7434">
        <w:rPr>
          <w:rStyle w:val="VerbatimChar"/>
          <w:lang w:val="fr-FR"/>
        </w:rPr>
        <w:t>E53_Lieu</w:t>
      </w:r>
    </w:p>
    <w:p w14:paraId="2DF3A44A"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P156_occupe (est_occupé_par)</w:t>
      </w:r>
      <w:r w:rsidRPr="1B9E7434">
        <w:rPr>
          <w:lang w:val="fr-FR"/>
        </w:rPr>
        <w:t xml:space="preserve"> : </w:t>
      </w:r>
      <w:r w:rsidRPr="1B9E7434">
        <w:rPr>
          <w:rStyle w:val="VerbatimChar"/>
          <w:lang w:val="fr-FR"/>
        </w:rPr>
        <w:t>E53_Lieu</w:t>
      </w:r>
    </w:p>
    <w:p w14:paraId="76F27535" w14:textId="77777777" w:rsidR="0084489F" w:rsidRDefault="00110FE6">
      <w:pPr>
        <w:pStyle w:val="BodyText"/>
      </w:pPr>
      <w:r>
        <w:rPr>
          <w:b/>
          <w:bCs/>
        </w:rPr>
        <w:t>Quantification</w:t>
      </w:r>
    </w:p>
    <w:p w14:paraId="4E8779A6" w14:textId="77777777" w:rsidR="0084489F" w:rsidRDefault="00110FE6">
      <w:pPr>
        <w:pStyle w:val="BodyText"/>
      </w:pPr>
      <w:r w:rsidRPr="1B9E7434">
        <w:rPr>
          <w:lang w:val="fr-FR"/>
        </w:rPr>
        <w:t>plusieurs à plusieurs, nécessaire (1,n:0,n)</w:t>
      </w:r>
    </w:p>
    <w:p w14:paraId="3E52B7D6" w14:textId="77777777" w:rsidR="0084489F" w:rsidRDefault="00110FE6">
      <w:pPr>
        <w:pStyle w:val="BodyText"/>
      </w:pPr>
      <w:r>
        <w:rPr>
          <w:b/>
          <w:bCs/>
        </w:rPr>
        <w:t>Note d’application</w:t>
      </w:r>
    </w:p>
    <w:p w14:paraId="0663611E" w14:textId="77777777" w:rsidR="0084489F" w:rsidRDefault="00110FE6">
      <w:pPr>
        <w:pStyle w:val="BodyText"/>
      </w:pPr>
      <w:r>
        <w:t xml:space="preserve">Cette propriété identifie une instance de </w:t>
      </w:r>
      <w:r>
        <w:rPr>
          <w:rStyle w:val="VerbatimChar"/>
        </w:rPr>
        <w:t>E53_Lieu</w:t>
      </w:r>
      <w:r>
        <w:t xml:space="preserve"> comme localisation antérieure ou actuelle d'une instance de </w:t>
      </w:r>
      <w:r>
        <w:rPr>
          <w:rStyle w:val="VerbatimChar"/>
        </w:rPr>
        <w:t>E18_Chose_matérielle</w:t>
      </w:r>
      <w:r>
        <w:t>.</w:t>
      </w:r>
    </w:p>
    <w:p w14:paraId="2D915D3E" w14:textId="77777777" w:rsidR="0084489F" w:rsidRDefault="00110FE6">
      <w:pPr>
        <w:pStyle w:val="BodyText"/>
      </w:pPr>
      <w:r>
        <w:t xml:space="preserve">Dans le cas d'instances de </w:t>
      </w:r>
      <w:r>
        <w:rPr>
          <w:rStyle w:val="VerbatimChar"/>
        </w:rPr>
        <w:t>E19_Objet_matériel</w:t>
      </w:r>
      <w:r>
        <w:t xml:space="preserve">, la propriété ne permet aucune indication de l'intervalle temporel pendant lequel l'instance de </w:t>
      </w:r>
      <w:r>
        <w:rPr>
          <w:rStyle w:val="VerbatimChar"/>
        </w:rPr>
        <w:t>E19_Objet_matériel</w:t>
      </w:r>
      <w:r>
        <w:t xml:space="preserve"> était située à cette instance de </w:t>
      </w:r>
      <w:r>
        <w:rPr>
          <w:rStyle w:val="VerbatimChar"/>
        </w:rPr>
        <w:t>E53_Lieu</w:t>
      </w:r>
      <w:r>
        <w:t>, ni s'il s'agit de la localisation actuelle.</w:t>
      </w:r>
    </w:p>
    <w:p w14:paraId="3CB2E6D8" w14:textId="77777777" w:rsidR="0084489F" w:rsidRDefault="00110FE6">
      <w:pPr>
        <w:pStyle w:val="BodyText"/>
      </w:pPr>
      <w:r>
        <w:t xml:space="preserve">Dans le cas d'objets immobiles, l'instance de </w:t>
      </w:r>
      <w:r>
        <w:rPr>
          <w:rStyle w:val="VerbatimChar"/>
        </w:rPr>
        <w:t>E53_Lieu</w:t>
      </w:r>
      <w:r>
        <w:t xml:space="preserve"> correspondrait normalement au lieu de création.</w:t>
      </w:r>
    </w:p>
    <w:p w14:paraId="364EC5B6" w14:textId="77777777" w:rsidR="0084489F" w:rsidRDefault="00110FE6">
      <w:pPr>
        <w:pStyle w:val="BodyText"/>
      </w:pPr>
      <w:r>
        <w:t xml:space="preserve">Cette propriété est un raccourci du chemin sémantique suivant : </w:t>
      </w:r>
      <w:r>
        <w:rPr>
          <w:rStyle w:val="VerbatimChar"/>
        </w:rPr>
        <w:t>E19_Objet_matériel</w:t>
      </w:r>
      <w:r>
        <w:t xml:space="preserve">, </w:t>
      </w:r>
      <w:r>
        <w:rPr>
          <w:rStyle w:val="VerbatimChar"/>
        </w:rPr>
        <w:t>P25i_a_été_déplacé_par</w:t>
      </w:r>
      <w:r>
        <w:t xml:space="preserve">, </w:t>
      </w:r>
      <w:r>
        <w:rPr>
          <w:rStyle w:val="VerbatimChar"/>
        </w:rPr>
        <w:t>E9_Déplacement</w:t>
      </w:r>
      <w:r>
        <w:t xml:space="preserve">, </w:t>
      </w:r>
      <w:r>
        <w:rPr>
          <w:rStyle w:val="VerbatimChar"/>
        </w:rPr>
        <w:t>P26_a_déplacé_vers</w:t>
      </w:r>
      <w:r>
        <w:t xml:space="preserve"> (ou </w:t>
      </w:r>
      <w:r>
        <w:rPr>
          <w:rStyle w:val="VerbatimChar"/>
        </w:rPr>
        <w:t>P27_a_déplacé_depuis</w:t>
      </w:r>
      <w:r>
        <w:t xml:space="preserve">), </w:t>
      </w:r>
      <w:r>
        <w:rPr>
          <w:rStyle w:val="VerbatimChar"/>
        </w:rPr>
        <w:t>E53_Lieu</w:t>
      </w:r>
      <w:r>
        <w:t>.</w:t>
      </w:r>
    </w:p>
    <w:p w14:paraId="07039769" w14:textId="77777777" w:rsidR="0084489F" w:rsidRDefault="00110FE6">
      <w:pPr>
        <w:pStyle w:val="BodyText"/>
      </w:pPr>
      <w:r>
        <w:rPr>
          <w:b/>
          <w:bCs/>
        </w:rPr>
        <w:t>Exemples</w:t>
      </w:r>
    </w:p>
    <w:p w14:paraId="2FD444C7" w14:textId="77777777" w:rsidR="0084489F" w:rsidRDefault="00110FE6" w:rsidP="00806324">
      <w:pPr>
        <w:numPr>
          <w:ilvl w:val="0"/>
          <w:numId w:val="187"/>
        </w:numPr>
      </w:pPr>
      <w:r>
        <w:t>La coupe en argent « 232 » (</w:t>
      </w:r>
      <w:r>
        <w:rPr>
          <w:rStyle w:val="VerbatimChar"/>
        </w:rPr>
        <w:t>E22_Objet_élaboré_par_l’humain</w:t>
      </w:r>
      <w:r>
        <w:t>) a pour localisation actuelle ou antérieure (</w:t>
      </w:r>
      <w:r>
        <w:rPr>
          <w:rStyle w:val="VerbatimChar"/>
        </w:rPr>
        <w:t>P53_a_pour_localisation_actuelle_ou_antérieure</w:t>
      </w:r>
      <w:r>
        <w:t>) la Vitrine n</w:t>
      </w:r>
      <w:r>
        <w:rPr>
          <w:vertAlign w:val="superscript"/>
        </w:rPr>
        <w:t>o</w:t>
      </w:r>
      <w:r>
        <w:t xml:space="preserve"> 4 dans la salle n</w:t>
      </w:r>
      <w:r>
        <w:rPr>
          <w:vertAlign w:val="superscript"/>
        </w:rPr>
        <w:t>o</w:t>
      </w:r>
      <w:r>
        <w:t xml:space="preserve"> 23 du Museum of Oxford (</w:t>
      </w:r>
      <w:r>
        <w:rPr>
          <w:rStyle w:val="VerbatimChar"/>
        </w:rPr>
        <w:t>E53_Lieu</w:t>
      </w:r>
      <w:r>
        <w:t>) (fictif)</w:t>
      </w:r>
    </w:p>
    <w:p w14:paraId="7D5F5184" w14:textId="77777777" w:rsidR="0084489F" w:rsidRDefault="00110FE6">
      <w:pPr>
        <w:pStyle w:val="FirstParagraph"/>
      </w:pPr>
      <w:r>
        <w:rPr>
          <w:b/>
          <w:bCs/>
        </w:rPr>
        <w:t>Logique</w:t>
      </w:r>
    </w:p>
    <w:p w14:paraId="4CC7433E" w14:textId="77777777" w:rsidR="0084489F" w:rsidRDefault="00110FE6">
      <w:pPr>
        <w:pStyle w:val="BodyText"/>
      </w:pPr>
      <w:r w:rsidRPr="1B9E7434">
        <w:rPr>
          <w:lang w:val="fr-FR"/>
        </w:rPr>
        <w:t>P53(x,y) ⇒ E18(x)</w:t>
      </w:r>
    </w:p>
    <w:p w14:paraId="136B78F8" w14:textId="77777777" w:rsidR="0084489F" w:rsidRDefault="00110FE6">
      <w:pPr>
        <w:pStyle w:val="BodyText"/>
      </w:pPr>
      <w:r w:rsidRPr="1B9E7434">
        <w:rPr>
          <w:lang w:val="fr-FR"/>
        </w:rPr>
        <w:t>P53(x,y) ⇒ E53(y)</w:t>
      </w:r>
    </w:p>
    <w:p w14:paraId="1D0C7499" w14:textId="77777777" w:rsidR="0084489F" w:rsidRDefault="00110FE6">
      <w:pPr>
        <w:pStyle w:val="BodyText"/>
      </w:pPr>
      <w:r w:rsidRPr="1B9E7434">
        <w:rPr>
          <w:lang w:val="fr-FR"/>
        </w:rPr>
        <w:t>P53(x,y) ⇐ (∃z) [E9(z) ˄ P25i(x,z) ˄ [P26(z,y) ˅ P27(z,y)]]</w:t>
      </w:r>
    </w:p>
    <w:p w14:paraId="01E1D565" w14:textId="77777777" w:rsidR="0084489F" w:rsidRDefault="00110FE6">
      <w:pPr>
        <w:pStyle w:val="BodyText"/>
      </w:pPr>
      <w:r>
        <w:rPr>
          <w:b/>
          <w:bCs/>
        </w:rPr>
        <w:t>Propriétés</w:t>
      </w:r>
    </w:p>
    <w:p w14:paraId="4FC445ED" w14:textId="77777777" w:rsidR="0084489F" w:rsidRDefault="00110FE6">
      <w:pPr>
        <w:pStyle w:val="BlockText"/>
      </w:pPr>
      <w:r>
        <w:rPr>
          <w:b/>
          <w:bCs/>
          <w:i/>
          <w:iCs/>
        </w:rPr>
        <w:t>Note de traduction</w:t>
      </w:r>
    </w:p>
    <w:p w14:paraId="37BB84D2" w14:textId="77777777" w:rsidR="0084489F" w:rsidRDefault="00110FE6">
      <w:pPr>
        <w:pStyle w:val="BlockText"/>
      </w:pPr>
      <w:r>
        <w:rPr>
          <w:b/>
          <w:bCs/>
          <w:i/>
          <w:iCs/>
        </w:rPr>
        <w:t>Références</w:t>
      </w:r>
    </w:p>
    <w:p w14:paraId="2FE3301A" w14:textId="77777777" w:rsidR="0084489F" w:rsidRDefault="0084489F">
      <w:pPr>
        <w:pStyle w:val="BlockText"/>
      </w:pPr>
    </w:p>
    <w:p w14:paraId="39B917AF" w14:textId="77777777" w:rsidR="0084489F" w:rsidRDefault="00110FE6" w:rsidP="004F1EE3">
      <w:pPr>
        <w:pStyle w:val="Heading2"/>
      </w:pPr>
      <w:bookmarkStart w:id="372" w:name="_Toc176864566"/>
      <w:bookmarkStart w:id="373" w:name="X21d950d1c2964f8fcdcbc092c7a149c2855acb0"/>
      <w:bookmarkEnd w:id="371"/>
      <w:r>
        <w:lastRenderedPageBreak/>
        <w:t>P54 a actuellement pour localisation fixe (est actuellement la location fixe de)</w:t>
      </w:r>
      <w:bookmarkEnd w:id="372"/>
    </w:p>
    <w:p w14:paraId="0CCE5DEF" w14:textId="77777777" w:rsidR="0084489F" w:rsidRDefault="00110FE6" w:rsidP="004F1EE3">
      <w:pPr>
        <w:pStyle w:val="FirstParagraph"/>
        <w:keepNext/>
        <w:keepLines/>
      </w:pPr>
      <w:r>
        <w:rPr>
          <w:b/>
          <w:bCs/>
        </w:rPr>
        <w:t>Domaine</w:t>
      </w:r>
    </w:p>
    <w:p w14:paraId="63F646A1" w14:textId="77777777" w:rsidR="0084489F" w:rsidRDefault="00110FE6" w:rsidP="004F1EE3">
      <w:pPr>
        <w:pStyle w:val="BodyText"/>
        <w:keepNext/>
        <w:keepLines/>
      </w:pPr>
      <w:r>
        <w:rPr>
          <w:rStyle w:val="VerbatimChar"/>
        </w:rPr>
        <w:t>E19_Objet_matériel</w:t>
      </w:r>
    </w:p>
    <w:p w14:paraId="7A008027" w14:textId="77777777" w:rsidR="0084489F" w:rsidRDefault="00110FE6">
      <w:pPr>
        <w:pStyle w:val="BodyText"/>
      </w:pPr>
      <w:r>
        <w:rPr>
          <w:b/>
          <w:bCs/>
        </w:rPr>
        <w:t>Portée</w:t>
      </w:r>
    </w:p>
    <w:p w14:paraId="00414711" w14:textId="77777777" w:rsidR="0084489F" w:rsidRDefault="00110FE6">
      <w:pPr>
        <w:pStyle w:val="BodyText"/>
      </w:pPr>
      <w:r>
        <w:rPr>
          <w:rStyle w:val="VerbatimChar"/>
        </w:rPr>
        <w:t>E53_Lieu</w:t>
      </w:r>
    </w:p>
    <w:p w14:paraId="6350040E" w14:textId="77777777" w:rsidR="0084489F" w:rsidRDefault="00110FE6">
      <w:pPr>
        <w:pStyle w:val="BodyText"/>
      </w:pPr>
      <w:r>
        <w:rPr>
          <w:b/>
          <w:bCs/>
        </w:rPr>
        <w:t>Sous-propriété de</w:t>
      </w:r>
    </w:p>
    <w:p w14:paraId="0FB885BA" w14:textId="77777777" w:rsidR="0084489F" w:rsidRDefault="00110FE6">
      <w:pPr>
        <w:pStyle w:val="BodyText"/>
      </w:pPr>
      <w:r>
        <w:rPr>
          <w:b/>
          <w:bCs/>
        </w:rPr>
        <w:t>Super-propriété de</w:t>
      </w:r>
    </w:p>
    <w:p w14:paraId="34EEDD01" w14:textId="77777777" w:rsidR="0084489F" w:rsidRDefault="00110FE6">
      <w:pPr>
        <w:pStyle w:val="BodyText"/>
      </w:pPr>
      <w:r>
        <w:rPr>
          <w:b/>
          <w:bCs/>
        </w:rPr>
        <w:t>Quantification</w:t>
      </w:r>
    </w:p>
    <w:p w14:paraId="4AA13E30" w14:textId="77777777" w:rsidR="0084489F" w:rsidRDefault="00110FE6">
      <w:pPr>
        <w:pStyle w:val="BodyText"/>
      </w:pPr>
      <w:r w:rsidRPr="1B9E7434">
        <w:rPr>
          <w:lang w:val="fr-FR"/>
        </w:rPr>
        <w:t>plusieurs à un (0,1:0,n)</w:t>
      </w:r>
    </w:p>
    <w:p w14:paraId="26DB9493" w14:textId="77777777" w:rsidR="0084489F" w:rsidRDefault="00110FE6">
      <w:pPr>
        <w:pStyle w:val="BodyText"/>
      </w:pPr>
      <w:r>
        <w:rPr>
          <w:b/>
          <w:bCs/>
        </w:rPr>
        <w:t>Note d’application</w:t>
      </w:r>
    </w:p>
    <w:p w14:paraId="50DF9CC6" w14:textId="77777777" w:rsidR="0084489F" w:rsidRDefault="00110FE6">
      <w:pPr>
        <w:pStyle w:val="BodyText"/>
      </w:pPr>
      <w:r>
        <w:t xml:space="preserve">Cette propriété enregistre la localisation fixe prévue d’une instance de </w:t>
      </w:r>
      <w:r>
        <w:rPr>
          <w:rStyle w:val="VerbatimChar"/>
        </w:rPr>
        <w:t>E19_Objet_matériel</w:t>
      </w:r>
      <w:r>
        <w:t xml:space="preserve"> au moment où l'information dans l'enregistrement ou la base de données contenant l'énoncé décrit par cette propriété était considérée valide.</w:t>
      </w:r>
    </w:p>
    <w:p w14:paraId="2D8E3BD0" w14:textId="77777777" w:rsidR="0084489F" w:rsidRDefault="00110FE6">
      <w:pPr>
        <w:pStyle w:val="BodyText"/>
      </w:pPr>
      <w:r w:rsidRPr="1B9E7434">
        <w:rPr>
          <w:rStyle w:val="VerbatimChar"/>
          <w:lang w:val="fr-FR"/>
        </w:rPr>
        <w:t>P54_a_actuellement_pour_localisation_fixe (est_actuellement_la_localisation_fixe_de)</w:t>
      </w:r>
      <w:r w:rsidRPr="1B9E7434">
        <w:rPr>
          <w:lang w:val="fr-FR"/>
        </w:rPr>
        <w:t xml:space="preserve"> est semblable à </w:t>
      </w:r>
      <w:r w:rsidRPr="1B9E7434">
        <w:rPr>
          <w:rStyle w:val="VerbatimChar"/>
          <w:lang w:val="fr-FR"/>
        </w:rPr>
        <w:t>P55_a_actuellement_pour_localisation (est_actuellement_la_localisation_de)</w:t>
      </w:r>
      <w:r w:rsidRPr="1B9E7434">
        <w:rPr>
          <w:lang w:val="fr-FR"/>
        </w:rPr>
        <w:t xml:space="preserve">. Cependant, cette propriété indique l’instance de </w:t>
      </w:r>
      <w:r w:rsidRPr="1B9E7434">
        <w:rPr>
          <w:rStyle w:val="VerbatimChar"/>
          <w:lang w:val="fr-FR"/>
        </w:rPr>
        <w:t>E53_Lieu</w:t>
      </w:r>
      <w:r w:rsidRPr="1B9E7434">
        <w:rPr>
          <w:lang w:val="fr-FR"/>
        </w:rPr>
        <w:t xml:space="preserve"> actuellement réservée à un objet, tel que le lieu d’entreposage ou une localisation d’exposition fixe.. L’objet peut être temporairement retiré de la localisation fixe, par exemple lorsqu’il est utilisé dans des expositions temporaires ou prêté à une autre institution. L’objet pourrait, en réalité, ne jamais être localisé à sa localisation fixe.</w:t>
      </w:r>
    </w:p>
    <w:p w14:paraId="449952E9" w14:textId="77777777" w:rsidR="0084489F" w:rsidRDefault="00110FE6">
      <w:pPr>
        <w:pStyle w:val="BodyText"/>
      </w:pPr>
      <w:r>
        <w:rPr>
          <w:b/>
          <w:bCs/>
        </w:rPr>
        <w:t>Exemples</w:t>
      </w:r>
    </w:p>
    <w:p w14:paraId="490E7EE6" w14:textId="77777777" w:rsidR="0084489F" w:rsidRDefault="00110FE6" w:rsidP="00806324">
      <w:pPr>
        <w:numPr>
          <w:ilvl w:val="0"/>
          <w:numId w:val="188"/>
        </w:numPr>
      </w:pPr>
      <w:r>
        <w:t>La coupe en argent « 232 » (</w:t>
      </w:r>
      <w:r>
        <w:rPr>
          <w:rStyle w:val="VerbatimChar"/>
        </w:rPr>
        <w:t>E22_Objet_élaboré_par_l’humain</w:t>
      </w:r>
      <w:r>
        <w:t>) a actuellement pour localisation fixe (</w:t>
      </w:r>
      <w:r>
        <w:rPr>
          <w:rStyle w:val="VerbatimChar"/>
        </w:rPr>
        <w:t>P54_a_actuellement_pour_localisation_fixe</w:t>
      </w:r>
      <w:r>
        <w:t>) Tablette 3.1, Réserve 2, Musée d’Oxford (</w:t>
      </w:r>
      <w:r>
        <w:rPr>
          <w:rStyle w:val="VerbatimChar"/>
        </w:rPr>
        <w:t>E53_Lieu</w:t>
      </w:r>
      <w:r>
        <w:t>) (fictif)</w:t>
      </w:r>
    </w:p>
    <w:p w14:paraId="4C27179E" w14:textId="77777777" w:rsidR="0084489F" w:rsidRDefault="00110FE6">
      <w:pPr>
        <w:pStyle w:val="FirstParagraph"/>
      </w:pPr>
      <w:r>
        <w:rPr>
          <w:b/>
          <w:bCs/>
        </w:rPr>
        <w:t>Logique</w:t>
      </w:r>
    </w:p>
    <w:p w14:paraId="12C1EEFA" w14:textId="77777777" w:rsidR="0084489F" w:rsidRDefault="00110FE6">
      <w:pPr>
        <w:pStyle w:val="BodyText"/>
      </w:pPr>
      <w:r w:rsidRPr="1B9E7434">
        <w:rPr>
          <w:lang w:val="fr-FR"/>
        </w:rPr>
        <w:t>P54(x,y) ⇒ E19(x)</w:t>
      </w:r>
    </w:p>
    <w:p w14:paraId="34F9B9D9" w14:textId="77777777" w:rsidR="0084489F" w:rsidRDefault="00110FE6">
      <w:pPr>
        <w:pStyle w:val="BodyText"/>
      </w:pPr>
      <w:r w:rsidRPr="1B9E7434">
        <w:rPr>
          <w:lang w:val="fr-FR"/>
        </w:rPr>
        <w:t>P54(x,y) ⇒ E53(y)</w:t>
      </w:r>
    </w:p>
    <w:p w14:paraId="6B5B892E" w14:textId="77777777" w:rsidR="0084489F" w:rsidRDefault="00110FE6">
      <w:pPr>
        <w:pStyle w:val="BodyText"/>
      </w:pPr>
      <w:r>
        <w:rPr>
          <w:b/>
          <w:bCs/>
        </w:rPr>
        <w:t>Propriétés</w:t>
      </w:r>
    </w:p>
    <w:p w14:paraId="31AA9143" w14:textId="77777777" w:rsidR="0084489F" w:rsidRDefault="00110FE6">
      <w:pPr>
        <w:pStyle w:val="BlockText"/>
      </w:pPr>
      <w:r>
        <w:rPr>
          <w:b/>
          <w:bCs/>
          <w:i/>
          <w:iCs/>
        </w:rPr>
        <w:t>Note de traduction</w:t>
      </w:r>
    </w:p>
    <w:p w14:paraId="77939260" w14:textId="77777777" w:rsidR="0084489F" w:rsidRDefault="00110FE6">
      <w:pPr>
        <w:pStyle w:val="BlockText"/>
      </w:pPr>
      <w:r>
        <w:t>Lorsqu'il s'agit d'une adresse/d'un emplacement, l'usage de « fixe » plutôt que « permanent » est recommandé, car il fait référence à l'état durable de l'emplacement plutôt qu'à son caractère durable.</w:t>
      </w:r>
    </w:p>
    <w:p w14:paraId="73636150" w14:textId="77777777" w:rsidR="0084489F" w:rsidRDefault="00110FE6">
      <w:pPr>
        <w:pStyle w:val="BlockText"/>
      </w:pPr>
      <w:r>
        <w:rPr>
          <w:b/>
          <w:bCs/>
          <w:i/>
          <w:iCs/>
        </w:rPr>
        <w:t>Références</w:t>
      </w:r>
    </w:p>
    <w:p w14:paraId="46991E64" w14:textId="77777777" w:rsidR="0084489F" w:rsidRDefault="0084489F">
      <w:pPr>
        <w:pStyle w:val="BlockText"/>
      </w:pPr>
    </w:p>
    <w:p w14:paraId="7B2FC48E" w14:textId="77777777" w:rsidR="0084489F" w:rsidRDefault="00110FE6" w:rsidP="004F1EE3">
      <w:pPr>
        <w:pStyle w:val="Heading2"/>
      </w:pPr>
      <w:bookmarkStart w:id="374" w:name="_Toc176864567"/>
      <w:bookmarkStart w:id="375" w:name="X2182d3bb36cd166aae0d901f7df77498bd15579"/>
      <w:bookmarkEnd w:id="373"/>
      <w:r>
        <w:lastRenderedPageBreak/>
        <w:t>P55 a actuellement pour localisation (est actuellement la localisation de)</w:t>
      </w:r>
      <w:bookmarkEnd w:id="374"/>
    </w:p>
    <w:p w14:paraId="729480CE" w14:textId="77777777" w:rsidR="0084489F" w:rsidRDefault="00110FE6" w:rsidP="004F1EE3">
      <w:pPr>
        <w:pStyle w:val="FirstParagraph"/>
        <w:keepNext/>
        <w:keepLines/>
      </w:pPr>
      <w:r>
        <w:rPr>
          <w:b/>
          <w:bCs/>
        </w:rPr>
        <w:t>Domaine</w:t>
      </w:r>
    </w:p>
    <w:p w14:paraId="461E5D8A" w14:textId="77777777" w:rsidR="0084489F" w:rsidRDefault="00110FE6" w:rsidP="004F1EE3">
      <w:pPr>
        <w:pStyle w:val="BodyText"/>
        <w:keepNext/>
        <w:keepLines/>
      </w:pPr>
      <w:r>
        <w:rPr>
          <w:rStyle w:val="VerbatimChar"/>
        </w:rPr>
        <w:t>E19_Objet_matériel</w:t>
      </w:r>
    </w:p>
    <w:p w14:paraId="15F756F8" w14:textId="77777777" w:rsidR="0084489F" w:rsidRDefault="00110FE6">
      <w:pPr>
        <w:pStyle w:val="BodyText"/>
      </w:pPr>
      <w:r>
        <w:rPr>
          <w:b/>
          <w:bCs/>
        </w:rPr>
        <w:t>Portée</w:t>
      </w:r>
    </w:p>
    <w:p w14:paraId="4CD027C8" w14:textId="77777777" w:rsidR="0084489F" w:rsidRDefault="00110FE6">
      <w:pPr>
        <w:pStyle w:val="BodyText"/>
      </w:pPr>
      <w:r>
        <w:rPr>
          <w:rStyle w:val="VerbatimChar"/>
        </w:rPr>
        <w:t>E53_Lieu</w:t>
      </w:r>
    </w:p>
    <w:p w14:paraId="68930CA1" w14:textId="77777777" w:rsidR="0084489F" w:rsidRDefault="00110FE6">
      <w:pPr>
        <w:pStyle w:val="BodyText"/>
      </w:pPr>
      <w:r>
        <w:rPr>
          <w:b/>
          <w:bCs/>
        </w:rPr>
        <w:t>Sous-propriété de</w:t>
      </w:r>
    </w:p>
    <w:p w14:paraId="6C5868AF"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P53_a_pour_localisation_actuelle_ou_antérieure (est_la_localisation_actuelle_ou_antérieure_de)</w:t>
      </w:r>
      <w:r w:rsidRPr="1B9E7434">
        <w:rPr>
          <w:lang w:val="fr-FR"/>
        </w:rPr>
        <w:t> :</w:t>
      </w:r>
      <w:r w:rsidRPr="1B9E7434">
        <w:rPr>
          <w:rStyle w:val="VerbatimChar"/>
          <w:lang w:val="fr-FR"/>
        </w:rPr>
        <w:t xml:space="preserve"> E53_Lieu</w:t>
      </w:r>
    </w:p>
    <w:p w14:paraId="16B4E681" w14:textId="77777777" w:rsidR="0084489F" w:rsidRDefault="00110FE6">
      <w:pPr>
        <w:pStyle w:val="BodyText"/>
      </w:pPr>
      <w:r>
        <w:rPr>
          <w:b/>
          <w:bCs/>
        </w:rPr>
        <w:t>Super-propriété de</w:t>
      </w:r>
    </w:p>
    <w:p w14:paraId="34FBB01E" w14:textId="77777777" w:rsidR="0084489F" w:rsidRDefault="00110FE6">
      <w:pPr>
        <w:pStyle w:val="BodyText"/>
      </w:pPr>
      <w:r>
        <w:rPr>
          <w:b/>
          <w:bCs/>
        </w:rPr>
        <w:t>Quantification</w:t>
      </w:r>
    </w:p>
    <w:p w14:paraId="36A02CCA" w14:textId="77777777" w:rsidR="0084489F" w:rsidRDefault="00110FE6">
      <w:pPr>
        <w:pStyle w:val="BodyText"/>
      </w:pPr>
      <w:r w:rsidRPr="1B9E7434">
        <w:rPr>
          <w:lang w:val="fr-FR"/>
        </w:rPr>
        <w:t>plusieurs à plusieurs (0,n:0,n)</w:t>
      </w:r>
    </w:p>
    <w:p w14:paraId="39E31C92" w14:textId="77777777" w:rsidR="0084489F" w:rsidRDefault="00110FE6">
      <w:pPr>
        <w:pStyle w:val="BodyText"/>
      </w:pPr>
      <w:r>
        <w:rPr>
          <w:b/>
          <w:bCs/>
        </w:rPr>
        <w:t>Note d’application</w:t>
      </w:r>
    </w:p>
    <w:p w14:paraId="58CBE90D" w14:textId="77777777" w:rsidR="0084489F" w:rsidRDefault="00110FE6">
      <w:pPr>
        <w:pStyle w:val="BodyText"/>
      </w:pPr>
      <w:r>
        <w:t xml:space="preserve">Cette propriété enregistre la localisation d’une instance de </w:t>
      </w:r>
      <w:r>
        <w:rPr>
          <w:rStyle w:val="VerbatimChar"/>
        </w:rPr>
        <w:t>E19_Objet_matériel</w:t>
      </w:r>
      <w:r>
        <w:t xml:space="preserve"> au moment où l'information dans l'enregistrement ou la base de données contenant l'énoncé décrit par cette propriété était considérée valide.</w:t>
      </w:r>
    </w:p>
    <w:p w14:paraId="21B873A9" w14:textId="77777777" w:rsidR="0084489F" w:rsidRDefault="00110FE6">
      <w:pPr>
        <w:pStyle w:val="BodyText"/>
      </w:pPr>
      <w:r w:rsidRPr="1B9E7434">
        <w:rPr>
          <w:lang w:val="fr-FR"/>
        </w:rPr>
        <w:t xml:space="preserve">Cette propriété est une sous-propriété de </w:t>
      </w:r>
      <w:r w:rsidRPr="1B9E7434">
        <w:rPr>
          <w:rStyle w:val="VerbatimChar"/>
          <w:lang w:val="fr-FR"/>
        </w:rPr>
        <w:t>P53_a_pour localisation actuelle ou antérieure (est_la_localisation_actuelle_ou_antérieure_de)</w:t>
      </w:r>
      <w:r w:rsidRPr="1B9E7434">
        <w:rPr>
          <w:lang w:val="fr-FR"/>
        </w:rPr>
        <w:t xml:space="preserve">. La propriété indique que l’instance de </w:t>
      </w:r>
      <w:r w:rsidRPr="1B9E7434">
        <w:rPr>
          <w:rStyle w:val="VerbatimChar"/>
          <w:lang w:val="fr-FR"/>
        </w:rPr>
        <w:t>E53_Lieu</w:t>
      </w:r>
      <w:r w:rsidRPr="1B9E7434">
        <w:rPr>
          <w:lang w:val="fr-FR"/>
        </w:rPr>
        <w:t xml:space="preserve"> associée à l’instance de </w:t>
      </w:r>
      <w:r w:rsidRPr="1B9E7434">
        <w:rPr>
          <w:rStyle w:val="VerbatimChar"/>
          <w:lang w:val="fr-FR"/>
        </w:rPr>
        <w:t>E19_Objet_matériel</w:t>
      </w:r>
      <w:r w:rsidRPr="1B9E7434">
        <w:rPr>
          <w:lang w:val="fr-FR"/>
        </w:rPr>
        <w:t xml:space="preserve"> est la localisation de l’objet. La propriété ne permet pas d’indiquer depuis combien de temps l’objet se trouve à la localisation actuelle.</w:t>
      </w:r>
    </w:p>
    <w:p w14:paraId="3C39EF5D" w14:textId="77777777" w:rsidR="0084489F" w:rsidRDefault="00110FE6">
      <w:pPr>
        <w:pStyle w:val="BodyText"/>
      </w:pPr>
      <w:r>
        <w:t>Cette propriété est un raccourci du chemin sémantique suivant :</w:t>
      </w:r>
    </w:p>
    <w:p w14:paraId="15A09BE1" w14:textId="77777777" w:rsidR="0084489F" w:rsidRDefault="00110FE6">
      <w:pPr>
        <w:pStyle w:val="BodyText"/>
      </w:pPr>
      <w:r>
        <w:rPr>
          <w:rStyle w:val="VerbatimChar"/>
        </w:rPr>
        <w:t>E19_Objet_matériel</w:t>
      </w:r>
      <w:r>
        <w:t xml:space="preserve">, </w:t>
      </w:r>
      <w:r>
        <w:rPr>
          <w:rStyle w:val="VerbatimChar"/>
        </w:rPr>
        <w:t>P25i_a_été_déplacé_par</w:t>
      </w:r>
      <w:r>
        <w:t xml:space="preserve">, </w:t>
      </w:r>
      <w:r>
        <w:rPr>
          <w:rStyle w:val="VerbatimChar"/>
        </w:rPr>
        <w:t>E9_Déplacement</w:t>
      </w:r>
      <w:r>
        <w:t xml:space="preserve">, </w:t>
      </w:r>
      <w:r>
        <w:rPr>
          <w:rStyle w:val="VerbatimChar"/>
        </w:rPr>
        <w:t>P26_Move_to</w:t>
      </w:r>
      <w:r>
        <w:t xml:space="preserve">, </w:t>
      </w:r>
      <w:r>
        <w:rPr>
          <w:rStyle w:val="VerbatimChar"/>
        </w:rPr>
        <w:t>P26_a_déplacé_vers</w:t>
      </w:r>
      <w:r>
        <w:t>,</w:t>
      </w:r>
      <w:r>
        <w:rPr>
          <w:rStyle w:val="VerbatimChar"/>
        </w:rPr>
        <w:t xml:space="preserve"> E53_Lieu</w:t>
      </w:r>
      <w:r>
        <w:t>, si et seulement si ce déplacement est le plus récent.</w:t>
      </w:r>
    </w:p>
    <w:p w14:paraId="4D88B917" w14:textId="77777777" w:rsidR="0084489F" w:rsidRDefault="00110FE6">
      <w:pPr>
        <w:pStyle w:val="BodyText"/>
      </w:pPr>
      <w:r>
        <w:rPr>
          <w:b/>
          <w:bCs/>
        </w:rPr>
        <w:t>Exemples</w:t>
      </w:r>
    </w:p>
    <w:p w14:paraId="11318398" w14:textId="77777777" w:rsidR="0084489F" w:rsidRDefault="00110FE6" w:rsidP="00806324">
      <w:pPr>
        <w:numPr>
          <w:ilvl w:val="0"/>
          <w:numId w:val="189"/>
        </w:numPr>
      </w:pPr>
      <w:r>
        <w:t>La coupe en argent « 232 » (</w:t>
      </w:r>
      <w:r>
        <w:rPr>
          <w:rStyle w:val="VerbatimChar"/>
        </w:rPr>
        <w:t>E22_Objet_élaboré_par_l’humain</w:t>
      </w:r>
      <w:r>
        <w:t>) a actuellement pour localisation (</w:t>
      </w:r>
      <w:r>
        <w:rPr>
          <w:rStyle w:val="VerbatimChar"/>
        </w:rPr>
        <w:t>P55_a_actuellement_pour_localisation</w:t>
      </w:r>
      <w:r>
        <w:t>) la Vitrine n</w:t>
      </w:r>
      <w:r>
        <w:rPr>
          <w:vertAlign w:val="superscript"/>
        </w:rPr>
        <w:t>o</w:t>
      </w:r>
      <w:r>
        <w:t xml:space="preserve"> 23 dans la salle n</w:t>
      </w:r>
      <w:r>
        <w:rPr>
          <w:vertAlign w:val="superscript"/>
        </w:rPr>
        <w:t>o</w:t>
      </w:r>
      <w:r>
        <w:t xml:space="preserve"> 4 du British Museum (</w:t>
      </w:r>
      <w:r>
        <w:rPr>
          <w:rStyle w:val="VerbatimChar"/>
        </w:rPr>
        <w:t>E53_Lieu</w:t>
      </w:r>
      <w:r>
        <w:t>) (fictif)</w:t>
      </w:r>
    </w:p>
    <w:p w14:paraId="339228B3" w14:textId="77777777" w:rsidR="0084489F" w:rsidRDefault="00110FE6">
      <w:pPr>
        <w:pStyle w:val="FirstParagraph"/>
      </w:pPr>
      <w:r>
        <w:rPr>
          <w:b/>
          <w:bCs/>
        </w:rPr>
        <w:t>Logique</w:t>
      </w:r>
    </w:p>
    <w:p w14:paraId="093023A3" w14:textId="77777777" w:rsidR="0084489F" w:rsidRDefault="00110FE6">
      <w:pPr>
        <w:pStyle w:val="BodyText"/>
      </w:pPr>
      <w:r w:rsidRPr="1B9E7434">
        <w:rPr>
          <w:lang w:val="fr-FR"/>
        </w:rPr>
        <w:t>P55(x,y) ⇒ E19(x)</w:t>
      </w:r>
    </w:p>
    <w:p w14:paraId="16D3D811" w14:textId="77777777" w:rsidR="0084489F" w:rsidRDefault="00110FE6">
      <w:pPr>
        <w:pStyle w:val="BodyText"/>
      </w:pPr>
      <w:r w:rsidRPr="1B9E7434">
        <w:rPr>
          <w:lang w:val="fr-FR"/>
        </w:rPr>
        <w:t>P55(x,y) ⇒ E53(y)</w:t>
      </w:r>
    </w:p>
    <w:p w14:paraId="5814D253" w14:textId="77777777" w:rsidR="0084489F" w:rsidRDefault="00110FE6">
      <w:pPr>
        <w:pStyle w:val="BodyText"/>
      </w:pPr>
      <w:r w:rsidRPr="1B9E7434">
        <w:rPr>
          <w:lang w:val="fr-FR"/>
        </w:rPr>
        <w:t>P55(x,y) ⇒ P53(x,y)</w:t>
      </w:r>
    </w:p>
    <w:p w14:paraId="31D5A54D" w14:textId="77777777" w:rsidR="0084489F" w:rsidRDefault="00110FE6">
      <w:pPr>
        <w:pStyle w:val="BodyText"/>
      </w:pPr>
      <w:r w:rsidRPr="1B9E7434">
        <w:rPr>
          <w:lang w:val="fr-FR"/>
        </w:rPr>
        <w:t>P55(x,y) ⇐ (∃z) [ [E9(z) ˄ P25i(x,z) ˄ P26(z,y)]</w:t>
      </w:r>
    </w:p>
    <w:p w14:paraId="6C334B12" w14:textId="77777777" w:rsidR="0084489F" w:rsidRDefault="00110FE6">
      <w:pPr>
        <w:pStyle w:val="BodyText"/>
      </w:pPr>
      <w:r w:rsidRPr="1B9E7434">
        <w:rPr>
          <w:lang w:val="fr-FR"/>
        </w:rPr>
        <w:t>˄ ¬​ (∃w) [E9(w) ˄ P25i(x,w) ˄ P27(w,y)˄ P182(z,w)]]​</w:t>
      </w:r>
    </w:p>
    <w:p w14:paraId="06D3D20D" w14:textId="77777777" w:rsidR="0084489F" w:rsidRDefault="00110FE6">
      <w:pPr>
        <w:pStyle w:val="BodyText"/>
      </w:pPr>
      <w:r>
        <w:rPr>
          <w:b/>
          <w:bCs/>
        </w:rPr>
        <w:t>Propriétés</w:t>
      </w:r>
    </w:p>
    <w:p w14:paraId="072DEE67" w14:textId="77777777" w:rsidR="0084489F" w:rsidRDefault="00110FE6">
      <w:pPr>
        <w:pStyle w:val="BlockText"/>
      </w:pPr>
      <w:r>
        <w:rPr>
          <w:b/>
          <w:bCs/>
          <w:i/>
          <w:iCs/>
        </w:rPr>
        <w:t>Note de traduction</w:t>
      </w:r>
    </w:p>
    <w:p w14:paraId="081FA94F" w14:textId="77777777" w:rsidR="0084489F" w:rsidRDefault="00110FE6">
      <w:pPr>
        <w:pStyle w:val="BlockText"/>
      </w:pPr>
      <w:r>
        <w:rPr>
          <w:b/>
          <w:bCs/>
          <w:i/>
          <w:iCs/>
        </w:rPr>
        <w:t>Références</w:t>
      </w:r>
    </w:p>
    <w:p w14:paraId="6C9C3FBA" w14:textId="77777777" w:rsidR="0084489F" w:rsidRDefault="00110FE6">
      <w:pPr>
        <w:pStyle w:val="Heading2"/>
      </w:pPr>
      <w:bookmarkStart w:id="376" w:name="_Toc176864568"/>
      <w:bookmarkStart w:id="377" w:name="Xba4e73811e622c32eac77a3cdad7af748ad52ae"/>
      <w:bookmarkEnd w:id="375"/>
      <w:r>
        <w:lastRenderedPageBreak/>
        <w:t>P56 a pour caractéristique (se trouve sur)</w:t>
      </w:r>
      <w:bookmarkEnd w:id="376"/>
    </w:p>
    <w:p w14:paraId="4145BC7B" w14:textId="77777777" w:rsidR="0084489F" w:rsidRDefault="00110FE6">
      <w:pPr>
        <w:pStyle w:val="FirstParagraph"/>
      </w:pPr>
      <w:r>
        <w:rPr>
          <w:b/>
          <w:bCs/>
        </w:rPr>
        <w:t>Domaine</w:t>
      </w:r>
    </w:p>
    <w:p w14:paraId="2B5C828B" w14:textId="77777777" w:rsidR="0084489F" w:rsidRDefault="00110FE6">
      <w:pPr>
        <w:pStyle w:val="BodyText"/>
      </w:pPr>
      <w:r>
        <w:rPr>
          <w:rStyle w:val="VerbatimChar"/>
        </w:rPr>
        <w:t>E19_Objet_matériel</w:t>
      </w:r>
    </w:p>
    <w:p w14:paraId="1708C964" w14:textId="77777777" w:rsidR="0084489F" w:rsidRDefault="00110FE6">
      <w:pPr>
        <w:pStyle w:val="BodyText"/>
      </w:pPr>
      <w:r>
        <w:rPr>
          <w:b/>
          <w:bCs/>
        </w:rPr>
        <w:t>Portée</w:t>
      </w:r>
    </w:p>
    <w:p w14:paraId="4722D253" w14:textId="77777777" w:rsidR="0084489F" w:rsidRDefault="00110FE6">
      <w:pPr>
        <w:pStyle w:val="BodyText"/>
      </w:pPr>
      <w:r>
        <w:rPr>
          <w:rStyle w:val="VerbatimChar"/>
        </w:rPr>
        <w:t>E26_Caractéristique_physique</w:t>
      </w:r>
    </w:p>
    <w:p w14:paraId="1DEBA18E" w14:textId="77777777" w:rsidR="0084489F" w:rsidRDefault="00110FE6">
      <w:pPr>
        <w:pStyle w:val="BodyText"/>
      </w:pPr>
      <w:r>
        <w:rPr>
          <w:b/>
          <w:bCs/>
        </w:rPr>
        <w:t>Sous-propriété de</w:t>
      </w:r>
    </w:p>
    <w:p w14:paraId="73A19189"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P46_est_composé_de (fait_partie_de)</w:t>
      </w:r>
      <w:r w:rsidRPr="1B9E7434">
        <w:rPr>
          <w:lang w:val="fr-FR"/>
        </w:rPr>
        <w:t xml:space="preserve"> : </w:t>
      </w:r>
      <w:r w:rsidRPr="1B9E7434">
        <w:rPr>
          <w:rStyle w:val="VerbatimChar"/>
          <w:lang w:val="fr-FR"/>
        </w:rPr>
        <w:t>E18_Chose_matérielle</w:t>
      </w:r>
    </w:p>
    <w:p w14:paraId="18592384" w14:textId="77777777" w:rsidR="0084489F" w:rsidRDefault="00110FE6">
      <w:pPr>
        <w:pStyle w:val="BodyText"/>
      </w:pPr>
      <w:r>
        <w:rPr>
          <w:b/>
          <w:bCs/>
        </w:rPr>
        <w:t>Super-propriété de</w:t>
      </w:r>
    </w:p>
    <w:p w14:paraId="2EB4446A" w14:textId="77777777" w:rsidR="0084489F" w:rsidRDefault="00110FE6">
      <w:pPr>
        <w:pStyle w:val="BodyText"/>
      </w:pPr>
      <w:r>
        <w:rPr>
          <w:b/>
          <w:bCs/>
        </w:rPr>
        <w:t>Quantification</w:t>
      </w:r>
    </w:p>
    <w:p w14:paraId="54B15898" w14:textId="77777777" w:rsidR="0084489F" w:rsidRDefault="00110FE6">
      <w:pPr>
        <w:pStyle w:val="BodyText"/>
      </w:pPr>
      <w:r w:rsidRPr="1B9E7434">
        <w:rPr>
          <w:lang w:val="fr-FR"/>
        </w:rPr>
        <w:t>un à plusieurs, dépendant (0,n:1,1)</w:t>
      </w:r>
    </w:p>
    <w:p w14:paraId="32A0A100" w14:textId="77777777" w:rsidR="0084489F" w:rsidRDefault="00110FE6">
      <w:pPr>
        <w:pStyle w:val="BodyText"/>
      </w:pPr>
      <w:r>
        <w:rPr>
          <w:b/>
          <w:bCs/>
        </w:rPr>
        <w:t>Note d’application</w:t>
      </w:r>
    </w:p>
    <w:p w14:paraId="574D5869" w14:textId="77777777" w:rsidR="0084489F" w:rsidRDefault="00110FE6">
      <w:pPr>
        <w:pStyle w:val="BodyText"/>
      </w:pPr>
      <w:r>
        <w:t xml:space="preserve">Cette propriété lie une instance de </w:t>
      </w:r>
      <w:r>
        <w:rPr>
          <w:rStyle w:val="VerbatimChar"/>
        </w:rPr>
        <w:t>E19_Objet_matériel</w:t>
      </w:r>
      <w:r>
        <w:t xml:space="preserve"> à une instance de </w:t>
      </w:r>
      <w:r>
        <w:rPr>
          <w:rStyle w:val="VerbatimChar"/>
        </w:rPr>
        <w:t>E26_Caractéristique_physique</w:t>
      </w:r>
      <w:r>
        <w:t xml:space="preserve"> qu’elle porte.</w:t>
      </w:r>
    </w:p>
    <w:p w14:paraId="4D45A510" w14:textId="77777777" w:rsidR="0084489F" w:rsidRDefault="00110FE6">
      <w:pPr>
        <w:pStyle w:val="BodyText"/>
      </w:pPr>
      <w:r>
        <w:t xml:space="preserve">Une instance de </w:t>
      </w:r>
      <w:r>
        <w:rPr>
          <w:rStyle w:val="VerbatimChar"/>
        </w:rPr>
        <w:t>E26_Caractéristique_physique</w:t>
      </w:r>
    </w:p>
    <w:p w14:paraId="03DA2664" w14:textId="77777777" w:rsidR="0084489F" w:rsidRDefault="00110FE6">
      <w:pPr>
        <w:pStyle w:val="BodyText"/>
      </w:pPr>
      <w:r w:rsidRPr="1B9E7434">
        <w:rPr>
          <w:lang w:val="fr-FR"/>
        </w:rPr>
        <w:t xml:space="preserve">peut seulement caractériser un objet. Un objet peut être porteur de plus d’une </w:t>
      </w:r>
      <w:r w:rsidRPr="1B9E7434">
        <w:rPr>
          <w:rStyle w:val="VerbatimChar"/>
          <w:lang w:val="fr-FR"/>
        </w:rPr>
        <w:t>E26_Caractéristique_physique</w:t>
      </w:r>
      <w:r w:rsidRPr="1B9E7434">
        <w:rPr>
          <w:lang w:val="fr-FR"/>
        </w:rPr>
        <w:t xml:space="preserve">. Une instance de </w:t>
      </w:r>
      <w:r w:rsidRPr="1B9E7434">
        <w:rPr>
          <w:rStyle w:val="VerbatimChar"/>
          <w:lang w:val="fr-FR"/>
        </w:rPr>
        <w:t>E27_Site</w:t>
      </w:r>
      <w:r w:rsidRPr="1B9E7434">
        <w:rPr>
          <w:lang w:val="fr-FR"/>
        </w:rPr>
        <w:t xml:space="preserve"> devrait être considérée comme une instance de </w:t>
      </w:r>
      <w:r w:rsidRPr="1B9E7434">
        <w:rPr>
          <w:rStyle w:val="VerbatimChar"/>
          <w:lang w:val="fr-FR"/>
        </w:rPr>
        <w:t>E26_Caractéristique_physique</w:t>
      </w:r>
      <w:r w:rsidRPr="1B9E7434">
        <w:rPr>
          <w:lang w:val="fr-FR"/>
        </w:rPr>
        <w:t xml:space="preserve"> à la surface de la Terre.</w:t>
      </w:r>
    </w:p>
    <w:p w14:paraId="62FF7A0E" w14:textId="77777777" w:rsidR="0084489F" w:rsidRDefault="00110FE6">
      <w:pPr>
        <w:pStyle w:val="BodyText"/>
      </w:pPr>
      <w:r w:rsidRPr="1B9E7434">
        <w:rPr>
          <w:lang w:val="fr-FR"/>
        </w:rPr>
        <w:t xml:space="preserve">Une instance B de </w:t>
      </w:r>
      <w:r w:rsidRPr="1B9E7434">
        <w:rPr>
          <w:rStyle w:val="VerbatimChar"/>
          <w:lang w:val="fr-FR"/>
        </w:rPr>
        <w:t>E26_Caractéristique_physique</w:t>
      </w:r>
      <w:r w:rsidRPr="1B9E7434">
        <w:rPr>
          <w:lang w:val="fr-FR"/>
        </w:rPr>
        <w:t xml:space="preserve"> étant un détail structurel d’une instance A de </w:t>
      </w:r>
      <w:r w:rsidRPr="1B9E7434">
        <w:rPr>
          <w:rStyle w:val="VerbatimChar"/>
          <w:lang w:val="fr-FR"/>
        </w:rPr>
        <w:t>E26_Caractéristique_physique</w:t>
      </w:r>
      <w:r w:rsidRPr="1B9E7434">
        <w:rPr>
          <w:lang w:val="fr-FR"/>
        </w:rPr>
        <w:t xml:space="preserve">, celle-ci peut être liée à l’instance B par l’utilisation de la propriété </w:t>
      </w:r>
      <w:r w:rsidRPr="1B9E7434">
        <w:rPr>
          <w:rStyle w:val="VerbatimChar"/>
          <w:lang w:val="fr-FR"/>
        </w:rPr>
        <w:t>P46_est_composé_de (fait_partie_de)</w:t>
      </w:r>
      <w:r w:rsidRPr="1B9E7434">
        <w:rPr>
          <w:lang w:val="fr-FR"/>
        </w:rPr>
        <w:t>. Cela implique que la sous-caractéristique de l’instance B (</w:t>
      </w:r>
      <w:r w:rsidRPr="1B9E7434">
        <w:rPr>
          <w:rStyle w:val="VerbatimChar"/>
          <w:lang w:val="fr-FR"/>
        </w:rPr>
        <w:t>P56i_se_trouve_sur</w:t>
      </w:r>
      <w:r w:rsidRPr="1B9E7434">
        <w:rPr>
          <w:lang w:val="fr-FR"/>
        </w:rPr>
        <w:t>) se trouve sur le même objet matériel (</w:t>
      </w:r>
      <w:r w:rsidRPr="1B9E7434">
        <w:rPr>
          <w:rStyle w:val="VerbatimChar"/>
          <w:lang w:val="fr-FR"/>
        </w:rPr>
        <w:t>E19_Objet_matériel</w:t>
      </w:r>
      <w:r w:rsidRPr="1B9E7434">
        <w:rPr>
          <w:lang w:val="fr-FR"/>
        </w:rPr>
        <w:t>) que l’instance A.</w:t>
      </w:r>
    </w:p>
    <w:p w14:paraId="7DFA5FF8" w14:textId="77777777" w:rsidR="0084489F" w:rsidRDefault="00110FE6">
      <w:pPr>
        <w:pStyle w:val="BodyText"/>
      </w:pPr>
      <w:r w:rsidRPr="1B9E7434">
        <w:rPr>
          <w:lang w:val="fr-FR"/>
        </w:rPr>
        <w:t xml:space="preserve">Cette propriété est un raccourci du chemin sémantique suivant : </w:t>
      </w:r>
      <w:r w:rsidRPr="1B9E7434">
        <w:rPr>
          <w:rStyle w:val="VerbatimChar"/>
          <w:lang w:val="fr-FR"/>
        </w:rPr>
        <w:t>E19_Objet_matériel</w:t>
      </w:r>
      <w:r w:rsidRPr="1B9E7434">
        <w:rPr>
          <w:lang w:val="fr-FR"/>
        </w:rPr>
        <w:t xml:space="preserve">, </w:t>
      </w:r>
      <w:r w:rsidRPr="1B9E7434">
        <w:rPr>
          <w:rStyle w:val="VerbatimChar"/>
          <w:lang w:val="fr-FR"/>
        </w:rPr>
        <w:t>P59_a_pour_section (se_situe_sur_ou_dans)</w:t>
      </w:r>
      <w:r w:rsidRPr="1B9E7434">
        <w:rPr>
          <w:lang w:val="fr-FR"/>
        </w:rPr>
        <w:t xml:space="preserve">, </w:t>
      </w:r>
      <w:r w:rsidRPr="1B9E7434">
        <w:rPr>
          <w:rStyle w:val="VerbatimChar"/>
          <w:lang w:val="fr-FR"/>
        </w:rPr>
        <w:t>E53_Lieu</w:t>
      </w:r>
      <w:r w:rsidRPr="1B9E7434">
        <w:rPr>
          <w:lang w:val="fr-FR"/>
        </w:rPr>
        <w:t xml:space="preserve">, </w:t>
      </w:r>
      <w:r w:rsidRPr="1B9E7434">
        <w:rPr>
          <w:rStyle w:val="VerbatimChar"/>
          <w:lang w:val="fr-FR"/>
        </w:rPr>
        <w:t>P53i_est_la_localisation_actuelle_ou_antérieure_de</w:t>
      </w:r>
      <w:r w:rsidRPr="1B9E7434">
        <w:rPr>
          <w:lang w:val="fr-FR"/>
        </w:rPr>
        <w:t xml:space="preserve">, </w:t>
      </w:r>
      <w:r w:rsidRPr="1B9E7434">
        <w:rPr>
          <w:rStyle w:val="VerbatimChar"/>
          <w:lang w:val="fr-FR"/>
        </w:rPr>
        <w:t>E26_Caractéristique_physique</w:t>
      </w:r>
      <w:r w:rsidRPr="1B9E7434">
        <w:rPr>
          <w:lang w:val="fr-FR"/>
        </w:rPr>
        <w:t>.</w:t>
      </w:r>
    </w:p>
    <w:p w14:paraId="0940BB16" w14:textId="77777777" w:rsidR="0084489F" w:rsidRDefault="00110FE6">
      <w:pPr>
        <w:pStyle w:val="BodyText"/>
      </w:pPr>
      <w:r>
        <w:rPr>
          <w:b/>
          <w:bCs/>
        </w:rPr>
        <w:t>Exemples</w:t>
      </w:r>
    </w:p>
    <w:p w14:paraId="1355F690" w14:textId="77777777" w:rsidR="0084489F" w:rsidRDefault="00110FE6" w:rsidP="00806324">
      <w:pPr>
        <w:numPr>
          <w:ilvl w:val="0"/>
          <w:numId w:val="190"/>
        </w:numPr>
      </w:pPr>
      <w:r>
        <w:t>La coupe en argent « 232 » (</w:t>
      </w:r>
      <w:r>
        <w:rPr>
          <w:rStyle w:val="VerbatimChar"/>
        </w:rPr>
        <w:t>E22_Objet_élaboré_par_l’humain</w:t>
      </w:r>
      <w:r>
        <w:t>) a pour caractéristique (</w:t>
      </w:r>
      <w:r>
        <w:rPr>
          <w:rStyle w:val="VerbatimChar"/>
        </w:rPr>
        <w:t>P56_a_pour_caractéristique</w:t>
      </w:r>
      <w:r>
        <w:t>) une rayure se trouvant sur la coupe en argent « 232 » (</w:t>
      </w:r>
      <w:r>
        <w:rPr>
          <w:rStyle w:val="VerbatimChar"/>
        </w:rPr>
        <w:t>E26_Caractéristique_physique</w:t>
      </w:r>
      <w:r>
        <w:t>) (fictif)</w:t>
      </w:r>
    </w:p>
    <w:p w14:paraId="63E0B54C" w14:textId="77777777" w:rsidR="0084489F" w:rsidRDefault="00110FE6">
      <w:pPr>
        <w:pStyle w:val="FirstParagraph"/>
      </w:pPr>
      <w:r>
        <w:rPr>
          <w:b/>
          <w:bCs/>
        </w:rPr>
        <w:t>Logique</w:t>
      </w:r>
    </w:p>
    <w:p w14:paraId="3E980D49" w14:textId="77777777" w:rsidR="0084489F" w:rsidRDefault="00110FE6">
      <w:pPr>
        <w:pStyle w:val="BodyText"/>
      </w:pPr>
      <w:r w:rsidRPr="1B9E7434">
        <w:rPr>
          <w:lang w:val="fr-FR"/>
        </w:rPr>
        <w:t>P56(x,y) ⇒E19(x)</w:t>
      </w:r>
    </w:p>
    <w:p w14:paraId="6A4279D7" w14:textId="77777777" w:rsidR="0084489F" w:rsidRDefault="00110FE6">
      <w:pPr>
        <w:pStyle w:val="BodyText"/>
      </w:pPr>
      <w:r w:rsidRPr="1B9E7434">
        <w:rPr>
          <w:lang w:val="fr-FR"/>
        </w:rPr>
        <w:t>P56(x,y) ⇒ E26(y)</w:t>
      </w:r>
    </w:p>
    <w:p w14:paraId="13492285" w14:textId="77777777" w:rsidR="0084489F" w:rsidRDefault="00110FE6">
      <w:pPr>
        <w:pStyle w:val="BodyText"/>
      </w:pPr>
      <w:r w:rsidRPr="1B9E7434">
        <w:rPr>
          <w:lang w:val="fr-FR"/>
        </w:rPr>
        <w:t>P56(x,y) ⇒ P46(x,y)</w:t>
      </w:r>
    </w:p>
    <w:p w14:paraId="77BE13FE" w14:textId="77777777" w:rsidR="0084489F" w:rsidRDefault="00110FE6">
      <w:pPr>
        <w:pStyle w:val="BodyText"/>
      </w:pPr>
      <w:r w:rsidRPr="1B9E7434">
        <w:rPr>
          <w:lang w:val="fr-FR"/>
        </w:rPr>
        <w:t>P56(x,y) ⇐ (∃z) [E53(z) ˄ P59(x,z) ˄ P53i(z,y)]</w:t>
      </w:r>
    </w:p>
    <w:p w14:paraId="5211E2A5" w14:textId="77777777" w:rsidR="0084489F" w:rsidRDefault="00110FE6">
      <w:pPr>
        <w:pStyle w:val="BodyText"/>
      </w:pPr>
      <w:r>
        <w:rPr>
          <w:b/>
          <w:bCs/>
        </w:rPr>
        <w:t>Propriétés</w:t>
      </w:r>
    </w:p>
    <w:p w14:paraId="1330B906" w14:textId="77777777" w:rsidR="0084489F" w:rsidRDefault="00110FE6">
      <w:pPr>
        <w:pStyle w:val="BlockText"/>
      </w:pPr>
      <w:r>
        <w:rPr>
          <w:b/>
          <w:bCs/>
          <w:i/>
          <w:iCs/>
        </w:rPr>
        <w:t>Note de traduction</w:t>
      </w:r>
    </w:p>
    <w:p w14:paraId="4F36CFEE" w14:textId="77777777" w:rsidR="0084489F" w:rsidRDefault="00110FE6">
      <w:pPr>
        <w:pStyle w:val="BlockText"/>
      </w:pPr>
      <w:r>
        <w:rPr>
          <w:b/>
          <w:bCs/>
          <w:i/>
          <w:iCs/>
        </w:rPr>
        <w:lastRenderedPageBreak/>
        <w:t>Références</w:t>
      </w:r>
    </w:p>
    <w:p w14:paraId="04D3B282" w14:textId="77777777" w:rsidR="0084489F" w:rsidRDefault="0084489F">
      <w:pPr>
        <w:pStyle w:val="BlockText"/>
      </w:pPr>
    </w:p>
    <w:p w14:paraId="4873DEEC" w14:textId="77777777" w:rsidR="0084489F" w:rsidRDefault="00110FE6">
      <w:pPr>
        <w:pStyle w:val="Heading2"/>
      </w:pPr>
      <w:bookmarkStart w:id="378" w:name="_Toc176864569"/>
      <w:bookmarkStart w:id="379" w:name="p57-a-pour-nombre-delements"/>
      <w:bookmarkEnd w:id="377"/>
      <w:r>
        <w:t>P57 a pour nombre d’éléments</w:t>
      </w:r>
      <w:bookmarkEnd w:id="378"/>
    </w:p>
    <w:p w14:paraId="203BD855" w14:textId="77777777" w:rsidR="0084489F" w:rsidRDefault="00110FE6">
      <w:pPr>
        <w:pStyle w:val="FirstParagraph"/>
      </w:pPr>
      <w:r>
        <w:rPr>
          <w:b/>
          <w:bCs/>
        </w:rPr>
        <w:t>Domaine</w:t>
      </w:r>
    </w:p>
    <w:p w14:paraId="32E6EB21" w14:textId="77777777" w:rsidR="0084489F" w:rsidRDefault="00110FE6">
      <w:pPr>
        <w:pStyle w:val="BodyText"/>
      </w:pPr>
      <w:r>
        <w:rPr>
          <w:rStyle w:val="VerbatimChar"/>
        </w:rPr>
        <w:t>E19_Objet_matériel</w:t>
      </w:r>
    </w:p>
    <w:p w14:paraId="5FD717F2" w14:textId="77777777" w:rsidR="0084489F" w:rsidRDefault="00110FE6">
      <w:pPr>
        <w:pStyle w:val="BodyText"/>
      </w:pPr>
      <w:r>
        <w:rPr>
          <w:b/>
          <w:bCs/>
        </w:rPr>
        <w:t>Portée</w:t>
      </w:r>
    </w:p>
    <w:p w14:paraId="59BE7947" w14:textId="77777777" w:rsidR="0084489F" w:rsidRDefault="00110FE6">
      <w:pPr>
        <w:pStyle w:val="BodyText"/>
      </w:pPr>
      <w:r>
        <w:rPr>
          <w:rStyle w:val="VerbatimChar"/>
        </w:rPr>
        <w:t>E60_Nombre</w:t>
      </w:r>
    </w:p>
    <w:p w14:paraId="7B3F74E0" w14:textId="77777777" w:rsidR="0084489F" w:rsidRDefault="00110FE6">
      <w:pPr>
        <w:pStyle w:val="BodyText"/>
      </w:pPr>
      <w:r>
        <w:rPr>
          <w:b/>
          <w:bCs/>
        </w:rPr>
        <w:t>Sous-propriété de</w:t>
      </w:r>
    </w:p>
    <w:p w14:paraId="4C73BEA5" w14:textId="77777777" w:rsidR="0084489F" w:rsidRDefault="00110FE6">
      <w:pPr>
        <w:pStyle w:val="BodyText"/>
      </w:pPr>
      <w:r>
        <w:rPr>
          <w:b/>
          <w:bCs/>
        </w:rPr>
        <w:t>Super-propriété de</w:t>
      </w:r>
    </w:p>
    <w:p w14:paraId="0F6590CB" w14:textId="77777777" w:rsidR="0084489F" w:rsidRDefault="00110FE6">
      <w:pPr>
        <w:pStyle w:val="BodyText"/>
      </w:pPr>
      <w:r>
        <w:rPr>
          <w:b/>
          <w:bCs/>
        </w:rPr>
        <w:t>Quantification</w:t>
      </w:r>
    </w:p>
    <w:p w14:paraId="46706ED9" w14:textId="77777777" w:rsidR="0084489F" w:rsidRDefault="00110FE6">
      <w:pPr>
        <w:pStyle w:val="BodyText"/>
      </w:pPr>
      <w:r w:rsidRPr="1B9E7434">
        <w:rPr>
          <w:lang w:val="fr-FR"/>
        </w:rPr>
        <w:t>plusieurs à un (0,1:0,n)</w:t>
      </w:r>
    </w:p>
    <w:p w14:paraId="62595006" w14:textId="77777777" w:rsidR="0084489F" w:rsidRDefault="00110FE6">
      <w:pPr>
        <w:pStyle w:val="BodyText"/>
      </w:pPr>
      <w:r>
        <w:rPr>
          <w:b/>
          <w:bCs/>
        </w:rPr>
        <w:t>Note d’application</w:t>
      </w:r>
    </w:p>
    <w:p w14:paraId="175FE42D" w14:textId="77777777" w:rsidR="0084489F" w:rsidRDefault="00110FE6">
      <w:pPr>
        <w:pStyle w:val="BodyText"/>
      </w:pPr>
      <w:r>
        <w:t xml:space="preserve">Cette propriété documente le nombre de parties, par une instance de </w:t>
      </w:r>
      <w:r>
        <w:rPr>
          <w:rStyle w:val="VerbatimChar"/>
        </w:rPr>
        <w:t>E60_Nombre</w:t>
      </w:r>
      <w:r>
        <w:t xml:space="preserve">, qui composent une instance de </w:t>
      </w:r>
      <w:r>
        <w:rPr>
          <w:rStyle w:val="VerbatimChar"/>
        </w:rPr>
        <w:t>E19_Objet_matériel</w:t>
      </w:r>
      <w:r>
        <w:t>.</w:t>
      </w:r>
    </w:p>
    <w:p w14:paraId="54C15EB3" w14:textId="77777777" w:rsidR="0084489F" w:rsidRDefault="00110FE6">
      <w:pPr>
        <w:pStyle w:val="BodyText"/>
      </w:pPr>
      <w:r>
        <w:t>Cette méthode peut être utilisée afin de procéder à un contrôle des inventaires d'objets de nature collective ou agrégée. Ce qui constitue une partie ou un élément composant dépend du contexte et des exigences de la documentation. Normalement, les parties ainsi documentées ne devraient pas être considérées dignes qu'on leur porte individuellement attention.</w:t>
      </w:r>
    </w:p>
    <w:p w14:paraId="195AD664" w14:textId="77777777" w:rsidR="0084489F" w:rsidRDefault="00110FE6">
      <w:pPr>
        <w:pStyle w:val="BodyText"/>
      </w:pPr>
      <w:r w:rsidRPr="1B9E7434">
        <w:rPr>
          <w:lang w:val="fr-FR"/>
        </w:rPr>
        <w:t xml:space="preserve">Pour une description plus complète, les objets peuvent être divisés en éléments constitutifs ou composants à l'aide de </w:t>
      </w:r>
      <w:r w:rsidRPr="1B9E7434">
        <w:rPr>
          <w:rStyle w:val="VerbatimChar"/>
          <w:lang w:val="fr-FR"/>
        </w:rPr>
        <w:t>P45_comprend (est_inclus_dans)</w:t>
      </w:r>
      <w:r w:rsidRPr="1B9E7434">
        <w:rPr>
          <w:lang w:val="fr-FR"/>
        </w:rPr>
        <w:t xml:space="preserve"> et de </w:t>
      </w:r>
      <w:r w:rsidRPr="1B9E7434">
        <w:rPr>
          <w:rStyle w:val="VerbatimChar"/>
          <w:lang w:val="fr-FR"/>
        </w:rPr>
        <w:t>P46_est_composé_de (fait_partie_de)</w:t>
      </w:r>
      <w:r w:rsidRPr="1B9E7434">
        <w:rPr>
          <w:lang w:val="fr-FR"/>
        </w:rPr>
        <w:t>. Cela permet de décrire individuellement chaque élément.</w:t>
      </w:r>
    </w:p>
    <w:p w14:paraId="4CDF7A3E" w14:textId="77777777" w:rsidR="0084489F" w:rsidRDefault="00110FE6">
      <w:pPr>
        <w:pStyle w:val="BodyText"/>
      </w:pPr>
      <w:r>
        <w:rPr>
          <w:b/>
          <w:bCs/>
        </w:rPr>
        <w:t>Exemples</w:t>
      </w:r>
    </w:p>
    <w:p w14:paraId="3461740A" w14:textId="77777777" w:rsidR="0084489F" w:rsidRDefault="00110FE6" w:rsidP="00806324">
      <w:pPr>
        <w:numPr>
          <w:ilvl w:val="0"/>
          <w:numId w:val="191"/>
        </w:numPr>
      </w:pPr>
      <w:r>
        <w:t>Le jeu d'échecs « 233 » a pour nombre d'éléments (</w:t>
      </w:r>
      <w:r>
        <w:rPr>
          <w:rStyle w:val="VerbatimChar"/>
        </w:rPr>
        <w:t>P57_a_pour_nombre_d’éléments</w:t>
      </w:r>
      <w:r>
        <w:t>) 33 (</w:t>
      </w:r>
      <w:r>
        <w:rPr>
          <w:rStyle w:val="VerbatimChar"/>
        </w:rPr>
        <w:t>E60_Nombre</w:t>
      </w:r>
      <w:r>
        <w:t>) (fictif)</w:t>
      </w:r>
    </w:p>
    <w:p w14:paraId="19AD8378" w14:textId="77777777" w:rsidR="0084489F" w:rsidRDefault="00110FE6">
      <w:pPr>
        <w:pStyle w:val="FirstParagraph"/>
      </w:pPr>
      <w:r>
        <w:rPr>
          <w:b/>
          <w:bCs/>
        </w:rPr>
        <w:t>Logique</w:t>
      </w:r>
    </w:p>
    <w:p w14:paraId="30995249" w14:textId="77777777" w:rsidR="0084489F" w:rsidRDefault="00110FE6">
      <w:pPr>
        <w:pStyle w:val="BodyText"/>
      </w:pPr>
      <w:r w:rsidRPr="1B9E7434">
        <w:rPr>
          <w:lang w:val="fr-FR"/>
        </w:rPr>
        <w:t>P57(x,y) ⇒ E19(x)</w:t>
      </w:r>
    </w:p>
    <w:p w14:paraId="04F67D22" w14:textId="77777777" w:rsidR="0084489F" w:rsidRDefault="00110FE6">
      <w:pPr>
        <w:pStyle w:val="BodyText"/>
      </w:pPr>
      <w:r w:rsidRPr="1B9E7434">
        <w:rPr>
          <w:lang w:val="fr-FR"/>
        </w:rPr>
        <w:t>P57(x,y) ⇒ E60(y)</w:t>
      </w:r>
    </w:p>
    <w:p w14:paraId="7F2B472E" w14:textId="77777777" w:rsidR="0084489F" w:rsidRDefault="00110FE6">
      <w:pPr>
        <w:pStyle w:val="BodyText"/>
      </w:pPr>
      <w:r>
        <w:rPr>
          <w:b/>
          <w:bCs/>
        </w:rPr>
        <w:t>Propriétés</w:t>
      </w:r>
    </w:p>
    <w:p w14:paraId="3A56BB01" w14:textId="77777777" w:rsidR="0084489F" w:rsidRDefault="00110FE6">
      <w:pPr>
        <w:pStyle w:val="BlockText"/>
      </w:pPr>
      <w:r>
        <w:rPr>
          <w:b/>
          <w:bCs/>
          <w:i/>
          <w:iCs/>
        </w:rPr>
        <w:t>Note de traduction</w:t>
      </w:r>
    </w:p>
    <w:p w14:paraId="2C50E29E" w14:textId="77777777" w:rsidR="0084489F" w:rsidRDefault="00110FE6">
      <w:pPr>
        <w:pStyle w:val="BlockText"/>
      </w:pPr>
      <w:r>
        <w:rPr>
          <w:b/>
          <w:bCs/>
          <w:i/>
          <w:iCs/>
        </w:rPr>
        <w:t>Références</w:t>
      </w:r>
    </w:p>
    <w:p w14:paraId="3612854A" w14:textId="77777777" w:rsidR="0084489F" w:rsidRDefault="0084489F">
      <w:pPr>
        <w:pStyle w:val="BlockText"/>
      </w:pPr>
    </w:p>
    <w:p w14:paraId="7F904311" w14:textId="77777777" w:rsidR="0084489F" w:rsidRDefault="00110FE6">
      <w:pPr>
        <w:pStyle w:val="Heading2"/>
      </w:pPr>
      <w:bookmarkStart w:id="380" w:name="_Toc176864570"/>
      <w:bookmarkStart w:id="381" w:name="X2a6f0d8e412814bd28f0faab4c9e8ac54803d0c"/>
      <w:bookmarkEnd w:id="379"/>
      <w:r>
        <w:t>P59 a pour section (se situe sur ou dans)</w:t>
      </w:r>
      <w:bookmarkEnd w:id="380"/>
    </w:p>
    <w:p w14:paraId="5C69E58D" w14:textId="77777777" w:rsidR="0084489F" w:rsidRDefault="00110FE6">
      <w:pPr>
        <w:pStyle w:val="FirstParagraph"/>
      </w:pPr>
      <w:r>
        <w:rPr>
          <w:b/>
          <w:bCs/>
        </w:rPr>
        <w:t>Domaine</w:t>
      </w:r>
    </w:p>
    <w:p w14:paraId="65982E28" w14:textId="77777777" w:rsidR="0084489F" w:rsidRDefault="00110FE6">
      <w:pPr>
        <w:pStyle w:val="BodyText"/>
      </w:pPr>
      <w:r>
        <w:rPr>
          <w:rStyle w:val="VerbatimChar"/>
        </w:rPr>
        <w:t>E18_Chose_matérielle</w:t>
      </w:r>
    </w:p>
    <w:p w14:paraId="1A2FAFDE" w14:textId="77777777" w:rsidR="0084489F" w:rsidRDefault="00110FE6">
      <w:pPr>
        <w:pStyle w:val="BodyText"/>
      </w:pPr>
      <w:r>
        <w:rPr>
          <w:b/>
          <w:bCs/>
        </w:rPr>
        <w:lastRenderedPageBreak/>
        <w:t>Portée</w:t>
      </w:r>
    </w:p>
    <w:p w14:paraId="327A8A60" w14:textId="77777777" w:rsidR="0084489F" w:rsidRDefault="00110FE6">
      <w:pPr>
        <w:pStyle w:val="BodyText"/>
      </w:pPr>
      <w:r>
        <w:rPr>
          <w:rStyle w:val="VerbatimChar"/>
        </w:rPr>
        <w:t>E53_Lieu</w:t>
      </w:r>
    </w:p>
    <w:p w14:paraId="221B5D98" w14:textId="77777777" w:rsidR="0084489F" w:rsidRDefault="00110FE6">
      <w:pPr>
        <w:pStyle w:val="BodyText"/>
      </w:pPr>
      <w:r>
        <w:rPr>
          <w:b/>
          <w:bCs/>
        </w:rPr>
        <w:t>Sous-propriété de</w:t>
      </w:r>
    </w:p>
    <w:p w14:paraId="0EE24618"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P157i_procure_l’espace_de_référence_pour (est_à_l’arrêt_par_rapport_à)</w:t>
      </w:r>
      <w:r w:rsidRPr="1B9E7434">
        <w:rPr>
          <w:lang w:val="fr-FR"/>
        </w:rPr>
        <w:t xml:space="preserve"> : </w:t>
      </w:r>
      <w:r w:rsidRPr="1B9E7434">
        <w:rPr>
          <w:rStyle w:val="VerbatimChar"/>
          <w:lang w:val="fr-FR"/>
        </w:rPr>
        <w:t>E53_Lieu</w:t>
      </w:r>
    </w:p>
    <w:p w14:paraId="19A7D133" w14:textId="77777777" w:rsidR="0084489F" w:rsidRDefault="00110FE6">
      <w:pPr>
        <w:pStyle w:val="BodyText"/>
      </w:pPr>
      <w:r>
        <w:rPr>
          <w:b/>
          <w:bCs/>
        </w:rPr>
        <w:t>Super-propriété de</w:t>
      </w:r>
    </w:p>
    <w:p w14:paraId="56115A22" w14:textId="77777777" w:rsidR="0084489F" w:rsidRDefault="00110FE6">
      <w:pPr>
        <w:pStyle w:val="BodyText"/>
      </w:pPr>
      <w:r>
        <w:rPr>
          <w:b/>
          <w:bCs/>
        </w:rPr>
        <w:t>Quantification</w:t>
      </w:r>
    </w:p>
    <w:p w14:paraId="72BBA490" w14:textId="77777777" w:rsidR="0084489F" w:rsidRDefault="00110FE6">
      <w:pPr>
        <w:pStyle w:val="BodyText"/>
      </w:pPr>
      <w:r w:rsidRPr="1B9E7434">
        <w:rPr>
          <w:lang w:val="fr-FR"/>
        </w:rPr>
        <w:t>plusieurs à plusieurs (0,n:0,n)</w:t>
      </w:r>
    </w:p>
    <w:p w14:paraId="23A51CD4" w14:textId="77777777" w:rsidR="0084489F" w:rsidRDefault="00110FE6">
      <w:pPr>
        <w:pStyle w:val="BodyText"/>
      </w:pPr>
      <w:r>
        <w:rPr>
          <w:b/>
          <w:bCs/>
        </w:rPr>
        <w:t>Note d’application</w:t>
      </w:r>
    </w:p>
    <w:p w14:paraId="104FB5E1" w14:textId="77777777" w:rsidR="0084489F" w:rsidRDefault="00110FE6">
      <w:pPr>
        <w:pStyle w:val="BodyText"/>
      </w:pPr>
      <w:r>
        <w:t xml:space="preserve">Cette propriété lie une zone géographique, c.-à-d. une instance de </w:t>
      </w:r>
      <w:r>
        <w:rPr>
          <w:rStyle w:val="VerbatimChar"/>
        </w:rPr>
        <w:t>E53_Lieu</w:t>
      </w:r>
      <w:r>
        <w:t xml:space="preserve">, à une instance de </w:t>
      </w:r>
      <w:r>
        <w:rPr>
          <w:rStyle w:val="VerbatimChar"/>
        </w:rPr>
        <w:t>E18_Chose_matérielle</w:t>
      </w:r>
      <w:r>
        <w:t xml:space="preserve"> sur laquelle elle se trouve. Cette zone peut être identifiée soit par un nom, soit par un système de coordonnées géométriques adapté à la forme de l’instance respective de </w:t>
      </w:r>
      <w:r>
        <w:rPr>
          <w:rStyle w:val="VerbatimChar"/>
        </w:rPr>
        <w:t>E18_Chose_matérielle</w:t>
      </w:r>
      <w:r>
        <w:t>. Typiquement, les noms identifiant des sections d’objets physiques sont composés du nom d’un type de partie de l’objet et du nom de l’objet lui-même, par exemple « Le pont de dunette du HMS Victory », qui est composé de « pont de dunette » et de « HMS Victory ».</w:t>
      </w:r>
    </w:p>
    <w:p w14:paraId="5D012971" w14:textId="77777777" w:rsidR="0084489F" w:rsidRDefault="00110FE6">
      <w:pPr>
        <w:pStyle w:val="BodyText"/>
      </w:pPr>
      <w:r>
        <w:rPr>
          <w:b/>
          <w:bCs/>
        </w:rPr>
        <w:t>Exemples</w:t>
      </w:r>
    </w:p>
    <w:p w14:paraId="109FB071" w14:textId="77777777" w:rsidR="0084489F" w:rsidRDefault="00110FE6" w:rsidP="00806324">
      <w:pPr>
        <w:numPr>
          <w:ilvl w:val="0"/>
          <w:numId w:val="192"/>
        </w:numPr>
      </w:pPr>
      <w:r>
        <w:t>HMS Victory (</w:t>
      </w:r>
      <w:r>
        <w:rPr>
          <w:rStyle w:val="VerbatimChar"/>
        </w:rPr>
        <w:t>E22_Objet_élaboré_par_l’humain</w:t>
      </w:r>
      <w:r>
        <w:t>) a pour section (</w:t>
      </w:r>
      <w:r>
        <w:rPr>
          <w:rStyle w:val="VerbatimChar"/>
        </w:rPr>
        <w:t>P59_a_pour_section</w:t>
      </w:r>
      <w:r>
        <w:t>) la section B347.6 du HMS Victory (</w:t>
      </w:r>
      <w:r>
        <w:rPr>
          <w:rStyle w:val="VerbatimChar"/>
        </w:rPr>
        <w:t>E53_Lieu</w:t>
      </w:r>
      <w:r>
        <w:t>) (Goodwin, 2015)</w:t>
      </w:r>
    </w:p>
    <w:p w14:paraId="5940911A" w14:textId="77777777" w:rsidR="0084489F" w:rsidRDefault="00110FE6">
      <w:pPr>
        <w:pStyle w:val="FirstParagraph"/>
      </w:pPr>
      <w:r>
        <w:rPr>
          <w:b/>
          <w:bCs/>
        </w:rPr>
        <w:t>Logique</w:t>
      </w:r>
    </w:p>
    <w:p w14:paraId="1D0B792D" w14:textId="77777777" w:rsidR="0084489F" w:rsidRDefault="00110FE6">
      <w:pPr>
        <w:pStyle w:val="BodyText"/>
      </w:pPr>
      <w:r w:rsidRPr="1B9E7434">
        <w:rPr>
          <w:lang w:val="fr-FR"/>
        </w:rPr>
        <w:t>P59(x,y) ⇒ E18(x)</w:t>
      </w:r>
    </w:p>
    <w:p w14:paraId="5C3467F2" w14:textId="77777777" w:rsidR="0084489F" w:rsidRDefault="00110FE6">
      <w:pPr>
        <w:pStyle w:val="BodyText"/>
      </w:pPr>
      <w:r w:rsidRPr="1B9E7434">
        <w:rPr>
          <w:lang w:val="fr-FR"/>
        </w:rPr>
        <w:t>P59(x,y) ⇒ E53(y)</w:t>
      </w:r>
    </w:p>
    <w:p w14:paraId="61849C62" w14:textId="77777777" w:rsidR="0084489F" w:rsidRDefault="00110FE6">
      <w:pPr>
        <w:pStyle w:val="BodyText"/>
      </w:pPr>
      <w:r>
        <w:rPr>
          <w:b/>
          <w:bCs/>
        </w:rPr>
        <w:t>Propriétés</w:t>
      </w:r>
    </w:p>
    <w:p w14:paraId="377043E7" w14:textId="77777777" w:rsidR="0084489F" w:rsidRDefault="00110FE6">
      <w:pPr>
        <w:pStyle w:val="BlockText"/>
      </w:pPr>
      <w:r>
        <w:rPr>
          <w:b/>
          <w:bCs/>
          <w:i/>
          <w:iCs/>
        </w:rPr>
        <w:t>Note de traduction</w:t>
      </w:r>
    </w:p>
    <w:p w14:paraId="68E9C8C3" w14:textId="77777777" w:rsidR="0084489F" w:rsidRDefault="00110FE6">
      <w:pPr>
        <w:pStyle w:val="BlockText"/>
      </w:pPr>
      <w:r>
        <w:rPr>
          <w:b/>
          <w:bCs/>
          <w:i/>
          <w:iCs/>
        </w:rPr>
        <w:t>Références</w:t>
      </w:r>
    </w:p>
    <w:p w14:paraId="6BC7C47E" w14:textId="77777777" w:rsidR="0084489F" w:rsidRDefault="0084489F">
      <w:pPr>
        <w:pStyle w:val="BlockText"/>
      </w:pPr>
    </w:p>
    <w:p w14:paraId="69CA05F0" w14:textId="77777777" w:rsidR="0084489F" w:rsidRDefault="00110FE6">
      <w:pPr>
        <w:pStyle w:val="Heading2"/>
      </w:pPr>
      <w:bookmarkStart w:id="382" w:name="_Toc176864571"/>
      <w:bookmarkStart w:id="383" w:name="p62-illustre-(est-illustre-par)"/>
      <w:bookmarkEnd w:id="381"/>
      <w:r>
        <w:t>P62 illustre (est illustré par)</w:t>
      </w:r>
      <w:bookmarkEnd w:id="382"/>
    </w:p>
    <w:p w14:paraId="0652C53F" w14:textId="77777777" w:rsidR="0084489F" w:rsidRDefault="00110FE6">
      <w:pPr>
        <w:pStyle w:val="FirstParagraph"/>
      </w:pPr>
      <w:r>
        <w:rPr>
          <w:b/>
          <w:bCs/>
        </w:rPr>
        <w:t>Domaine</w:t>
      </w:r>
    </w:p>
    <w:p w14:paraId="3065BB6F" w14:textId="77777777" w:rsidR="0084489F" w:rsidRDefault="00110FE6">
      <w:pPr>
        <w:pStyle w:val="BodyText"/>
      </w:pPr>
      <w:r>
        <w:rPr>
          <w:rStyle w:val="VerbatimChar"/>
        </w:rPr>
        <w:t>E24_Chose_matérielle_élaborée_par_l’humain</w:t>
      </w:r>
    </w:p>
    <w:p w14:paraId="49D457FB" w14:textId="77777777" w:rsidR="0084489F" w:rsidRDefault="00110FE6">
      <w:pPr>
        <w:pStyle w:val="BodyText"/>
      </w:pPr>
      <w:r>
        <w:rPr>
          <w:b/>
          <w:bCs/>
        </w:rPr>
        <w:t>Portée</w:t>
      </w:r>
    </w:p>
    <w:p w14:paraId="72401D09" w14:textId="77777777" w:rsidR="0084489F" w:rsidRDefault="00110FE6">
      <w:pPr>
        <w:pStyle w:val="BodyText"/>
      </w:pPr>
      <w:r>
        <w:rPr>
          <w:rStyle w:val="VerbatimChar"/>
        </w:rPr>
        <w:t>E1_Entité_CRM</w:t>
      </w:r>
    </w:p>
    <w:p w14:paraId="20A6CED8" w14:textId="77777777" w:rsidR="0084489F" w:rsidRDefault="00110FE6">
      <w:pPr>
        <w:pStyle w:val="BodyText"/>
      </w:pPr>
      <w:r>
        <w:rPr>
          <w:b/>
          <w:bCs/>
        </w:rPr>
        <w:t>Sous-propriété de</w:t>
      </w:r>
    </w:p>
    <w:p w14:paraId="3A59EF96" w14:textId="77777777" w:rsidR="0084489F" w:rsidRDefault="00110FE6">
      <w:pPr>
        <w:pStyle w:val="BodyText"/>
      </w:pPr>
      <w:r>
        <w:rPr>
          <w:b/>
          <w:bCs/>
        </w:rPr>
        <w:t>Super-propriété de</w:t>
      </w:r>
    </w:p>
    <w:p w14:paraId="27493366" w14:textId="77777777" w:rsidR="0084489F" w:rsidRDefault="00110FE6">
      <w:pPr>
        <w:pStyle w:val="BodyText"/>
      </w:pPr>
      <w:r>
        <w:rPr>
          <w:b/>
          <w:bCs/>
        </w:rPr>
        <w:t>Quantification</w:t>
      </w:r>
    </w:p>
    <w:p w14:paraId="3E4584BB" w14:textId="77777777" w:rsidR="0084489F" w:rsidRDefault="00110FE6">
      <w:pPr>
        <w:pStyle w:val="BodyText"/>
      </w:pPr>
      <w:r w:rsidRPr="1B9E7434">
        <w:rPr>
          <w:lang w:val="fr-FR"/>
        </w:rPr>
        <w:t>plusieurs à plusieurs (0,n:0,n)</w:t>
      </w:r>
    </w:p>
    <w:p w14:paraId="0C01C803" w14:textId="77777777" w:rsidR="0084489F" w:rsidRDefault="00110FE6">
      <w:pPr>
        <w:pStyle w:val="BodyText"/>
      </w:pPr>
      <w:r>
        <w:rPr>
          <w:b/>
          <w:bCs/>
        </w:rPr>
        <w:lastRenderedPageBreak/>
        <w:t>Note d’application</w:t>
      </w:r>
    </w:p>
    <w:p w14:paraId="3B62D8E8" w14:textId="77777777" w:rsidR="0084489F" w:rsidRDefault="00110FE6">
      <w:pPr>
        <w:pStyle w:val="BodyText"/>
      </w:pPr>
      <w:r>
        <w:t xml:space="preserve">Cette propriété identifie quelque chose qui est illustré par une instance de </w:t>
      </w:r>
      <w:r>
        <w:rPr>
          <w:rStyle w:val="VerbatimChar"/>
        </w:rPr>
        <w:t>E24_Chose_matérielle_élaborée_par_l’humain</w:t>
      </w:r>
      <w:r>
        <w:t xml:space="preserve">. Le terme « illustré » signifie ici qu’une instance de </w:t>
      </w:r>
      <w:r>
        <w:rPr>
          <w:rStyle w:val="VerbatimChar"/>
        </w:rPr>
        <w:t>E24_Chose_matérielle_élaborée_par_l’humain</w:t>
      </w:r>
      <w:r>
        <w:t>, à travers ses caractéristiques optiques ou sa forme, est une représentation intentionnelle de l’entité illustrée. Les photographies sont considérées par défaut comme des représentations intentionnelles. Tout ce qui est conçu pour changer les propriétés de l’illustration, comme un lecteur de livres électroniques, est spécifiquement exclu. Cette propriété ne s’applique pas aux inscriptions ou autres types d'informations encodées.</w:t>
      </w:r>
    </w:p>
    <w:p w14:paraId="5A281080" w14:textId="77777777" w:rsidR="0084489F" w:rsidRDefault="00110FE6">
      <w:pPr>
        <w:pStyle w:val="BodyText"/>
      </w:pPr>
      <w:r>
        <w:t xml:space="preserve">Cette propriété est un raccourci du chemin sémantique suivant : </w:t>
      </w:r>
      <w:r>
        <w:rPr>
          <w:rStyle w:val="VerbatimChar"/>
        </w:rPr>
        <w:t>E24_Chose_matérielle_élaborée_par_l’humain</w:t>
      </w:r>
      <w:r>
        <w:t xml:space="preserve">, </w:t>
      </w:r>
      <w:r>
        <w:rPr>
          <w:rStyle w:val="VerbatimChar"/>
        </w:rPr>
        <w:t>P65_représente_l’entité_visuelle</w:t>
      </w:r>
      <w:r>
        <w:t xml:space="preserve">, </w:t>
      </w:r>
      <w:r>
        <w:rPr>
          <w:rStyle w:val="VerbatimChar"/>
        </w:rPr>
        <w:t>E36_Entité_visuelle</w:t>
      </w:r>
      <w:r>
        <w:t xml:space="preserve">, </w:t>
      </w:r>
      <w:r>
        <w:rPr>
          <w:rStyle w:val="VerbatimChar"/>
        </w:rPr>
        <w:t>P138_représente</w:t>
      </w:r>
      <w:r>
        <w:t xml:space="preserve">, </w:t>
      </w:r>
      <w:r>
        <w:rPr>
          <w:rStyle w:val="VerbatimChar"/>
        </w:rPr>
        <w:t>E1_Entité_CRM</w:t>
      </w:r>
      <w:r>
        <w:t xml:space="preserve">. La propriété </w:t>
      </w:r>
      <w:r>
        <w:rPr>
          <w:rStyle w:val="VerbatimChar"/>
        </w:rPr>
        <w:t>P62.1_mode_d'illustration</w:t>
      </w:r>
      <w:r>
        <w:t xml:space="preserve"> permet de préciser la nature de l’illustration.</w:t>
      </w:r>
    </w:p>
    <w:p w14:paraId="4E0DDEA2" w14:textId="77777777" w:rsidR="0084489F" w:rsidRDefault="00110FE6">
      <w:pPr>
        <w:pStyle w:val="BodyText"/>
      </w:pPr>
      <w:r>
        <w:rPr>
          <w:b/>
          <w:bCs/>
        </w:rPr>
        <w:t>Exemples</w:t>
      </w:r>
    </w:p>
    <w:p w14:paraId="0522C86B" w14:textId="77777777" w:rsidR="0084489F" w:rsidRDefault="00110FE6" w:rsidP="00806324">
      <w:pPr>
        <w:numPr>
          <w:ilvl w:val="0"/>
          <w:numId w:val="193"/>
        </w:numPr>
      </w:pPr>
      <w:r>
        <w:t xml:space="preserve">L’œuvre peinte </w:t>
      </w:r>
      <w:r>
        <w:rPr>
          <w:i/>
          <w:iCs/>
        </w:rPr>
        <w:t>La Liberté guidant le peuple</w:t>
      </w:r>
      <w:r>
        <w:t xml:space="preserve"> d’Eugène Delacroix (</w:t>
      </w:r>
      <w:r>
        <w:rPr>
          <w:rStyle w:val="VerbatimChar"/>
        </w:rPr>
        <w:t>E22_Objet_élaboré_par_l’humain</w:t>
      </w:r>
      <w:r>
        <w:t>) illustre (</w:t>
      </w:r>
      <w:r>
        <w:rPr>
          <w:rStyle w:val="VerbatimChar"/>
        </w:rPr>
        <w:t>P62_illustre</w:t>
      </w:r>
      <w:r>
        <w:t>) les « Trois Glorieuses » (</w:t>
      </w:r>
      <w:r>
        <w:rPr>
          <w:rStyle w:val="VerbatimChar"/>
        </w:rPr>
        <w:t>E7_Activité</w:t>
      </w:r>
      <w:r>
        <w:t>) (Delacroix, 1982)</w:t>
      </w:r>
    </w:p>
    <w:p w14:paraId="226F6300" w14:textId="77777777" w:rsidR="0084489F" w:rsidRDefault="00110FE6" w:rsidP="00806324">
      <w:pPr>
        <w:numPr>
          <w:ilvl w:val="0"/>
          <w:numId w:val="193"/>
        </w:numPr>
      </w:pPr>
      <w:r>
        <w:t>La pièce de monnaie de 20 pennys détenue par le département des pièces et médailles du British Museum sous le numéro d’enregistrement 2006,1101.126 (</w:t>
      </w:r>
      <w:r>
        <w:rPr>
          <w:rStyle w:val="VerbatimChar"/>
        </w:rPr>
        <w:t>E22_Objet_élaboré_par_l’humain</w:t>
      </w:r>
      <w:r>
        <w:t>) illustre (</w:t>
      </w:r>
      <w:r>
        <w:rPr>
          <w:rStyle w:val="VerbatimChar"/>
        </w:rPr>
        <w:t>P62_illustre</w:t>
      </w:r>
      <w:r>
        <w:t>) la reine Elizabeth II (</w:t>
      </w:r>
      <w:r>
        <w:rPr>
          <w:rStyle w:val="VerbatimChar"/>
        </w:rPr>
        <w:t>E21_Personne</w:t>
      </w:r>
      <w:r>
        <w:t>) avec pour mode d’illustration (</w:t>
      </w:r>
      <w:r>
        <w:rPr>
          <w:rStyle w:val="VerbatimChar"/>
        </w:rPr>
        <w:t>P62.1_mode_d'illustration</w:t>
      </w:r>
      <w:r>
        <w:t>) « Profil » (</w:t>
      </w:r>
      <w:r>
        <w:rPr>
          <w:rStyle w:val="VerbatimChar"/>
        </w:rPr>
        <w:t>E55_Type</w:t>
      </w:r>
      <w:r>
        <w:t>)</w:t>
      </w:r>
    </w:p>
    <w:p w14:paraId="2635BE55" w14:textId="77777777" w:rsidR="0084489F" w:rsidRDefault="00110FE6">
      <w:pPr>
        <w:pStyle w:val="FirstParagraph"/>
      </w:pPr>
      <w:r>
        <w:rPr>
          <w:b/>
          <w:bCs/>
        </w:rPr>
        <w:t>Logique</w:t>
      </w:r>
    </w:p>
    <w:p w14:paraId="76D399B8" w14:textId="77777777" w:rsidR="0084489F" w:rsidRDefault="00110FE6">
      <w:pPr>
        <w:pStyle w:val="BodyText"/>
      </w:pPr>
      <w:r w:rsidRPr="1B9E7434">
        <w:rPr>
          <w:lang w:val="fr-FR"/>
        </w:rPr>
        <w:t>P62(x,y) ⇒ E24(x)</w:t>
      </w:r>
    </w:p>
    <w:p w14:paraId="2EBD15B1" w14:textId="77777777" w:rsidR="0084489F" w:rsidRDefault="00110FE6">
      <w:pPr>
        <w:pStyle w:val="BodyText"/>
      </w:pPr>
      <w:r w:rsidRPr="1B9E7434">
        <w:rPr>
          <w:lang w:val="fr-FR"/>
        </w:rPr>
        <w:t>P62(x,y) ⇒ E1(y)</w:t>
      </w:r>
    </w:p>
    <w:p w14:paraId="26F5E5DE" w14:textId="77777777" w:rsidR="0084489F" w:rsidRDefault="00110FE6">
      <w:pPr>
        <w:pStyle w:val="BodyText"/>
      </w:pPr>
      <w:r w:rsidRPr="1B9E7434">
        <w:rPr>
          <w:lang w:val="fr-FR"/>
        </w:rPr>
        <w:t>P62(x,y,z) ⇒ [P62(x,y) ˄ E55(z)]</w:t>
      </w:r>
    </w:p>
    <w:p w14:paraId="428042D3" w14:textId="77777777" w:rsidR="0084489F" w:rsidRDefault="00110FE6">
      <w:pPr>
        <w:pStyle w:val="BodyText"/>
      </w:pPr>
      <w:r w:rsidRPr="1B9E7434">
        <w:rPr>
          <w:lang w:val="fr-FR"/>
        </w:rPr>
        <w:t>P62(x,y) ⇐ (∃z) [E36(z) ˄ P65(x,z) ˄ P138(z,y)]</w:t>
      </w:r>
    </w:p>
    <w:p w14:paraId="4D9075F0" w14:textId="77777777" w:rsidR="0084489F" w:rsidRDefault="00110FE6">
      <w:pPr>
        <w:pStyle w:val="BodyText"/>
      </w:pPr>
      <w:r>
        <w:rPr>
          <w:b/>
          <w:bCs/>
        </w:rPr>
        <w:t>Propriétés</w:t>
      </w:r>
    </w:p>
    <w:p w14:paraId="3A09577F" w14:textId="77777777" w:rsidR="0084489F" w:rsidRDefault="00110FE6">
      <w:pPr>
        <w:pStyle w:val="BodyText"/>
      </w:pPr>
      <w:r>
        <w:rPr>
          <w:rStyle w:val="VerbatimChar"/>
        </w:rPr>
        <w:t>P62.1_mode_d’illustration</w:t>
      </w:r>
      <w:r>
        <w:t xml:space="preserve"> : </w:t>
      </w:r>
      <w:r>
        <w:rPr>
          <w:rStyle w:val="VerbatimChar"/>
        </w:rPr>
        <w:t>E55_Type</w:t>
      </w:r>
    </w:p>
    <w:p w14:paraId="136E7EC7" w14:textId="77777777" w:rsidR="0084489F" w:rsidRDefault="00110FE6">
      <w:pPr>
        <w:pStyle w:val="BlockText"/>
      </w:pPr>
      <w:r>
        <w:rPr>
          <w:b/>
          <w:bCs/>
          <w:i/>
          <w:iCs/>
        </w:rPr>
        <w:t>Note de traduction</w:t>
      </w:r>
    </w:p>
    <w:p w14:paraId="11025164" w14:textId="77777777" w:rsidR="0084489F" w:rsidRDefault="00110FE6">
      <w:pPr>
        <w:pStyle w:val="BlockText"/>
      </w:pPr>
      <w:r>
        <w:t>La révolution qui a eu lieu en France les 27, 28 et 29 juillet 1830 et qui a amené à l’instauration de la monarchie de juillet est généralement appelée les « Trois Glorieuses » plutôt que la « Révolution de Juillet ».</w:t>
      </w:r>
    </w:p>
    <w:p w14:paraId="20F92C8B" w14:textId="77777777" w:rsidR="0084489F" w:rsidRDefault="00110FE6">
      <w:pPr>
        <w:pStyle w:val="BlockText"/>
      </w:pPr>
      <w:r>
        <w:t>Le terme « pence », pluriel de « penny », est traduit en français par « pennys ».</w:t>
      </w:r>
    </w:p>
    <w:p w14:paraId="122E815A" w14:textId="77777777" w:rsidR="0084489F" w:rsidRDefault="00110FE6">
      <w:pPr>
        <w:pStyle w:val="BlockText"/>
      </w:pPr>
      <w:r>
        <w:rPr>
          <w:b/>
          <w:bCs/>
          <w:i/>
          <w:iCs/>
        </w:rPr>
        <w:t>Références</w:t>
      </w:r>
    </w:p>
    <w:p w14:paraId="1D251DA8" w14:textId="77777777" w:rsidR="0084489F" w:rsidRDefault="00110FE6">
      <w:pPr>
        <w:pStyle w:val="BlockText"/>
      </w:pPr>
      <w:r w:rsidRPr="1B9E7434">
        <w:rPr>
          <w:lang w:val="fr-FR"/>
        </w:rPr>
        <w:t xml:space="preserve">Wikipédia. « Penny ». Dans </w:t>
      </w:r>
      <w:r w:rsidRPr="1B9E7434">
        <w:rPr>
          <w:i/>
          <w:iCs/>
          <w:lang w:val="fr-FR"/>
        </w:rPr>
        <w:t>Wikipédia</w:t>
      </w:r>
      <w:r w:rsidRPr="1B9E7434">
        <w:rPr>
          <w:lang w:val="fr-FR"/>
        </w:rPr>
        <w:t>. San Francisco, US-CA: Wikipédia, 8 décembre 2022.</w:t>
      </w:r>
      <w:hyperlink r:id="rId262">
        <w:r w:rsidRPr="1B9E7434">
          <w:rPr>
            <w:rStyle w:val="Hyperlink"/>
            <w:lang w:val="fr-FR"/>
          </w:rPr>
          <w:t xml:space="preserve"> </w:t>
        </w:r>
      </w:hyperlink>
      <w:hyperlink r:id="rId263">
        <w:r w:rsidRPr="1B9E7434">
          <w:rPr>
            <w:rStyle w:val="Hyperlink"/>
            <w:lang w:val="fr-FR"/>
          </w:rPr>
          <w:t>https://fr.wikipedia.org/w/index.php?title=Penny&amp;oldid=199318252</w:t>
        </w:r>
      </w:hyperlink>
      <w:r w:rsidRPr="1B9E7434">
        <w:rPr>
          <w:lang w:val="fr-FR"/>
        </w:rPr>
        <w:t>.</w:t>
      </w:r>
    </w:p>
    <w:p w14:paraId="33EF8635" w14:textId="77777777" w:rsidR="0084489F" w:rsidRDefault="00110FE6">
      <w:pPr>
        <w:pStyle w:val="BlockText"/>
      </w:pPr>
      <w:r w:rsidRPr="1B9E7434">
        <w:rPr>
          <w:lang w:val="fr-FR"/>
        </w:rPr>
        <w:t xml:space="preserve">———. « Trois Glorieuses ». </w:t>
      </w:r>
      <w:r w:rsidRPr="007F7F4E">
        <w:rPr>
          <w:lang w:val="en-US"/>
        </w:rPr>
        <w:t xml:space="preserve">Dans </w:t>
      </w:r>
      <w:r w:rsidRPr="007F7F4E">
        <w:rPr>
          <w:i/>
          <w:iCs/>
          <w:lang w:val="en-US"/>
        </w:rPr>
        <w:t>Wikipédia</w:t>
      </w:r>
      <w:r w:rsidRPr="007F7F4E">
        <w:rPr>
          <w:lang w:val="en-US"/>
        </w:rPr>
        <w:t>. San Francisco, US-CA: Wikipédia, 17 avril 2023.</w:t>
      </w:r>
      <w:hyperlink r:id="rId264">
        <w:r w:rsidRPr="007F7F4E">
          <w:rPr>
            <w:rStyle w:val="Hyperlink"/>
            <w:lang w:val="en-US"/>
          </w:rPr>
          <w:t xml:space="preserve"> </w:t>
        </w:r>
      </w:hyperlink>
      <w:hyperlink r:id="rId265">
        <w:r w:rsidRPr="1B9E7434">
          <w:rPr>
            <w:rStyle w:val="Hyperlink"/>
            <w:lang w:val="fr-FR"/>
          </w:rPr>
          <w:t>https://fr.wikipedia.org/w/index.php?title=Trois_Glorieuses&amp;oldid=203438591</w:t>
        </w:r>
      </w:hyperlink>
      <w:r w:rsidRPr="1B9E7434">
        <w:rPr>
          <w:lang w:val="fr-FR"/>
        </w:rPr>
        <w:t>.</w:t>
      </w:r>
    </w:p>
    <w:p w14:paraId="63E4CA34" w14:textId="77777777" w:rsidR="004F1EE3" w:rsidRPr="004F1EE3" w:rsidRDefault="004F1EE3" w:rsidP="004F1EE3">
      <w:pPr>
        <w:pStyle w:val="BodyText"/>
      </w:pPr>
    </w:p>
    <w:p w14:paraId="06FC605F" w14:textId="77777777" w:rsidR="0084489F" w:rsidRDefault="00110FE6">
      <w:pPr>
        <w:pStyle w:val="Heading2"/>
      </w:pPr>
      <w:bookmarkStart w:id="384" w:name="_Toc176864572"/>
      <w:bookmarkStart w:id="385" w:name="X127495790a06c09b82e611ae5aae346d7ce65e7"/>
      <w:bookmarkEnd w:id="383"/>
      <w:r>
        <w:lastRenderedPageBreak/>
        <w:t>P65 représente l'entité visuelle (est représenté par)</w:t>
      </w:r>
      <w:bookmarkEnd w:id="384"/>
    </w:p>
    <w:p w14:paraId="1B09CA12" w14:textId="77777777" w:rsidR="0084489F" w:rsidRDefault="00110FE6">
      <w:pPr>
        <w:pStyle w:val="FirstParagraph"/>
      </w:pPr>
      <w:r>
        <w:rPr>
          <w:b/>
          <w:bCs/>
        </w:rPr>
        <w:t>Domaine</w:t>
      </w:r>
    </w:p>
    <w:p w14:paraId="6199D8CC" w14:textId="77777777" w:rsidR="0084489F" w:rsidRDefault="00110FE6">
      <w:pPr>
        <w:pStyle w:val="BodyText"/>
      </w:pPr>
      <w:r>
        <w:rPr>
          <w:rStyle w:val="VerbatimChar"/>
        </w:rPr>
        <w:t>E24_Chose_matérielle_élaborée_par_l’humain</w:t>
      </w:r>
    </w:p>
    <w:p w14:paraId="661EF627" w14:textId="77777777" w:rsidR="0084489F" w:rsidRDefault="00110FE6">
      <w:pPr>
        <w:pStyle w:val="BodyText"/>
      </w:pPr>
      <w:r>
        <w:rPr>
          <w:b/>
          <w:bCs/>
        </w:rPr>
        <w:t>Portée</w:t>
      </w:r>
    </w:p>
    <w:p w14:paraId="4CD63386" w14:textId="77777777" w:rsidR="0084489F" w:rsidRDefault="00110FE6">
      <w:pPr>
        <w:pStyle w:val="BodyText"/>
      </w:pPr>
      <w:r>
        <w:rPr>
          <w:rStyle w:val="VerbatimChar"/>
        </w:rPr>
        <w:t>E36_Entité_visuelle</w:t>
      </w:r>
    </w:p>
    <w:p w14:paraId="50837119" w14:textId="77777777" w:rsidR="0084489F" w:rsidRDefault="00110FE6">
      <w:pPr>
        <w:pStyle w:val="BodyText"/>
      </w:pPr>
      <w:r>
        <w:rPr>
          <w:b/>
          <w:bCs/>
        </w:rPr>
        <w:t>Sous-propriété de</w:t>
      </w:r>
    </w:p>
    <w:p w14:paraId="5D96A89E"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P128_est_le_support_de (a_pour_support)</w:t>
      </w:r>
      <w:r w:rsidRPr="1B9E7434">
        <w:rPr>
          <w:lang w:val="fr-FR"/>
        </w:rPr>
        <w:t xml:space="preserve"> : </w:t>
      </w:r>
      <w:r w:rsidRPr="1B9E7434">
        <w:rPr>
          <w:rStyle w:val="VerbatimChar"/>
          <w:lang w:val="fr-FR"/>
        </w:rPr>
        <w:t>E90_Objet_symbolique</w:t>
      </w:r>
    </w:p>
    <w:p w14:paraId="77CF9BBF" w14:textId="77777777" w:rsidR="0084489F" w:rsidRDefault="00110FE6">
      <w:pPr>
        <w:pStyle w:val="BodyText"/>
      </w:pPr>
      <w:r>
        <w:rPr>
          <w:b/>
          <w:bCs/>
        </w:rPr>
        <w:t>Super-propriété de</w:t>
      </w:r>
    </w:p>
    <w:p w14:paraId="7296F33B" w14:textId="77777777" w:rsidR="0084489F" w:rsidRDefault="00110FE6">
      <w:pPr>
        <w:pStyle w:val="BodyText"/>
      </w:pPr>
      <w:r>
        <w:rPr>
          <w:b/>
          <w:bCs/>
        </w:rPr>
        <w:t>Quantification</w:t>
      </w:r>
    </w:p>
    <w:p w14:paraId="23FE2096" w14:textId="77777777" w:rsidR="0084489F" w:rsidRDefault="00110FE6">
      <w:pPr>
        <w:pStyle w:val="BodyText"/>
      </w:pPr>
      <w:r w:rsidRPr="1B9E7434">
        <w:rPr>
          <w:lang w:val="fr-FR"/>
        </w:rPr>
        <w:t>plusieurs à plusieurs (0,n:0,n)</w:t>
      </w:r>
    </w:p>
    <w:p w14:paraId="6734E199" w14:textId="77777777" w:rsidR="0084489F" w:rsidRDefault="00110FE6">
      <w:pPr>
        <w:pStyle w:val="BodyText"/>
      </w:pPr>
      <w:r>
        <w:rPr>
          <w:b/>
          <w:bCs/>
        </w:rPr>
        <w:t>Note d’application</w:t>
      </w:r>
    </w:p>
    <w:p w14:paraId="72BF92E1" w14:textId="77777777" w:rsidR="0084489F" w:rsidRDefault="00110FE6">
      <w:pPr>
        <w:pStyle w:val="BodyText"/>
      </w:pPr>
      <w:r>
        <w:t xml:space="preserve">Cette propriété documente une instance de </w:t>
      </w:r>
      <w:r>
        <w:rPr>
          <w:rStyle w:val="VerbatimChar"/>
        </w:rPr>
        <w:t>E36_Entité_visuelle</w:t>
      </w:r>
      <w:r>
        <w:t xml:space="preserve"> représentée par une instance de </w:t>
      </w:r>
      <w:r>
        <w:rPr>
          <w:rStyle w:val="VerbatimChar"/>
        </w:rPr>
        <w:t>E24_Chose_matérielle_élaborée_par_l’humain</w:t>
      </w:r>
      <w:r>
        <w:t>.</w:t>
      </w:r>
    </w:p>
    <w:p w14:paraId="3A72BBF2" w14:textId="77777777" w:rsidR="0084489F" w:rsidRDefault="00110FE6">
      <w:pPr>
        <w:pStyle w:val="BodyText"/>
      </w:pPr>
      <w:r w:rsidRPr="1B9E7434">
        <w:rPr>
          <w:lang w:val="fr-FR"/>
        </w:rPr>
        <w:t xml:space="preserve">Cette propriété est similaire à </w:t>
      </w:r>
      <w:r w:rsidRPr="1B9E7434">
        <w:rPr>
          <w:rStyle w:val="VerbatimChar"/>
          <w:lang w:val="fr-FR"/>
        </w:rPr>
        <w:t>P62_illustre (est_illustré_par)</w:t>
      </w:r>
      <w:r w:rsidRPr="1B9E7434">
        <w:rPr>
          <w:lang w:val="fr-FR"/>
        </w:rPr>
        <w:t xml:space="preserve"> puisqu'elle associe une instance de </w:t>
      </w:r>
      <w:r w:rsidRPr="1B9E7434">
        <w:rPr>
          <w:rStyle w:val="VerbatimChar"/>
          <w:lang w:val="fr-FR"/>
        </w:rPr>
        <w:t>E24_Chose_matérielle_élaborée_par_l’humain</w:t>
      </w:r>
      <w:r w:rsidRPr="1B9E7434">
        <w:rPr>
          <w:lang w:val="fr-FR"/>
        </w:rPr>
        <w:t xml:space="preserve"> à une représentation visuelle. Cependant, </w:t>
      </w:r>
      <w:r w:rsidRPr="1B9E7434">
        <w:rPr>
          <w:rStyle w:val="VerbatimChar"/>
          <w:lang w:val="fr-FR"/>
        </w:rPr>
        <w:t>P65_représente_l’entité_visuelle (est_représenté_par)</w:t>
      </w:r>
      <w:r w:rsidRPr="1B9E7434">
        <w:rPr>
          <w:lang w:val="fr-FR"/>
        </w:rPr>
        <w:t xml:space="preserve"> diffère de la propriété </w:t>
      </w:r>
      <w:r w:rsidRPr="1B9E7434">
        <w:rPr>
          <w:rStyle w:val="VerbatimChar"/>
          <w:lang w:val="fr-FR"/>
        </w:rPr>
        <w:t>P62_illustre (est_illustré_par)</w:t>
      </w:r>
      <w:r w:rsidRPr="1B9E7434">
        <w:rPr>
          <w:lang w:val="fr-FR"/>
        </w:rPr>
        <w:t xml:space="preserve"> puisqu'elle ne renseigne pas sur ce que l'instance de </w:t>
      </w:r>
      <w:r w:rsidRPr="1B9E7434">
        <w:rPr>
          <w:rStyle w:val="VerbatimChar"/>
          <w:lang w:val="fr-FR"/>
        </w:rPr>
        <w:t>E36_Entité_visuelle</w:t>
      </w:r>
      <w:r w:rsidRPr="1B9E7434">
        <w:rPr>
          <w:lang w:val="fr-FR"/>
        </w:rPr>
        <w:t xml:space="preserve"> est censée représenter. Une instance de </w:t>
      </w:r>
      <w:r w:rsidRPr="1B9E7434">
        <w:rPr>
          <w:rStyle w:val="VerbatimChar"/>
          <w:lang w:val="fr-FR"/>
        </w:rPr>
        <w:t>E36_Entité_visuelle</w:t>
      </w:r>
      <w:r w:rsidRPr="1B9E7434">
        <w:rPr>
          <w:lang w:val="fr-FR"/>
        </w:rPr>
        <w:t xml:space="preserve"> identifie une image ou un symbole reconnaissables, indépendamment de ce que cette image peut représenter ou non.</w:t>
      </w:r>
    </w:p>
    <w:p w14:paraId="5EA116A4" w14:textId="77777777" w:rsidR="0084489F" w:rsidRDefault="00110FE6">
      <w:pPr>
        <w:pStyle w:val="BodyText"/>
      </w:pPr>
      <w:r w:rsidRPr="1B9E7434">
        <w:rPr>
          <w:lang w:val="fr-FR"/>
        </w:rPr>
        <w:t xml:space="preserve">Par exemple, toutes les pièces de monnaie britanniques récentes présentent un portrait de la reine Elizabeth II, un fait correctement documenté par l'utilisation de la propriété </w:t>
      </w:r>
      <w:r w:rsidRPr="1B9E7434">
        <w:rPr>
          <w:rStyle w:val="VerbatimChar"/>
          <w:lang w:val="fr-FR"/>
        </w:rPr>
        <w:t>P62_illustre (est_illustré_par)</w:t>
      </w:r>
      <w:r w:rsidRPr="1B9E7434">
        <w:rPr>
          <w:lang w:val="fr-FR"/>
        </w:rPr>
        <w:t xml:space="preserve">. Cependant, différents portraits ont été utilisés au cours du temps. La propriété </w:t>
      </w:r>
      <w:r w:rsidRPr="1B9E7434">
        <w:rPr>
          <w:rStyle w:val="VerbatimChar"/>
          <w:lang w:val="fr-FR"/>
        </w:rPr>
        <w:t>P65_représente_l’entité_visuelle (est_représenté_par)</w:t>
      </w:r>
      <w:r w:rsidRPr="1B9E7434">
        <w:rPr>
          <w:lang w:val="fr-FR"/>
        </w:rPr>
        <w:t xml:space="preserve"> peut être utilisée pour faire référence à un portrait particulier.</w:t>
      </w:r>
    </w:p>
    <w:p w14:paraId="64EE88B6" w14:textId="77777777" w:rsidR="0084489F" w:rsidRDefault="00110FE6">
      <w:pPr>
        <w:pStyle w:val="BodyText"/>
      </w:pPr>
      <w:r w:rsidRPr="1B9E7434">
        <w:rPr>
          <w:lang w:val="fr-FR"/>
        </w:rPr>
        <w:t xml:space="preserve">La propriété </w:t>
      </w:r>
      <w:r w:rsidRPr="1B9E7434">
        <w:rPr>
          <w:rStyle w:val="VerbatimChar"/>
          <w:lang w:val="fr-FR"/>
        </w:rPr>
        <w:t>P65_représente_l’entité_visuelle (est_représenté_par)</w:t>
      </w:r>
      <w:r w:rsidRPr="1B9E7434">
        <w:rPr>
          <w:lang w:val="fr-FR"/>
        </w:rPr>
        <w:t xml:space="preserve"> peut également être utilisée pour les entités visuelles telles que les signes, les marques et les symboles, par exemple la croix de Malte ou le symbole du droit d'auteur, qui n'ont pas de contenu de représentation particulier.</w:t>
      </w:r>
    </w:p>
    <w:p w14:paraId="2DFFA6FA" w14:textId="77777777" w:rsidR="0084489F" w:rsidRDefault="00110FE6">
      <w:pPr>
        <w:pStyle w:val="BodyText"/>
      </w:pPr>
      <w:r w:rsidRPr="1B9E7434">
        <w:rPr>
          <w:lang w:val="fr-FR"/>
        </w:rPr>
        <w:t xml:space="preserve">Cette propriété fait partie du chemin sémantique plus détaillé </w:t>
      </w:r>
      <w:r w:rsidRPr="1B9E7434">
        <w:rPr>
          <w:rStyle w:val="VerbatimChar"/>
          <w:lang w:val="fr-FR"/>
        </w:rPr>
        <w:t>E24_Chose_matérielle_élaborée_par_l’humain</w:t>
      </w:r>
      <w:r w:rsidRPr="1B9E7434">
        <w:rPr>
          <w:lang w:val="fr-FR"/>
        </w:rPr>
        <w:t xml:space="preserve">, </w:t>
      </w:r>
      <w:r w:rsidRPr="1B9E7434">
        <w:rPr>
          <w:rStyle w:val="VerbatimChar"/>
          <w:lang w:val="fr-FR"/>
        </w:rPr>
        <w:t>P65_représente_l’entité_visuelle (est_représenté_par)</w:t>
      </w:r>
      <w:r w:rsidRPr="1B9E7434">
        <w:rPr>
          <w:lang w:val="fr-FR"/>
        </w:rPr>
        <w:t xml:space="preserve">, </w:t>
      </w:r>
      <w:r w:rsidRPr="1B9E7434">
        <w:rPr>
          <w:rStyle w:val="VerbatimChar"/>
          <w:lang w:val="fr-FR"/>
        </w:rPr>
        <w:t>E36_Entité_visuelle</w:t>
      </w:r>
      <w:r w:rsidRPr="1B9E7434">
        <w:rPr>
          <w:lang w:val="fr-FR"/>
        </w:rPr>
        <w:t xml:space="preserve">, </w:t>
      </w:r>
      <w:r w:rsidRPr="1B9E7434">
        <w:rPr>
          <w:rStyle w:val="VerbatimChar"/>
          <w:lang w:val="fr-FR"/>
        </w:rPr>
        <w:t>P138_représente (est_représenté_par)</w:t>
      </w:r>
      <w:r w:rsidRPr="1B9E7434">
        <w:rPr>
          <w:lang w:val="fr-FR"/>
        </w:rPr>
        <w:t xml:space="preserve">, </w:t>
      </w:r>
      <w:r w:rsidRPr="1B9E7434">
        <w:rPr>
          <w:rStyle w:val="VerbatimChar"/>
          <w:lang w:val="fr-FR"/>
        </w:rPr>
        <w:t>E1_Entité_CRM</w:t>
      </w:r>
      <w:r w:rsidRPr="1B9E7434">
        <w:rPr>
          <w:lang w:val="fr-FR"/>
        </w:rPr>
        <w:t xml:space="preserve">, qui peut être raccourci par l'utilisation de </w:t>
      </w:r>
      <w:r w:rsidRPr="1B9E7434">
        <w:rPr>
          <w:rStyle w:val="VerbatimChar"/>
          <w:lang w:val="fr-FR"/>
        </w:rPr>
        <w:t>P62_illustre (est_illustré_par)</w:t>
      </w:r>
      <w:r w:rsidRPr="1B9E7434">
        <w:rPr>
          <w:lang w:val="fr-FR"/>
        </w:rPr>
        <w:t>.</w:t>
      </w:r>
    </w:p>
    <w:p w14:paraId="43B59E23" w14:textId="77777777" w:rsidR="0084489F" w:rsidRDefault="00110FE6">
      <w:pPr>
        <w:pStyle w:val="BodyText"/>
      </w:pPr>
      <w:r>
        <w:rPr>
          <w:b/>
          <w:bCs/>
        </w:rPr>
        <w:t>Exemples</w:t>
      </w:r>
    </w:p>
    <w:p w14:paraId="29806BF9" w14:textId="3148AC77" w:rsidR="0084489F" w:rsidRDefault="00110FE6" w:rsidP="00806324">
      <w:pPr>
        <w:numPr>
          <w:ilvl w:val="0"/>
          <w:numId w:val="194"/>
        </w:numPr>
      </w:pPr>
      <w:r w:rsidRPr="1B9E7434">
        <w:rPr>
          <w:lang w:val="fr-FR"/>
        </w:rPr>
        <w:t>Mon T-Shirt (</w:t>
      </w:r>
      <w:r w:rsidRPr="1B9E7434">
        <w:rPr>
          <w:rStyle w:val="VerbatimChar"/>
          <w:lang w:val="fr-FR"/>
        </w:rPr>
        <w:t>E22_Objet_élaboré_par_l’humain</w:t>
      </w:r>
      <w:r w:rsidRPr="1B9E7434">
        <w:rPr>
          <w:lang w:val="fr-FR"/>
        </w:rPr>
        <w:t>) représente l'entité visuelle (</w:t>
      </w:r>
      <w:r w:rsidRPr="1B9E7434">
        <w:rPr>
          <w:rStyle w:val="VerbatimChar"/>
          <w:lang w:val="fr-FR"/>
        </w:rPr>
        <w:t>P65_représente_l’entité_visuelle</w:t>
      </w:r>
      <w:r w:rsidRPr="1B9E7434">
        <w:rPr>
          <w:lang w:val="fr-FR"/>
        </w:rPr>
        <w:t>) Monna Lisa (</w:t>
      </w:r>
      <w:r w:rsidRPr="1B9E7434">
        <w:rPr>
          <w:rStyle w:val="VerbatimChar"/>
          <w:lang w:val="fr-FR"/>
        </w:rPr>
        <w:t>E36_Entité_visuelle</w:t>
      </w:r>
      <w:r w:rsidRPr="1B9E7434">
        <w:rPr>
          <w:lang w:val="fr-FR"/>
        </w:rPr>
        <w:t>) (fictif)</w:t>
      </w:r>
    </w:p>
    <w:p w14:paraId="3EBAFF55" w14:textId="77777777" w:rsidR="0084489F" w:rsidRDefault="00110FE6">
      <w:pPr>
        <w:pStyle w:val="FirstParagraph"/>
      </w:pPr>
      <w:r>
        <w:rPr>
          <w:b/>
          <w:bCs/>
        </w:rPr>
        <w:t>Logique</w:t>
      </w:r>
    </w:p>
    <w:p w14:paraId="26E22B7C" w14:textId="77777777" w:rsidR="0084489F" w:rsidRDefault="00110FE6">
      <w:pPr>
        <w:pStyle w:val="BodyText"/>
      </w:pPr>
      <w:r w:rsidRPr="1B9E7434">
        <w:rPr>
          <w:lang w:val="fr-FR"/>
        </w:rPr>
        <w:t>P65(x,y) ⇒ E24(x)</w:t>
      </w:r>
    </w:p>
    <w:p w14:paraId="4DAAF216" w14:textId="77777777" w:rsidR="0084489F" w:rsidRDefault="00110FE6">
      <w:pPr>
        <w:pStyle w:val="BodyText"/>
      </w:pPr>
      <w:r w:rsidRPr="1B9E7434">
        <w:rPr>
          <w:lang w:val="fr-FR"/>
        </w:rPr>
        <w:t>P65(x,y) ⇒ E36(y)</w:t>
      </w:r>
    </w:p>
    <w:p w14:paraId="32161F1E" w14:textId="77777777" w:rsidR="0084489F" w:rsidRDefault="00110FE6">
      <w:pPr>
        <w:pStyle w:val="BodyText"/>
      </w:pPr>
      <w:r w:rsidRPr="1B9E7434">
        <w:rPr>
          <w:lang w:val="fr-FR"/>
        </w:rPr>
        <w:lastRenderedPageBreak/>
        <w:t>P65(x,y) ⇒ P128(x,y)</w:t>
      </w:r>
    </w:p>
    <w:p w14:paraId="15B495AC" w14:textId="77777777" w:rsidR="0084489F" w:rsidRDefault="00110FE6">
      <w:pPr>
        <w:pStyle w:val="BodyText"/>
      </w:pPr>
      <w:r>
        <w:rPr>
          <w:b/>
          <w:bCs/>
        </w:rPr>
        <w:t>Propriétés</w:t>
      </w:r>
    </w:p>
    <w:p w14:paraId="4BDE9DCF" w14:textId="77777777" w:rsidR="0084489F" w:rsidRDefault="00110FE6">
      <w:pPr>
        <w:pStyle w:val="BlockText"/>
      </w:pPr>
      <w:r>
        <w:rPr>
          <w:b/>
          <w:bCs/>
          <w:i/>
          <w:iCs/>
        </w:rPr>
        <w:t>Note de traduction</w:t>
      </w:r>
    </w:p>
    <w:p w14:paraId="3658DC20" w14:textId="77777777" w:rsidR="0084489F" w:rsidRDefault="00110FE6">
      <w:pPr>
        <w:pStyle w:val="BlockText"/>
      </w:pPr>
      <w:r>
        <w:rPr>
          <w:b/>
          <w:bCs/>
          <w:i/>
          <w:iCs/>
        </w:rPr>
        <w:t>Références</w:t>
      </w:r>
    </w:p>
    <w:p w14:paraId="0A018DDF" w14:textId="77777777" w:rsidR="0084489F" w:rsidRDefault="0084489F">
      <w:pPr>
        <w:pStyle w:val="BlockText"/>
      </w:pPr>
    </w:p>
    <w:p w14:paraId="78AC5A1B" w14:textId="77777777" w:rsidR="0084489F" w:rsidRDefault="00110FE6">
      <w:pPr>
        <w:pStyle w:val="Heading2"/>
      </w:pPr>
      <w:bookmarkStart w:id="386" w:name="_Toc176864573"/>
      <w:bookmarkStart w:id="387" w:name="Xe6624f655d73b0eb09ebc3b78c5e0126e0892c0"/>
      <w:bookmarkEnd w:id="385"/>
      <w:r>
        <w:t>P67 renvoie à (fait l'objet d'un renvoi par)</w:t>
      </w:r>
      <w:bookmarkEnd w:id="386"/>
    </w:p>
    <w:p w14:paraId="0709C38F" w14:textId="77777777" w:rsidR="0084489F" w:rsidRDefault="00110FE6">
      <w:pPr>
        <w:pStyle w:val="FirstParagraph"/>
      </w:pPr>
      <w:r>
        <w:rPr>
          <w:b/>
          <w:bCs/>
        </w:rPr>
        <w:t>Domaine</w:t>
      </w:r>
    </w:p>
    <w:p w14:paraId="1CA00145" w14:textId="77777777" w:rsidR="0084489F" w:rsidRDefault="00110FE6">
      <w:pPr>
        <w:pStyle w:val="BodyText"/>
      </w:pPr>
      <w:r>
        <w:rPr>
          <w:rStyle w:val="VerbatimChar"/>
        </w:rPr>
        <w:t>E89_Objet_propositionnel</w:t>
      </w:r>
    </w:p>
    <w:p w14:paraId="415D7002" w14:textId="77777777" w:rsidR="0084489F" w:rsidRDefault="00110FE6">
      <w:pPr>
        <w:pStyle w:val="BodyText"/>
      </w:pPr>
      <w:r>
        <w:rPr>
          <w:b/>
          <w:bCs/>
        </w:rPr>
        <w:t>Portée</w:t>
      </w:r>
    </w:p>
    <w:p w14:paraId="389EE28E" w14:textId="77777777" w:rsidR="0084489F" w:rsidRDefault="00110FE6">
      <w:pPr>
        <w:pStyle w:val="BodyText"/>
      </w:pPr>
      <w:r>
        <w:rPr>
          <w:rStyle w:val="VerbatimChar"/>
        </w:rPr>
        <w:t>E1_Entité_CRM</w:t>
      </w:r>
    </w:p>
    <w:p w14:paraId="426635A8" w14:textId="77777777" w:rsidR="0084489F" w:rsidRDefault="00110FE6">
      <w:pPr>
        <w:pStyle w:val="BodyText"/>
      </w:pPr>
      <w:r>
        <w:rPr>
          <w:b/>
          <w:bCs/>
        </w:rPr>
        <w:t>Sous-propriété de</w:t>
      </w:r>
    </w:p>
    <w:p w14:paraId="6625403A" w14:textId="77777777" w:rsidR="0084489F" w:rsidRDefault="00110FE6">
      <w:pPr>
        <w:pStyle w:val="BodyText"/>
      </w:pPr>
      <w:r>
        <w:rPr>
          <w:b/>
          <w:bCs/>
        </w:rPr>
        <w:t>Super-propriété de</w:t>
      </w:r>
    </w:p>
    <w:p w14:paraId="3E1DD4E0" w14:textId="77777777" w:rsidR="0084489F" w:rsidRDefault="00110FE6">
      <w:pPr>
        <w:pStyle w:val="BodyText"/>
      </w:pPr>
      <w:r w:rsidRPr="1B9E7434">
        <w:rPr>
          <w:rStyle w:val="VerbatimChar"/>
          <w:lang w:val="fr-FR"/>
        </w:rPr>
        <w:t>E29_Conceptualisation_ou_procédure</w:t>
      </w:r>
      <w:r w:rsidRPr="1B9E7434">
        <w:rPr>
          <w:lang w:val="fr-FR"/>
        </w:rPr>
        <w:t xml:space="preserve">. </w:t>
      </w:r>
      <w:r w:rsidRPr="1B9E7434">
        <w:rPr>
          <w:rStyle w:val="VerbatimChar"/>
          <w:lang w:val="fr-FR"/>
        </w:rPr>
        <w:t>P68_prévoit_l’usage_de (usage_prévu_de)</w:t>
      </w:r>
      <w:r w:rsidRPr="1B9E7434">
        <w:rPr>
          <w:lang w:val="fr-FR"/>
        </w:rPr>
        <w:t xml:space="preserve"> : </w:t>
      </w:r>
      <w:r w:rsidRPr="1B9E7434">
        <w:rPr>
          <w:rStyle w:val="VerbatimChar"/>
          <w:lang w:val="fr-FR"/>
        </w:rPr>
        <w:t>E57_Matériau</w:t>
      </w:r>
    </w:p>
    <w:p w14:paraId="197C6D1E" w14:textId="77777777" w:rsidR="0084489F" w:rsidRDefault="00110FE6">
      <w:pPr>
        <w:pStyle w:val="BodyText"/>
      </w:pPr>
      <w:r w:rsidRPr="1B9E7434">
        <w:rPr>
          <w:rStyle w:val="VerbatimChar"/>
          <w:lang w:val="fr-FR"/>
        </w:rPr>
        <w:t>E31_Document</w:t>
      </w:r>
      <w:r w:rsidRPr="1B9E7434">
        <w:rPr>
          <w:lang w:val="fr-FR"/>
        </w:rPr>
        <w:t xml:space="preserve">. </w:t>
      </w:r>
      <w:r w:rsidRPr="1B9E7434">
        <w:rPr>
          <w:rStyle w:val="VerbatimChar"/>
          <w:lang w:val="fr-FR"/>
        </w:rPr>
        <w:t>P70_documente (est_documenté_dans)</w:t>
      </w:r>
      <w:r w:rsidRPr="1B9E7434">
        <w:rPr>
          <w:lang w:val="fr-FR"/>
        </w:rPr>
        <w:t xml:space="preserve"> : </w:t>
      </w:r>
      <w:r w:rsidRPr="1B9E7434">
        <w:rPr>
          <w:rStyle w:val="VerbatimChar"/>
          <w:lang w:val="fr-FR"/>
        </w:rPr>
        <w:t>E1_Entité_CRM</w:t>
      </w:r>
    </w:p>
    <w:p w14:paraId="5572E646" w14:textId="77777777" w:rsidR="0084489F" w:rsidRDefault="00110FE6">
      <w:pPr>
        <w:pStyle w:val="BodyText"/>
      </w:pPr>
      <w:r w:rsidRPr="1B9E7434">
        <w:rPr>
          <w:rStyle w:val="VerbatimChar"/>
          <w:lang w:val="fr-FR"/>
        </w:rPr>
        <w:t>E32_Document_de_référence</w:t>
      </w:r>
      <w:r w:rsidRPr="1B9E7434">
        <w:rPr>
          <w:lang w:val="fr-FR"/>
        </w:rPr>
        <w:t>.</w:t>
      </w:r>
      <w:r w:rsidRPr="1B9E7434">
        <w:rPr>
          <w:rStyle w:val="VerbatimChar"/>
          <w:lang w:val="fr-FR"/>
        </w:rPr>
        <w:t xml:space="preserve"> P71_énumère (est_énuméré_par)</w:t>
      </w:r>
      <w:r w:rsidRPr="1B9E7434">
        <w:rPr>
          <w:lang w:val="fr-FR"/>
        </w:rPr>
        <w:t xml:space="preserve"> : </w:t>
      </w:r>
      <w:r w:rsidRPr="1B9E7434">
        <w:rPr>
          <w:rStyle w:val="VerbatimChar"/>
          <w:lang w:val="fr-FR"/>
        </w:rPr>
        <w:t>E1_Entité_CRM</w:t>
      </w:r>
    </w:p>
    <w:p w14:paraId="33F8E51F" w14:textId="77777777" w:rsidR="0084489F" w:rsidRDefault="00110FE6">
      <w:pPr>
        <w:pStyle w:val="BodyText"/>
      </w:pPr>
      <w:r w:rsidRPr="1B9E7434">
        <w:rPr>
          <w:rStyle w:val="VerbatimChar"/>
          <w:lang w:val="fr-FR"/>
        </w:rPr>
        <w:t>E89_Objet_propositionnel</w:t>
      </w:r>
      <w:r w:rsidRPr="1B9E7434">
        <w:rPr>
          <w:lang w:val="fr-FR"/>
        </w:rPr>
        <w:t xml:space="preserve">. </w:t>
      </w:r>
      <w:r w:rsidRPr="1B9E7434">
        <w:rPr>
          <w:rStyle w:val="VerbatimChar"/>
          <w:lang w:val="fr-FR"/>
        </w:rPr>
        <w:t>P129_a_pour_sujet (est_le_sujet_de)</w:t>
      </w:r>
      <w:r w:rsidRPr="1B9E7434">
        <w:rPr>
          <w:lang w:val="fr-FR"/>
        </w:rPr>
        <w:t xml:space="preserve"> : </w:t>
      </w:r>
      <w:r w:rsidRPr="1B9E7434">
        <w:rPr>
          <w:rStyle w:val="VerbatimChar"/>
          <w:lang w:val="fr-FR"/>
        </w:rPr>
        <w:t>E1_Entité_CRM</w:t>
      </w:r>
    </w:p>
    <w:p w14:paraId="6E7A99FF" w14:textId="77777777" w:rsidR="0084489F" w:rsidRDefault="00110FE6">
      <w:pPr>
        <w:pStyle w:val="BodyText"/>
      </w:pPr>
      <w:r w:rsidRPr="1B9E7434">
        <w:rPr>
          <w:rStyle w:val="VerbatimChar"/>
          <w:lang w:val="fr-FR"/>
        </w:rPr>
        <w:t>E36_Entité_visuelle</w:t>
      </w:r>
      <w:r w:rsidRPr="1B9E7434">
        <w:rPr>
          <w:lang w:val="fr-FR"/>
        </w:rPr>
        <w:t>.</w:t>
      </w:r>
      <w:r w:rsidRPr="1B9E7434">
        <w:rPr>
          <w:rStyle w:val="VerbatimChar"/>
          <w:lang w:val="fr-FR"/>
        </w:rPr>
        <w:t xml:space="preserve"> P138_représente (est_représenté_par)</w:t>
      </w:r>
      <w:r w:rsidRPr="1B9E7434">
        <w:rPr>
          <w:lang w:val="fr-FR"/>
        </w:rPr>
        <w:t xml:space="preserve"> : </w:t>
      </w:r>
      <w:r w:rsidRPr="1B9E7434">
        <w:rPr>
          <w:rStyle w:val="VerbatimChar"/>
          <w:lang w:val="fr-FR"/>
        </w:rPr>
        <w:t>E1_Entité_CRM</w:t>
      </w:r>
    </w:p>
    <w:p w14:paraId="7072AD44" w14:textId="77777777" w:rsidR="0084489F" w:rsidRDefault="00110FE6">
      <w:pPr>
        <w:pStyle w:val="BodyText"/>
      </w:pPr>
      <w:r>
        <w:rPr>
          <w:b/>
          <w:bCs/>
        </w:rPr>
        <w:t>Quantification</w:t>
      </w:r>
    </w:p>
    <w:p w14:paraId="7A6DFD9D" w14:textId="77777777" w:rsidR="0084489F" w:rsidRDefault="00110FE6">
      <w:pPr>
        <w:pStyle w:val="BodyText"/>
      </w:pPr>
      <w:r w:rsidRPr="1B9E7434">
        <w:rPr>
          <w:lang w:val="fr-FR"/>
        </w:rPr>
        <w:t>plusieurs à plusieurs (0,n:0,n)</w:t>
      </w:r>
    </w:p>
    <w:p w14:paraId="68A7703C" w14:textId="77777777" w:rsidR="0084489F" w:rsidRDefault="00110FE6">
      <w:pPr>
        <w:pStyle w:val="BodyText"/>
      </w:pPr>
      <w:r>
        <w:rPr>
          <w:b/>
          <w:bCs/>
        </w:rPr>
        <w:t>Note d’application</w:t>
      </w:r>
    </w:p>
    <w:p w14:paraId="7A89A5E7" w14:textId="77777777" w:rsidR="0084489F" w:rsidRDefault="00110FE6">
      <w:pPr>
        <w:pStyle w:val="BodyText"/>
      </w:pPr>
      <w:r w:rsidRPr="1B9E7434">
        <w:rPr>
          <w:lang w:val="fr-FR"/>
        </w:rPr>
        <w:t xml:space="preserve">Cette propriété documente qu'une instance de </w:t>
      </w:r>
      <w:r w:rsidRPr="1B9E7434">
        <w:rPr>
          <w:rStyle w:val="VerbatimChar"/>
          <w:lang w:val="fr-FR"/>
        </w:rPr>
        <w:t>E89_Objet_propositionnel</w:t>
      </w:r>
      <w:r w:rsidRPr="1B9E7434">
        <w:rPr>
          <w:lang w:val="fr-FR"/>
        </w:rPr>
        <w:t xml:space="preserve"> contient un énoncé à propos d'une instance de </w:t>
      </w:r>
      <w:r w:rsidRPr="1B9E7434">
        <w:rPr>
          <w:rStyle w:val="VerbatimChar"/>
          <w:lang w:val="fr-FR"/>
        </w:rPr>
        <w:t>E1_Entité_CRM</w:t>
      </w:r>
      <w:r w:rsidRPr="1B9E7434">
        <w:rPr>
          <w:lang w:val="fr-FR"/>
        </w:rPr>
        <w:t>.</w:t>
      </w:r>
      <w:r w:rsidRPr="1B9E7434">
        <w:rPr>
          <w:rStyle w:val="VerbatimChar"/>
          <w:lang w:val="fr-FR"/>
        </w:rPr>
        <w:t xml:space="preserve"> P67_renvoie_à (fait_l’objet_d’un_renvoi_par)</w:t>
      </w:r>
      <w:r w:rsidRPr="1B9E7434">
        <w:rPr>
          <w:lang w:val="fr-FR"/>
        </w:rPr>
        <w:t xml:space="preserve"> a comme propriété de propriété </w:t>
      </w:r>
      <w:r w:rsidRPr="1B9E7434">
        <w:rPr>
          <w:rStyle w:val="VerbatimChar"/>
          <w:lang w:val="fr-FR"/>
        </w:rPr>
        <w:t>P67.1_a_pour_type</w:t>
      </w:r>
      <w:r w:rsidRPr="1B9E7434">
        <w:rPr>
          <w:lang w:val="fr-FR"/>
        </w:rPr>
        <w:t xml:space="preserve"> et cette dernière a pour objet une instance de E55_Type, de manière à permettre une description plus détaillée du type de référence. La propriété</w:t>
      </w:r>
      <w:r w:rsidRPr="1B9E7434">
        <w:rPr>
          <w:rStyle w:val="VerbatimChar"/>
          <w:lang w:val="fr-FR"/>
        </w:rPr>
        <w:t xml:space="preserve"> P67_renvoie_à (fait_l’objet_d’un_renvoi_par)</w:t>
      </w:r>
      <w:r w:rsidRPr="1B9E7434">
        <w:rPr>
          <w:lang w:val="fr-FR"/>
        </w:rPr>
        <w:t xml:space="preserve"> diffère de </w:t>
      </w:r>
      <w:r w:rsidRPr="1B9E7434">
        <w:rPr>
          <w:rStyle w:val="VerbatimChar"/>
          <w:lang w:val="fr-FR"/>
        </w:rPr>
        <w:t>P129_a_pour_sujet (est_le_sujet_de)</w:t>
      </w:r>
      <w:r w:rsidRPr="1B9E7434">
        <w:rPr>
          <w:lang w:val="fr-FR"/>
        </w:rPr>
        <w:t xml:space="preserve">, qui décrit le ou les sujets principaux de l'instance de </w:t>
      </w:r>
      <w:r w:rsidRPr="1B9E7434">
        <w:rPr>
          <w:rStyle w:val="VerbatimChar"/>
          <w:lang w:val="fr-FR"/>
        </w:rPr>
        <w:t>E89_Objet_propositionnel</w:t>
      </w:r>
      <w:r w:rsidRPr="1B9E7434">
        <w:rPr>
          <w:lang w:val="fr-FR"/>
        </w:rPr>
        <w:t>.</w:t>
      </w:r>
    </w:p>
    <w:p w14:paraId="0DAE95A4" w14:textId="77777777" w:rsidR="0084489F" w:rsidRDefault="00110FE6">
      <w:pPr>
        <w:pStyle w:val="BodyText"/>
      </w:pPr>
      <w:r>
        <w:rPr>
          <w:b/>
          <w:bCs/>
        </w:rPr>
        <w:t>Exemples</w:t>
      </w:r>
    </w:p>
    <w:p w14:paraId="7DAF7ED4" w14:textId="77777777" w:rsidR="0084489F" w:rsidRDefault="00110FE6">
      <w:pPr>
        <w:pStyle w:val="BodyText"/>
      </w:pPr>
      <w:r>
        <w:t>La vente aux enchères sur eBay du 4 juillet 2002 (</w:t>
      </w:r>
      <w:r>
        <w:rPr>
          <w:rStyle w:val="VerbatimChar"/>
        </w:rPr>
        <w:t>E73_Objet_informationnel</w:t>
      </w:r>
      <w:r>
        <w:t>) renvoie à (</w:t>
      </w:r>
      <w:r>
        <w:rPr>
          <w:rStyle w:val="VerbatimChar"/>
        </w:rPr>
        <w:t>P67_renvoie_à</w:t>
      </w:r>
      <w:r>
        <w:t>) la coupe en argent 232 (</w:t>
      </w:r>
      <w:r>
        <w:rPr>
          <w:rStyle w:val="VerbatimChar"/>
        </w:rPr>
        <w:t>E22_Objet_élaboré_par_l’humain</w:t>
      </w:r>
      <w:r>
        <w:t>) qui a pour type (</w:t>
      </w:r>
      <w:r>
        <w:rPr>
          <w:rStyle w:val="VerbatimChar"/>
        </w:rPr>
        <w:t>P67.1_a_pour_type</w:t>
      </w:r>
      <w:r>
        <w:t>) article à vendre (</w:t>
      </w:r>
      <w:r>
        <w:rPr>
          <w:rStyle w:val="VerbatimChar"/>
        </w:rPr>
        <w:t>E55_Type</w:t>
      </w:r>
      <w:r>
        <w:t>) (fictif)</w:t>
      </w:r>
    </w:p>
    <w:p w14:paraId="50A18B71" w14:textId="77777777" w:rsidR="0084489F" w:rsidRDefault="00110FE6">
      <w:pPr>
        <w:pStyle w:val="BodyText"/>
      </w:pPr>
      <w:r>
        <w:rPr>
          <w:b/>
          <w:bCs/>
        </w:rPr>
        <w:t>Logique</w:t>
      </w:r>
    </w:p>
    <w:p w14:paraId="606F54C7" w14:textId="77777777" w:rsidR="0084489F" w:rsidRDefault="00110FE6">
      <w:pPr>
        <w:pStyle w:val="BodyText"/>
      </w:pPr>
      <w:r w:rsidRPr="1B9E7434">
        <w:rPr>
          <w:lang w:val="fr-FR"/>
        </w:rPr>
        <w:t>P67(x,y) ⇒ E89(x)</w:t>
      </w:r>
    </w:p>
    <w:p w14:paraId="2A143142" w14:textId="77777777" w:rsidR="0084489F" w:rsidRDefault="00110FE6">
      <w:pPr>
        <w:pStyle w:val="BodyText"/>
      </w:pPr>
      <w:r w:rsidRPr="1B9E7434">
        <w:rPr>
          <w:lang w:val="fr-FR"/>
        </w:rPr>
        <w:t>P67(x,y) ⇒ E1(y)</w:t>
      </w:r>
    </w:p>
    <w:p w14:paraId="63B27815" w14:textId="77777777" w:rsidR="0084489F" w:rsidRDefault="00110FE6">
      <w:pPr>
        <w:pStyle w:val="BodyText"/>
      </w:pPr>
      <w:r w:rsidRPr="1B9E7434">
        <w:rPr>
          <w:lang w:val="fr-FR"/>
        </w:rPr>
        <w:t>P67(x,y,z) ⇒ [P67(x,y) ∧ E55(z)]</w:t>
      </w:r>
    </w:p>
    <w:p w14:paraId="50B5A5EE" w14:textId="77777777" w:rsidR="0084489F" w:rsidRDefault="00110FE6">
      <w:pPr>
        <w:pStyle w:val="BodyText"/>
      </w:pPr>
      <w:r>
        <w:rPr>
          <w:b/>
          <w:bCs/>
        </w:rPr>
        <w:lastRenderedPageBreak/>
        <w:t>Propriétés</w:t>
      </w:r>
    </w:p>
    <w:p w14:paraId="63AB6F4E" w14:textId="77777777" w:rsidR="0084489F" w:rsidRDefault="00110FE6">
      <w:pPr>
        <w:pStyle w:val="BodyText"/>
      </w:pPr>
      <w:r>
        <w:rPr>
          <w:rStyle w:val="VerbatimChar"/>
        </w:rPr>
        <w:t>P67.1_a_pour_type</w:t>
      </w:r>
      <w:r>
        <w:t xml:space="preserve"> : </w:t>
      </w:r>
      <w:r>
        <w:rPr>
          <w:rStyle w:val="VerbatimChar"/>
        </w:rPr>
        <w:t>E55_Type</w:t>
      </w:r>
    </w:p>
    <w:p w14:paraId="42D9E6FE" w14:textId="77777777" w:rsidR="0084489F" w:rsidRDefault="00110FE6">
      <w:pPr>
        <w:pStyle w:val="BlockText"/>
      </w:pPr>
      <w:r>
        <w:rPr>
          <w:b/>
          <w:bCs/>
          <w:i/>
          <w:iCs/>
        </w:rPr>
        <w:t>Note de traduction</w:t>
      </w:r>
    </w:p>
    <w:p w14:paraId="3C7F6814" w14:textId="77777777" w:rsidR="0084489F" w:rsidRDefault="00110FE6">
      <w:pPr>
        <w:pStyle w:val="BlockText"/>
      </w:pPr>
      <w:r>
        <w:rPr>
          <w:b/>
          <w:bCs/>
          <w:i/>
          <w:iCs/>
        </w:rPr>
        <w:t>Références</w:t>
      </w:r>
    </w:p>
    <w:p w14:paraId="7EC89DE1" w14:textId="77777777" w:rsidR="0084489F" w:rsidRDefault="0084489F">
      <w:pPr>
        <w:pStyle w:val="BlockText"/>
      </w:pPr>
    </w:p>
    <w:p w14:paraId="715DC00A" w14:textId="77777777" w:rsidR="0084489F" w:rsidRDefault="00110FE6">
      <w:pPr>
        <w:pStyle w:val="Heading2"/>
      </w:pPr>
      <w:bookmarkStart w:id="388" w:name="_Toc176864574"/>
      <w:bookmarkStart w:id="389" w:name="p68-prevoit-l'usage-de-(usage-prevu-de)"/>
      <w:bookmarkEnd w:id="387"/>
      <w:r>
        <w:t>P68 prévoit l'usage de (usage prévu de)</w:t>
      </w:r>
      <w:bookmarkEnd w:id="388"/>
    </w:p>
    <w:p w14:paraId="349D30DA" w14:textId="77777777" w:rsidR="0084489F" w:rsidRDefault="00110FE6">
      <w:pPr>
        <w:pStyle w:val="FirstParagraph"/>
      </w:pPr>
      <w:r>
        <w:rPr>
          <w:b/>
          <w:bCs/>
        </w:rPr>
        <w:t>Domaine</w:t>
      </w:r>
    </w:p>
    <w:p w14:paraId="0D67E05C" w14:textId="77777777" w:rsidR="0084489F" w:rsidRDefault="00110FE6">
      <w:pPr>
        <w:pStyle w:val="BodyText"/>
      </w:pPr>
      <w:r>
        <w:rPr>
          <w:rStyle w:val="VerbatimChar"/>
        </w:rPr>
        <w:t>E29_Conceptualisation_ou_procédure</w:t>
      </w:r>
    </w:p>
    <w:p w14:paraId="6516CFA2" w14:textId="77777777" w:rsidR="0084489F" w:rsidRDefault="00110FE6">
      <w:pPr>
        <w:pStyle w:val="BodyText"/>
      </w:pPr>
      <w:r>
        <w:rPr>
          <w:b/>
          <w:bCs/>
        </w:rPr>
        <w:t>Portée</w:t>
      </w:r>
    </w:p>
    <w:p w14:paraId="37286C1E" w14:textId="77777777" w:rsidR="0084489F" w:rsidRDefault="00110FE6">
      <w:pPr>
        <w:pStyle w:val="BodyText"/>
      </w:pPr>
      <w:r>
        <w:rPr>
          <w:rStyle w:val="VerbatimChar"/>
        </w:rPr>
        <w:t>E57_Matériau</w:t>
      </w:r>
    </w:p>
    <w:p w14:paraId="24C894D0" w14:textId="77777777" w:rsidR="0084489F" w:rsidRDefault="00110FE6">
      <w:pPr>
        <w:pStyle w:val="BodyText"/>
      </w:pPr>
      <w:r>
        <w:rPr>
          <w:b/>
          <w:bCs/>
        </w:rPr>
        <w:t>Sous-propriété de</w:t>
      </w:r>
    </w:p>
    <w:p w14:paraId="3E01C834" w14:textId="77777777" w:rsidR="0084489F" w:rsidRDefault="00110FE6">
      <w:pPr>
        <w:pStyle w:val="BodyText"/>
      </w:pPr>
      <w:r w:rsidRPr="1B9E7434">
        <w:rPr>
          <w:rStyle w:val="VerbatimChar"/>
          <w:lang w:val="fr-FR"/>
        </w:rPr>
        <w:t>E89_Objet_propositionnel</w:t>
      </w:r>
      <w:r w:rsidRPr="1B9E7434">
        <w:rPr>
          <w:lang w:val="fr-FR"/>
        </w:rPr>
        <w:t xml:space="preserve">. </w:t>
      </w:r>
      <w:r w:rsidRPr="1B9E7434">
        <w:rPr>
          <w:rStyle w:val="VerbatimChar"/>
          <w:lang w:val="fr-FR"/>
        </w:rPr>
        <w:t>P67_renvoie_à (fait_l’objet_d’un_renvoi_par)</w:t>
      </w:r>
      <w:r w:rsidRPr="1B9E7434">
        <w:rPr>
          <w:lang w:val="fr-FR"/>
        </w:rPr>
        <w:t xml:space="preserve"> : </w:t>
      </w:r>
      <w:r w:rsidRPr="1B9E7434">
        <w:rPr>
          <w:rStyle w:val="VerbatimChar"/>
          <w:lang w:val="fr-FR"/>
        </w:rPr>
        <w:t>E1_Entité_CRM</w:t>
      </w:r>
    </w:p>
    <w:p w14:paraId="656A4828" w14:textId="77777777" w:rsidR="0084489F" w:rsidRDefault="00110FE6">
      <w:pPr>
        <w:pStyle w:val="BodyText"/>
      </w:pPr>
      <w:r>
        <w:rPr>
          <w:b/>
          <w:bCs/>
        </w:rPr>
        <w:t>Super-propriété de</w:t>
      </w:r>
    </w:p>
    <w:p w14:paraId="395F1B7F" w14:textId="77777777" w:rsidR="0084489F" w:rsidRDefault="00110FE6">
      <w:pPr>
        <w:pStyle w:val="BodyText"/>
      </w:pPr>
      <w:r>
        <w:rPr>
          <w:b/>
          <w:bCs/>
        </w:rPr>
        <w:t>Quantification</w:t>
      </w:r>
    </w:p>
    <w:p w14:paraId="10AE9F5F" w14:textId="77777777" w:rsidR="0084489F" w:rsidRDefault="00110FE6">
      <w:pPr>
        <w:pStyle w:val="BodyText"/>
      </w:pPr>
      <w:r w:rsidRPr="1B9E7434">
        <w:rPr>
          <w:lang w:val="fr-FR"/>
        </w:rPr>
        <w:t>plusieurs à plusieurs (0,n:0,n)</w:t>
      </w:r>
    </w:p>
    <w:p w14:paraId="1624B6E3" w14:textId="77777777" w:rsidR="0084489F" w:rsidRDefault="00110FE6">
      <w:pPr>
        <w:pStyle w:val="BodyText"/>
      </w:pPr>
      <w:r>
        <w:rPr>
          <w:b/>
          <w:bCs/>
        </w:rPr>
        <w:t>Note d’application</w:t>
      </w:r>
    </w:p>
    <w:p w14:paraId="1988DEDC" w14:textId="77777777" w:rsidR="0084489F" w:rsidRDefault="00110FE6">
      <w:pPr>
        <w:pStyle w:val="BodyText"/>
      </w:pPr>
      <w:r>
        <w:t xml:space="preserve">Cette propriété identifie une instance de </w:t>
      </w:r>
      <w:r>
        <w:rPr>
          <w:rStyle w:val="VerbatimChar"/>
        </w:rPr>
        <w:t>E57_Matériau</w:t>
      </w:r>
      <w:r>
        <w:t xml:space="preserve"> prévue pour être utilisée par une instance de </w:t>
      </w:r>
      <w:r>
        <w:rPr>
          <w:rStyle w:val="VerbatimChar"/>
        </w:rPr>
        <w:t>E29_Conceptualisation_ou_procédure</w:t>
      </w:r>
      <w:r>
        <w:t>.</w:t>
      </w:r>
    </w:p>
    <w:p w14:paraId="32DA60D5" w14:textId="77777777" w:rsidR="0084489F" w:rsidRDefault="00110FE6">
      <w:pPr>
        <w:pStyle w:val="BodyText"/>
      </w:pPr>
      <w:r w:rsidRPr="1B9E7434">
        <w:rPr>
          <w:lang w:val="fr-FR"/>
        </w:rPr>
        <w:t xml:space="preserve">Les instances de </w:t>
      </w:r>
      <w:r w:rsidRPr="1B9E7434">
        <w:rPr>
          <w:rStyle w:val="VerbatimChar"/>
          <w:lang w:val="fr-FR"/>
        </w:rPr>
        <w:t>E29_Conceptualisation_ou_procédure</w:t>
      </w:r>
      <w:r w:rsidRPr="1B9E7434">
        <w:rPr>
          <w:lang w:val="fr-FR"/>
        </w:rPr>
        <w:t xml:space="preserve"> prévoient couramment l’usage d’instances particulières de </w:t>
      </w:r>
      <w:r w:rsidRPr="1B9E7434">
        <w:rPr>
          <w:rStyle w:val="VerbatimChar"/>
          <w:lang w:val="fr-FR"/>
        </w:rPr>
        <w:t>E57_Matériau</w:t>
      </w:r>
      <w:r w:rsidRPr="1B9E7434">
        <w:rPr>
          <w:lang w:val="fr-FR"/>
        </w:rPr>
        <w:t xml:space="preserve">. La fabrication de briques d’adobe, par exemple, nécessite de la paille, de l’argile et de l’eau. La propriété </w:t>
      </w:r>
      <w:r w:rsidRPr="1B9E7434">
        <w:rPr>
          <w:rStyle w:val="VerbatimChar"/>
          <w:lang w:val="fr-FR"/>
        </w:rPr>
        <w:t>P68_prévoit_l’usage_de (usage_prévu_de)</w:t>
      </w:r>
      <w:r w:rsidRPr="1B9E7434">
        <w:rPr>
          <w:lang w:val="fr-FR"/>
        </w:rPr>
        <w:t xml:space="preserve"> permet de documenter ce fait.</w:t>
      </w:r>
    </w:p>
    <w:p w14:paraId="7EC1AD15" w14:textId="77777777" w:rsidR="0084489F" w:rsidRDefault="00110FE6">
      <w:pPr>
        <w:pStyle w:val="BodyText"/>
      </w:pPr>
      <w:r>
        <w:t xml:space="preserve">Cette propriété n’est pas destinée à documenter les instances de </w:t>
      </w:r>
      <w:r>
        <w:rPr>
          <w:rStyle w:val="VerbatimChar"/>
        </w:rPr>
        <w:t>E57_Matériau</w:t>
      </w:r>
      <w:r>
        <w:t xml:space="preserve"> qui ont été utilisées à une occasion particulière, lorsqu’une instance de </w:t>
      </w:r>
      <w:r>
        <w:rPr>
          <w:rStyle w:val="VerbatimChar"/>
        </w:rPr>
        <w:t>E29_Conceptualisation_ou_procédure</w:t>
      </w:r>
      <w:r>
        <w:t xml:space="preserve"> a été mise en œuvre.</w:t>
      </w:r>
    </w:p>
    <w:p w14:paraId="6719F96F" w14:textId="77777777" w:rsidR="0084489F" w:rsidRDefault="00110FE6">
      <w:pPr>
        <w:pStyle w:val="BodyText"/>
      </w:pPr>
      <w:r>
        <w:rPr>
          <w:b/>
          <w:bCs/>
        </w:rPr>
        <w:t>Exemples</w:t>
      </w:r>
    </w:p>
    <w:p w14:paraId="6A830C6F" w14:textId="4E96FC61" w:rsidR="0084489F" w:rsidRDefault="00110FE6" w:rsidP="00806324">
      <w:pPr>
        <w:numPr>
          <w:ilvl w:val="0"/>
          <w:numId w:val="195"/>
        </w:numPr>
      </w:pPr>
      <w:r w:rsidRPr="1B9E7434">
        <w:rPr>
          <w:lang w:val="fr-FR"/>
        </w:rPr>
        <w:t>La procédure pour la fabrication du verre sodocalcique (</w:t>
      </w:r>
      <w:r w:rsidRPr="1B9E7434">
        <w:rPr>
          <w:rStyle w:val="VerbatimChar"/>
          <w:lang w:val="fr-FR"/>
        </w:rPr>
        <w:t>E29_Conceptualisation_ou_procédure</w:t>
      </w:r>
      <w:r w:rsidRPr="1B9E7434">
        <w:rPr>
          <w:lang w:val="fr-FR"/>
        </w:rPr>
        <w:t>) prévoit l’usage de (</w:t>
      </w:r>
      <w:r w:rsidRPr="1B9E7434">
        <w:rPr>
          <w:rStyle w:val="VerbatimChar"/>
          <w:lang w:val="fr-FR"/>
        </w:rPr>
        <w:t>P68_prévoit_l’usage_de</w:t>
      </w:r>
      <w:r w:rsidRPr="1B9E7434">
        <w:rPr>
          <w:lang w:val="fr-FR"/>
        </w:rPr>
        <w:t>) soude (</w:t>
      </w:r>
      <w:r w:rsidRPr="1B9E7434">
        <w:rPr>
          <w:rStyle w:val="VerbatimChar"/>
          <w:lang w:val="fr-FR"/>
        </w:rPr>
        <w:t>E57_Matériau</w:t>
      </w:r>
      <w:r w:rsidRPr="1B9E7434">
        <w:rPr>
          <w:lang w:val="fr-FR"/>
        </w:rPr>
        <w:t>) (Brooks, 1973)</w:t>
      </w:r>
    </w:p>
    <w:p w14:paraId="4080FADB" w14:textId="77777777" w:rsidR="0084489F" w:rsidRDefault="00110FE6">
      <w:pPr>
        <w:pStyle w:val="FirstParagraph"/>
      </w:pPr>
      <w:r>
        <w:rPr>
          <w:b/>
          <w:bCs/>
        </w:rPr>
        <w:t>Logique</w:t>
      </w:r>
    </w:p>
    <w:p w14:paraId="2F24790E" w14:textId="77777777" w:rsidR="0084489F" w:rsidRDefault="00110FE6">
      <w:pPr>
        <w:pStyle w:val="BodyText"/>
      </w:pPr>
      <w:r w:rsidRPr="1B9E7434">
        <w:rPr>
          <w:lang w:val="fr-FR"/>
        </w:rPr>
        <w:t>P68(x,y) ⇒ E29(x)</w:t>
      </w:r>
    </w:p>
    <w:p w14:paraId="2544CB3B" w14:textId="77777777" w:rsidR="0084489F" w:rsidRDefault="00110FE6">
      <w:pPr>
        <w:pStyle w:val="BodyText"/>
      </w:pPr>
      <w:r w:rsidRPr="1B9E7434">
        <w:rPr>
          <w:lang w:val="fr-FR"/>
        </w:rPr>
        <w:t>P68(x,y) ⇒ E57(y)</w:t>
      </w:r>
    </w:p>
    <w:p w14:paraId="5B35524D" w14:textId="77777777" w:rsidR="0084489F" w:rsidRDefault="00110FE6">
      <w:pPr>
        <w:pStyle w:val="BodyText"/>
      </w:pPr>
      <w:r w:rsidRPr="1B9E7434">
        <w:rPr>
          <w:lang w:val="fr-FR"/>
        </w:rPr>
        <w:t>P68(x,y) ⇒ P67(x,y)</w:t>
      </w:r>
    </w:p>
    <w:p w14:paraId="27A332D5" w14:textId="77777777" w:rsidR="0084489F" w:rsidRDefault="00110FE6">
      <w:pPr>
        <w:pStyle w:val="BodyText"/>
      </w:pPr>
      <w:r>
        <w:rPr>
          <w:b/>
          <w:bCs/>
        </w:rPr>
        <w:t>Propriétés</w:t>
      </w:r>
    </w:p>
    <w:p w14:paraId="3AE1ED92" w14:textId="77777777" w:rsidR="0084489F" w:rsidRDefault="00110FE6">
      <w:pPr>
        <w:pStyle w:val="BlockText"/>
      </w:pPr>
      <w:r>
        <w:rPr>
          <w:b/>
          <w:bCs/>
          <w:i/>
          <w:iCs/>
        </w:rPr>
        <w:t>Note de traduction</w:t>
      </w:r>
    </w:p>
    <w:p w14:paraId="0863CBDD" w14:textId="77777777" w:rsidR="0084489F" w:rsidRDefault="00110FE6">
      <w:pPr>
        <w:pStyle w:val="BlockText"/>
      </w:pPr>
      <w:r>
        <w:rPr>
          <w:b/>
          <w:bCs/>
          <w:i/>
          <w:iCs/>
        </w:rPr>
        <w:lastRenderedPageBreak/>
        <w:t>Références</w:t>
      </w:r>
    </w:p>
    <w:p w14:paraId="77909E3F" w14:textId="77777777" w:rsidR="0084489F" w:rsidRDefault="0084489F">
      <w:pPr>
        <w:pStyle w:val="BlockText"/>
      </w:pPr>
    </w:p>
    <w:p w14:paraId="0213C33D" w14:textId="77777777" w:rsidR="0084489F" w:rsidRDefault="00110FE6">
      <w:pPr>
        <w:pStyle w:val="Heading2"/>
      </w:pPr>
      <w:bookmarkStart w:id="390" w:name="_Toc176864575"/>
      <w:bookmarkStart w:id="391" w:name="p69-est-associe-a-(est-associe-a)"/>
      <w:bookmarkEnd w:id="389"/>
      <w:r>
        <w:t>P69 est associé à (est associé à)</w:t>
      </w:r>
      <w:bookmarkEnd w:id="390"/>
    </w:p>
    <w:p w14:paraId="4B35A173" w14:textId="77777777" w:rsidR="0084489F" w:rsidRDefault="00110FE6">
      <w:pPr>
        <w:pStyle w:val="FirstParagraph"/>
      </w:pPr>
      <w:r>
        <w:rPr>
          <w:b/>
          <w:bCs/>
        </w:rPr>
        <w:t>Domaine</w:t>
      </w:r>
    </w:p>
    <w:p w14:paraId="637F8BA6" w14:textId="77777777" w:rsidR="0084489F" w:rsidRDefault="00110FE6">
      <w:pPr>
        <w:pStyle w:val="BodyText"/>
      </w:pPr>
      <w:r>
        <w:rPr>
          <w:rStyle w:val="VerbatimChar"/>
        </w:rPr>
        <w:t>E29_Conceptualisation_ou_procédure</w:t>
      </w:r>
    </w:p>
    <w:p w14:paraId="2F1D4C1A" w14:textId="77777777" w:rsidR="0084489F" w:rsidRDefault="00110FE6">
      <w:pPr>
        <w:pStyle w:val="BodyText"/>
      </w:pPr>
      <w:r>
        <w:rPr>
          <w:b/>
          <w:bCs/>
        </w:rPr>
        <w:t>Portée</w:t>
      </w:r>
    </w:p>
    <w:p w14:paraId="11FD5166" w14:textId="77777777" w:rsidR="0084489F" w:rsidRDefault="00110FE6">
      <w:pPr>
        <w:pStyle w:val="BodyText"/>
      </w:pPr>
      <w:r>
        <w:rPr>
          <w:rStyle w:val="VerbatimChar"/>
        </w:rPr>
        <w:t>E29_Conceptualisation_ou_procédure</w:t>
      </w:r>
    </w:p>
    <w:p w14:paraId="3E286243" w14:textId="77777777" w:rsidR="0084489F" w:rsidRDefault="00110FE6">
      <w:pPr>
        <w:pStyle w:val="BodyText"/>
      </w:pPr>
      <w:r>
        <w:rPr>
          <w:b/>
          <w:bCs/>
        </w:rPr>
        <w:t>Sous-propriété de</w:t>
      </w:r>
    </w:p>
    <w:p w14:paraId="2E4E84A0" w14:textId="77777777" w:rsidR="0084489F" w:rsidRDefault="00110FE6">
      <w:pPr>
        <w:pStyle w:val="BodyText"/>
      </w:pPr>
      <w:r>
        <w:rPr>
          <w:b/>
          <w:bCs/>
        </w:rPr>
        <w:t>Super-propriété de</w:t>
      </w:r>
    </w:p>
    <w:p w14:paraId="1542B144" w14:textId="77777777" w:rsidR="0084489F" w:rsidRDefault="00110FE6">
      <w:pPr>
        <w:pStyle w:val="BodyText"/>
      </w:pPr>
      <w:r>
        <w:rPr>
          <w:b/>
          <w:bCs/>
        </w:rPr>
        <w:t>Quantification</w:t>
      </w:r>
    </w:p>
    <w:p w14:paraId="3A972797" w14:textId="77777777" w:rsidR="0084489F" w:rsidRDefault="00110FE6">
      <w:pPr>
        <w:pStyle w:val="BodyText"/>
      </w:pPr>
      <w:r w:rsidRPr="1B9E7434">
        <w:rPr>
          <w:lang w:val="fr-FR"/>
        </w:rPr>
        <w:t>plusieurs à plusieurs (0,n:0,n)</w:t>
      </w:r>
    </w:p>
    <w:p w14:paraId="53D693F0" w14:textId="77777777" w:rsidR="0084489F" w:rsidRDefault="00110FE6">
      <w:pPr>
        <w:pStyle w:val="BodyText"/>
      </w:pPr>
      <w:r>
        <w:rPr>
          <w:b/>
          <w:bCs/>
        </w:rPr>
        <w:t>Note d’application</w:t>
      </w:r>
    </w:p>
    <w:p w14:paraId="69F62DFC" w14:textId="77777777" w:rsidR="0084489F" w:rsidRDefault="00110FE6">
      <w:pPr>
        <w:pStyle w:val="BodyText"/>
      </w:pPr>
      <w:r>
        <w:t xml:space="preserve">Cette propriété généralise des relations telles que tout-partie, séquence, prérequis, ou inspirées par, entre des instances de </w:t>
      </w:r>
      <w:r>
        <w:rPr>
          <w:rStyle w:val="VerbatimChar"/>
        </w:rPr>
        <w:t>E29_Conceptualisation_ou_procédure</w:t>
      </w:r>
      <w:r>
        <w:t xml:space="preserve">. Toute instance de </w:t>
      </w:r>
      <w:r>
        <w:rPr>
          <w:rStyle w:val="VerbatimChar"/>
        </w:rPr>
        <w:t>E29_Conceptualisation_ou_procédure</w:t>
      </w:r>
      <w:r>
        <w:t xml:space="preserve"> peut être associée à d’autres conceptualisations ou procédures. La propriété est considérée comme symétrique, à moins d’indication contraire via la propriété </w:t>
      </w:r>
      <w:r>
        <w:rPr>
          <w:rStyle w:val="VerbatimChar"/>
        </w:rPr>
        <w:t>P69.1_a_pour_type</w:t>
      </w:r>
      <w:r>
        <w:t>.</w:t>
      </w:r>
    </w:p>
    <w:p w14:paraId="244F078C" w14:textId="77777777" w:rsidR="0084489F" w:rsidRDefault="00110FE6">
      <w:pPr>
        <w:pStyle w:val="BodyText"/>
      </w:pPr>
      <w:r>
        <w:t>Cette propriété n'est pas transitive.</w:t>
      </w:r>
    </w:p>
    <w:p w14:paraId="06E14806" w14:textId="77777777" w:rsidR="0084489F" w:rsidRDefault="00110FE6">
      <w:pPr>
        <w:pStyle w:val="BodyText"/>
      </w:pPr>
      <w:r w:rsidRPr="1B9E7434">
        <w:rPr>
          <w:lang w:val="fr-FR"/>
        </w:rPr>
        <w:t xml:space="preserve">Cette propriété comporte une direction. La propriété </w:t>
      </w:r>
      <w:r w:rsidRPr="1B9E7434">
        <w:rPr>
          <w:rStyle w:val="VerbatimChar"/>
          <w:lang w:val="fr-FR"/>
        </w:rPr>
        <w:t>P69.1_a_pour_type</w:t>
      </w:r>
      <w:r w:rsidRPr="1B9E7434">
        <w:rPr>
          <w:lang w:val="fr-FR"/>
        </w:rPr>
        <w:t xml:space="preserve"> de la propriété </w:t>
      </w:r>
      <w:r w:rsidRPr="1B9E7434">
        <w:rPr>
          <w:rStyle w:val="VerbatimChar"/>
          <w:lang w:val="fr-FR"/>
        </w:rPr>
        <w:t>P69_est_associé_à (est_associé_à)</w:t>
      </w:r>
      <w:r w:rsidRPr="1B9E7434">
        <w:rPr>
          <w:lang w:val="fr-FR"/>
        </w:rPr>
        <w:t xml:space="preserve"> permet de spécifier la nature de l’association entre des instances de </w:t>
      </w:r>
      <w:r w:rsidRPr="1B9E7434">
        <w:rPr>
          <w:rStyle w:val="VerbatimChar"/>
          <w:lang w:val="fr-FR"/>
        </w:rPr>
        <w:t>E29_Conceptualisation_ou_procédure</w:t>
      </w:r>
      <w:r w:rsidRPr="1B9E7434">
        <w:rPr>
          <w:lang w:val="fr-FR"/>
        </w:rPr>
        <w:t> : a pour partie, suit, nécessite, etc.</w:t>
      </w:r>
    </w:p>
    <w:p w14:paraId="0B94D092" w14:textId="77777777" w:rsidR="0084489F" w:rsidRDefault="00110FE6">
      <w:pPr>
        <w:pStyle w:val="BodyText"/>
      </w:pPr>
      <w:r>
        <w:t xml:space="preserve">Les instances de cette propriété sont considérées symétriques dans l'éventualité où aucune direction ne serait impartie par la propriété </w:t>
      </w:r>
      <w:r>
        <w:rPr>
          <w:rStyle w:val="VerbatimChar"/>
        </w:rPr>
        <w:t>P69.1_a_pour_type</w:t>
      </w:r>
      <w:r>
        <w:t>.</w:t>
      </w:r>
    </w:p>
    <w:p w14:paraId="671221F7" w14:textId="77777777" w:rsidR="0084489F" w:rsidRDefault="00110FE6">
      <w:pPr>
        <w:pStyle w:val="BodyText"/>
      </w:pPr>
      <w:r w:rsidRPr="1B9E7434">
        <w:rPr>
          <w:lang w:val="fr-FR"/>
        </w:rPr>
        <w:t xml:space="preserve">La propriété </w:t>
      </w:r>
      <w:r w:rsidRPr="1B9E7434">
        <w:rPr>
          <w:rStyle w:val="VerbatimChar"/>
          <w:lang w:val="fr-FR"/>
        </w:rPr>
        <w:t>P69_est_associé_à (est_associé_à)</w:t>
      </w:r>
      <w:r w:rsidRPr="1B9E7434">
        <w:rPr>
          <w:lang w:val="fr-FR"/>
        </w:rPr>
        <w:t xml:space="preserve"> peut généralement être utilisée pour modéliser la décomposition de la description d’un flux de travail complet en une série de procédures séparées.</w:t>
      </w:r>
    </w:p>
    <w:p w14:paraId="3DADF206" w14:textId="77777777" w:rsidR="0084489F" w:rsidRDefault="00110FE6">
      <w:pPr>
        <w:pStyle w:val="BodyText"/>
      </w:pPr>
      <w:r>
        <w:rPr>
          <w:b/>
          <w:bCs/>
        </w:rPr>
        <w:t>Exemples</w:t>
      </w:r>
    </w:p>
    <w:p w14:paraId="552A9C3B" w14:textId="77777777" w:rsidR="0084489F" w:rsidRDefault="00110FE6" w:rsidP="00806324">
      <w:pPr>
        <w:numPr>
          <w:ilvl w:val="0"/>
          <w:numId w:val="196"/>
        </w:numPr>
      </w:pPr>
      <w:r>
        <w:t>La procédure pour le soufflage du verre (</w:t>
      </w:r>
      <w:r>
        <w:rPr>
          <w:rStyle w:val="VerbatimChar"/>
        </w:rPr>
        <w:t>E29_Conceptualisation_ou_procédure</w:t>
      </w:r>
      <w:r>
        <w:t>) est associée à (</w:t>
      </w:r>
      <w:r>
        <w:rPr>
          <w:rStyle w:val="VerbatimChar"/>
        </w:rPr>
        <w:t>P69_est_associé_à</w:t>
      </w:r>
      <w:r>
        <w:t>) la procédure pour le chauffage du verre (</w:t>
      </w:r>
      <w:r>
        <w:rPr>
          <w:rStyle w:val="VerbatimChar"/>
        </w:rPr>
        <w:t>E29_Conceptualisation_ou_procédure</w:t>
      </w:r>
      <w:r>
        <w:t>) (Brooks, 1973)</w:t>
      </w:r>
    </w:p>
    <w:p w14:paraId="5EB86B48" w14:textId="77777777" w:rsidR="0084489F" w:rsidRDefault="00110FE6" w:rsidP="00806324">
      <w:pPr>
        <w:numPr>
          <w:ilvl w:val="0"/>
          <w:numId w:val="196"/>
        </w:numPr>
      </w:pPr>
      <w:r>
        <w:t>L’ensemble d’instructions pour interpréter Macbeth dans la production de Max Reinhardt en 1916 au Deutsches Theater de Berlin (</w:t>
      </w:r>
      <w:r>
        <w:rPr>
          <w:rStyle w:val="VerbatimChar"/>
        </w:rPr>
        <w:t>E29_Conceptualisation_ou_procédure</w:t>
      </w:r>
      <w:r>
        <w:t>) est associé au (</w:t>
      </w:r>
      <w:r>
        <w:rPr>
          <w:rStyle w:val="VerbatimChar"/>
        </w:rPr>
        <w:t>P69_est_associé_à</w:t>
      </w:r>
      <w:r>
        <w:t>) dessin d’aménagement de la scène par Ernst Stern reproduit à http://www.glopad.org/pi/fr/record/digdoc/1003814 (</w:t>
      </w:r>
      <w:r>
        <w:rPr>
          <w:rStyle w:val="VerbatimChar"/>
        </w:rPr>
        <w:t>E29_Conceptualisation_ou_procédure</w:t>
      </w:r>
      <w:r>
        <w:t>) a pour type (</w:t>
      </w:r>
      <w:r>
        <w:rPr>
          <w:rStyle w:val="VerbatimChar"/>
        </w:rPr>
        <w:t>P69.1_a_pour_type</w:t>
      </w:r>
      <w:r>
        <w:t>) « a pour partie » (</w:t>
      </w:r>
      <w:r>
        <w:rPr>
          <w:rStyle w:val="VerbatimChar"/>
        </w:rPr>
        <w:t>E55_Type</w:t>
      </w:r>
      <w:r>
        <w:t>)</w:t>
      </w:r>
    </w:p>
    <w:p w14:paraId="63F89FEA" w14:textId="77777777" w:rsidR="0084489F" w:rsidRDefault="00110FE6" w:rsidP="00806324">
      <w:pPr>
        <w:numPr>
          <w:ilvl w:val="0"/>
          <w:numId w:val="196"/>
        </w:numPr>
      </w:pPr>
      <w:r>
        <w:t>La préparation d’un parchemin (</w:t>
      </w:r>
      <w:r>
        <w:rPr>
          <w:rStyle w:val="VerbatimChar"/>
        </w:rPr>
        <w:t>E29_Conceptualisation_ou_procédure</w:t>
      </w:r>
      <w:r>
        <w:t>) est associée au (</w:t>
      </w:r>
      <w:r>
        <w:rPr>
          <w:rStyle w:val="VerbatimChar"/>
        </w:rPr>
        <w:t>P69_est_associé_à</w:t>
      </w:r>
      <w:r>
        <w:t>) trempage et au raclage de la peau (</w:t>
      </w:r>
      <w:r>
        <w:rPr>
          <w:rStyle w:val="VerbatimChar"/>
        </w:rPr>
        <w:t>E29_Conceptualisation_ou_procédure</w:t>
      </w:r>
      <w:r>
        <w:t>) a pour type (</w:t>
      </w:r>
      <w:r>
        <w:rPr>
          <w:rStyle w:val="VerbatimChar"/>
        </w:rPr>
        <w:t>P69.1_a_pour_type</w:t>
      </w:r>
      <w:r>
        <w:t>) « a pour partie » (</w:t>
      </w:r>
      <w:r>
        <w:rPr>
          <w:rStyle w:val="VerbatimChar"/>
        </w:rPr>
        <w:t>E55_Type</w:t>
      </w:r>
      <w:r>
        <w:t>).</w:t>
      </w:r>
    </w:p>
    <w:p w14:paraId="541BD063" w14:textId="4C684D86" w:rsidR="0084489F" w:rsidRDefault="00110FE6" w:rsidP="00806324">
      <w:pPr>
        <w:numPr>
          <w:ilvl w:val="0"/>
          <w:numId w:val="196"/>
        </w:numPr>
      </w:pPr>
      <w:r w:rsidRPr="1B9E7434">
        <w:rPr>
          <w:lang w:val="fr-FR"/>
        </w:rPr>
        <w:lastRenderedPageBreak/>
        <w:t>L’étirement de la peau (</w:t>
      </w:r>
      <w:r w:rsidRPr="1B9E7434">
        <w:rPr>
          <w:rStyle w:val="VerbatimChar"/>
          <w:lang w:val="fr-FR"/>
        </w:rPr>
        <w:t>E29_Conceptualisation_ou_procédure</w:t>
      </w:r>
      <w:r w:rsidRPr="1B9E7434">
        <w:rPr>
          <w:lang w:val="fr-FR"/>
        </w:rPr>
        <w:t>) est associée au (</w:t>
      </w:r>
      <w:r w:rsidRPr="1B9E7434">
        <w:rPr>
          <w:rStyle w:val="VerbatimChar"/>
          <w:lang w:val="fr-FR"/>
        </w:rPr>
        <w:t>P69_est_associé_à</w:t>
      </w:r>
      <w:r w:rsidRPr="1B9E7434">
        <w:rPr>
          <w:lang w:val="fr-FR"/>
        </w:rPr>
        <w:t>) trempage et au raclage de la peau (</w:t>
      </w:r>
      <w:r w:rsidRPr="1B9E7434">
        <w:rPr>
          <w:rStyle w:val="VerbatimChar"/>
          <w:lang w:val="fr-FR"/>
        </w:rPr>
        <w:t>E29_Conceptualisation_ou_procédure</w:t>
      </w:r>
      <w:r w:rsidRPr="1B9E7434">
        <w:rPr>
          <w:lang w:val="fr-FR"/>
        </w:rPr>
        <w:t>) a pour type (</w:t>
      </w:r>
      <w:r w:rsidRPr="1B9E7434">
        <w:rPr>
          <w:rStyle w:val="VerbatimChar"/>
          <w:lang w:val="fr-FR"/>
        </w:rPr>
        <w:t>P69.1_a_pour_type</w:t>
      </w:r>
      <w:r w:rsidRPr="1B9E7434">
        <w:rPr>
          <w:lang w:val="fr-FR"/>
        </w:rPr>
        <w:t>) « suit » (</w:t>
      </w:r>
      <w:r w:rsidRPr="1B9E7434">
        <w:rPr>
          <w:rStyle w:val="VerbatimChar"/>
          <w:lang w:val="fr-FR"/>
        </w:rPr>
        <w:t>E55_Type</w:t>
      </w:r>
      <w:r w:rsidRPr="1B9E7434">
        <w:rPr>
          <w:lang w:val="fr-FR"/>
        </w:rPr>
        <w:t>) (Poole &amp; Reed, 1962)</w:t>
      </w:r>
    </w:p>
    <w:p w14:paraId="4A1653E2" w14:textId="582B4CFA" w:rsidR="0084489F" w:rsidRDefault="00110FE6" w:rsidP="00806324">
      <w:pPr>
        <w:numPr>
          <w:ilvl w:val="0"/>
          <w:numId w:val="196"/>
        </w:numPr>
      </w:pPr>
      <w:r w:rsidRPr="1B9E7434">
        <w:rPr>
          <w:lang w:val="fr-FR"/>
        </w:rPr>
        <w:t>Le plan de remontage des temples d’Abou Simbel (</w:t>
      </w:r>
      <w:r w:rsidRPr="1B9E7434">
        <w:rPr>
          <w:rStyle w:val="VerbatimChar"/>
          <w:lang w:val="fr-FR"/>
        </w:rPr>
        <w:t>E29_Conceptualisation_ou_procédure</w:t>
      </w:r>
      <w:r w:rsidRPr="1B9E7434">
        <w:rPr>
          <w:lang w:val="fr-FR"/>
        </w:rPr>
        <w:t>) est associé au (</w:t>
      </w:r>
      <w:r w:rsidRPr="1B9E7434">
        <w:rPr>
          <w:rStyle w:val="VerbatimChar"/>
          <w:lang w:val="fr-FR"/>
        </w:rPr>
        <w:t>P69_est_associé_à</w:t>
      </w:r>
      <w:r w:rsidRPr="1B9E7434">
        <w:rPr>
          <w:lang w:val="fr-FR"/>
        </w:rPr>
        <w:t>) plan pour entreposer et transporter les blocs (</w:t>
      </w:r>
      <w:r w:rsidRPr="1B9E7434">
        <w:rPr>
          <w:rStyle w:val="VerbatimChar"/>
          <w:lang w:val="fr-FR"/>
        </w:rPr>
        <w:t>E29_Conceptualisation_ou_procédure</w:t>
      </w:r>
      <w:r w:rsidRPr="1B9E7434">
        <w:rPr>
          <w:lang w:val="fr-FR"/>
        </w:rPr>
        <w:t>) a pour type (</w:t>
      </w:r>
      <w:r w:rsidRPr="1B9E7434">
        <w:rPr>
          <w:rStyle w:val="VerbatimChar"/>
          <w:lang w:val="fr-FR"/>
        </w:rPr>
        <w:t>P69.1_a_pour_type</w:t>
      </w:r>
      <w:r w:rsidRPr="1B9E7434">
        <w:rPr>
          <w:lang w:val="fr-FR"/>
        </w:rPr>
        <w:t>) « suit » (</w:t>
      </w:r>
      <w:r w:rsidRPr="1B9E7434">
        <w:rPr>
          <w:rStyle w:val="VerbatimChar"/>
          <w:lang w:val="fr-FR"/>
        </w:rPr>
        <w:t>E55_Type</w:t>
      </w:r>
      <w:r w:rsidRPr="1B9E7434">
        <w:rPr>
          <w:lang w:val="fr-FR"/>
        </w:rPr>
        <w:t>) (Loubiere, 1995)</w:t>
      </w:r>
    </w:p>
    <w:p w14:paraId="559CF0D9" w14:textId="77777777" w:rsidR="0084489F" w:rsidRDefault="00110FE6">
      <w:pPr>
        <w:pStyle w:val="FirstParagraph"/>
      </w:pPr>
      <w:r>
        <w:rPr>
          <w:b/>
          <w:bCs/>
        </w:rPr>
        <w:t>Logique</w:t>
      </w:r>
    </w:p>
    <w:p w14:paraId="00D09651" w14:textId="77777777" w:rsidR="0084489F" w:rsidRDefault="00110FE6">
      <w:pPr>
        <w:pStyle w:val="BodyText"/>
      </w:pPr>
      <w:r w:rsidRPr="1B9E7434">
        <w:rPr>
          <w:lang w:val="fr-FR"/>
        </w:rPr>
        <w:t>P69(x,y) ⇒ E29(x)</w:t>
      </w:r>
    </w:p>
    <w:p w14:paraId="5D2360F7" w14:textId="77777777" w:rsidR="0084489F" w:rsidRDefault="00110FE6">
      <w:pPr>
        <w:pStyle w:val="BodyText"/>
      </w:pPr>
      <w:r w:rsidRPr="1B9E7434">
        <w:rPr>
          <w:lang w:val="fr-FR"/>
        </w:rPr>
        <w:t>P69(x,y) ⇒ E29(y)</w:t>
      </w:r>
    </w:p>
    <w:p w14:paraId="314BBEC5" w14:textId="77777777" w:rsidR="0084489F" w:rsidRDefault="00110FE6">
      <w:pPr>
        <w:pStyle w:val="BodyText"/>
      </w:pPr>
      <w:r w:rsidRPr="1B9E7434">
        <w:rPr>
          <w:lang w:val="fr-FR"/>
        </w:rPr>
        <w:t>P69(x,y,z) ⇒ [P69(x,y) ∧ E55(z)]</w:t>
      </w:r>
    </w:p>
    <w:p w14:paraId="41E2651B" w14:textId="77777777" w:rsidR="0084489F" w:rsidRDefault="00110FE6">
      <w:pPr>
        <w:pStyle w:val="BodyText"/>
      </w:pPr>
      <w:r>
        <w:rPr>
          <w:b/>
          <w:bCs/>
        </w:rPr>
        <w:t>Propriétés</w:t>
      </w:r>
    </w:p>
    <w:p w14:paraId="254D98F9" w14:textId="77777777" w:rsidR="0084489F" w:rsidRDefault="00110FE6">
      <w:pPr>
        <w:pStyle w:val="BodyText"/>
      </w:pPr>
      <w:r>
        <w:rPr>
          <w:rStyle w:val="VerbatimChar"/>
        </w:rPr>
        <w:t>P69.1_a_pour_type</w:t>
      </w:r>
      <w:r>
        <w:t xml:space="preserve"> : </w:t>
      </w:r>
      <w:r>
        <w:rPr>
          <w:rStyle w:val="VerbatimChar"/>
        </w:rPr>
        <w:t>E55_Type</w:t>
      </w:r>
    </w:p>
    <w:p w14:paraId="2CF24BF8" w14:textId="77777777" w:rsidR="0084489F" w:rsidRDefault="00110FE6">
      <w:pPr>
        <w:pStyle w:val="BlockText"/>
      </w:pPr>
      <w:r>
        <w:rPr>
          <w:b/>
          <w:bCs/>
          <w:i/>
          <w:iCs/>
        </w:rPr>
        <w:t>Note de traduction</w:t>
      </w:r>
    </w:p>
    <w:p w14:paraId="665935D1" w14:textId="77777777" w:rsidR="0084489F" w:rsidRDefault="00110FE6">
      <w:pPr>
        <w:pStyle w:val="BlockText"/>
      </w:pPr>
      <w:r>
        <w:rPr>
          <w:b/>
          <w:bCs/>
          <w:i/>
          <w:iCs/>
        </w:rPr>
        <w:t>Références</w:t>
      </w:r>
    </w:p>
    <w:p w14:paraId="07729322" w14:textId="77777777" w:rsidR="0084489F" w:rsidRDefault="0084489F">
      <w:pPr>
        <w:pStyle w:val="BlockText"/>
      </w:pPr>
    </w:p>
    <w:p w14:paraId="51832AA9" w14:textId="77777777" w:rsidR="0084489F" w:rsidRDefault="00110FE6">
      <w:pPr>
        <w:pStyle w:val="Heading2"/>
      </w:pPr>
      <w:bookmarkStart w:id="392" w:name="_Toc176864576"/>
      <w:bookmarkStart w:id="393" w:name="p70-documente-(est-documente-dans)"/>
      <w:bookmarkEnd w:id="391"/>
      <w:r>
        <w:t>P70 documente (est documenté dans)</w:t>
      </w:r>
      <w:bookmarkEnd w:id="392"/>
    </w:p>
    <w:p w14:paraId="30086EC9" w14:textId="77777777" w:rsidR="0084489F" w:rsidRDefault="00110FE6">
      <w:pPr>
        <w:pStyle w:val="FirstParagraph"/>
      </w:pPr>
      <w:r>
        <w:rPr>
          <w:b/>
          <w:bCs/>
        </w:rPr>
        <w:t>Domaine</w:t>
      </w:r>
    </w:p>
    <w:p w14:paraId="4E8EE33E" w14:textId="77777777" w:rsidR="0084489F" w:rsidRDefault="00110FE6">
      <w:pPr>
        <w:pStyle w:val="BodyText"/>
      </w:pPr>
      <w:r>
        <w:rPr>
          <w:rStyle w:val="VerbatimChar"/>
        </w:rPr>
        <w:t>E31_Document</w:t>
      </w:r>
    </w:p>
    <w:p w14:paraId="5AB0B3A3" w14:textId="77777777" w:rsidR="0084489F" w:rsidRDefault="00110FE6">
      <w:pPr>
        <w:pStyle w:val="BodyText"/>
      </w:pPr>
      <w:r>
        <w:rPr>
          <w:b/>
          <w:bCs/>
        </w:rPr>
        <w:t>Portée</w:t>
      </w:r>
    </w:p>
    <w:p w14:paraId="47E8668E" w14:textId="77777777" w:rsidR="0084489F" w:rsidRDefault="00110FE6">
      <w:pPr>
        <w:pStyle w:val="BodyText"/>
      </w:pPr>
      <w:r>
        <w:rPr>
          <w:rStyle w:val="VerbatimChar"/>
        </w:rPr>
        <w:t>E1_Entité_CRM</w:t>
      </w:r>
    </w:p>
    <w:p w14:paraId="39B33678" w14:textId="77777777" w:rsidR="0084489F" w:rsidRDefault="00110FE6">
      <w:pPr>
        <w:pStyle w:val="BodyText"/>
      </w:pPr>
      <w:r>
        <w:rPr>
          <w:b/>
          <w:bCs/>
        </w:rPr>
        <w:t>Sous-propriété de</w:t>
      </w:r>
    </w:p>
    <w:p w14:paraId="2B3D6E1D" w14:textId="77777777" w:rsidR="0084489F" w:rsidRDefault="00110FE6">
      <w:pPr>
        <w:pStyle w:val="BodyText"/>
      </w:pPr>
      <w:r w:rsidRPr="1B9E7434">
        <w:rPr>
          <w:rStyle w:val="VerbatimChar"/>
          <w:lang w:val="fr-FR"/>
        </w:rPr>
        <w:t>E89_Objet_propositionnel</w:t>
      </w:r>
      <w:r w:rsidRPr="1B9E7434">
        <w:rPr>
          <w:lang w:val="fr-FR"/>
        </w:rPr>
        <w:t xml:space="preserve">. </w:t>
      </w:r>
      <w:r w:rsidRPr="1B9E7434">
        <w:rPr>
          <w:rStyle w:val="VerbatimChar"/>
          <w:lang w:val="fr-FR"/>
        </w:rPr>
        <w:t>P67_renvoie_à (fait_l’objet_d’un_renvoi_par)</w:t>
      </w:r>
      <w:r w:rsidRPr="1B9E7434">
        <w:rPr>
          <w:lang w:val="fr-FR"/>
        </w:rPr>
        <w:t xml:space="preserve"> : </w:t>
      </w:r>
      <w:r w:rsidRPr="1B9E7434">
        <w:rPr>
          <w:rStyle w:val="VerbatimChar"/>
          <w:lang w:val="fr-FR"/>
        </w:rPr>
        <w:t>E1_Entité_CRM</w:t>
      </w:r>
    </w:p>
    <w:p w14:paraId="6EB6242D" w14:textId="77777777" w:rsidR="0084489F" w:rsidRDefault="00110FE6">
      <w:pPr>
        <w:pStyle w:val="BodyText"/>
      </w:pPr>
      <w:r>
        <w:rPr>
          <w:b/>
          <w:bCs/>
        </w:rPr>
        <w:t>Super-propriété de</w:t>
      </w:r>
    </w:p>
    <w:p w14:paraId="5C96C3CA" w14:textId="77777777" w:rsidR="0084489F" w:rsidRDefault="00110FE6">
      <w:pPr>
        <w:pStyle w:val="BodyText"/>
      </w:pPr>
      <w:r>
        <w:rPr>
          <w:b/>
          <w:bCs/>
        </w:rPr>
        <w:t>Quantification</w:t>
      </w:r>
    </w:p>
    <w:p w14:paraId="1EE1F686" w14:textId="77777777" w:rsidR="0084489F" w:rsidRDefault="00110FE6">
      <w:pPr>
        <w:pStyle w:val="BodyText"/>
      </w:pPr>
      <w:r w:rsidRPr="1B9E7434">
        <w:rPr>
          <w:lang w:val="fr-FR"/>
        </w:rPr>
        <w:t>plusieurs à plusieurs, nécessaire (1,n:0,n)</w:t>
      </w:r>
    </w:p>
    <w:p w14:paraId="5DBB39DC" w14:textId="77777777" w:rsidR="0084489F" w:rsidRDefault="00110FE6">
      <w:pPr>
        <w:pStyle w:val="BodyText"/>
      </w:pPr>
      <w:r>
        <w:rPr>
          <w:b/>
          <w:bCs/>
        </w:rPr>
        <w:t>Note d’application</w:t>
      </w:r>
    </w:p>
    <w:p w14:paraId="72A79C30" w14:textId="77777777" w:rsidR="0084489F" w:rsidRDefault="00110FE6">
      <w:pPr>
        <w:pStyle w:val="BodyText"/>
      </w:pPr>
      <w:r>
        <w:t xml:space="preserve">Cette propriété décrit les entités CRM documentées par des instances de </w:t>
      </w:r>
      <w:r>
        <w:rPr>
          <w:rStyle w:val="VerbatimChar"/>
        </w:rPr>
        <w:t>E31_Document</w:t>
      </w:r>
      <w:r>
        <w:t>.</w:t>
      </w:r>
    </w:p>
    <w:p w14:paraId="231FD387" w14:textId="77777777" w:rsidR="0084489F" w:rsidRDefault="00110FE6">
      <w:pPr>
        <w:pStyle w:val="BodyText"/>
      </w:pPr>
      <w:r>
        <w:t>Des documents peuvent décrire n’importe quel type d’entité, ce qui explique que la portée de cette propriété soit l’entité la plus élevée dans la hiérarchie des classes du CIDOC CRM. Cette propriété doit être utilisée dans les cas où une référence est vue comme contenant des informations à propos de la réalité. Cela peut être à propos d’un personnage documentaire, que ce soit dans le sens scientifique ou universitaire ou dans une déclaration d’ordre plus général.</w:t>
      </w:r>
    </w:p>
    <w:p w14:paraId="17029FB6" w14:textId="77777777" w:rsidR="0084489F" w:rsidRDefault="00110FE6">
      <w:pPr>
        <w:pStyle w:val="BodyText"/>
      </w:pPr>
      <w:r>
        <w:rPr>
          <w:b/>
          <w:bCs/>
        </w:rPr>
        <w:t>Exemples</w:t>
      </w:r>
    </w:p>
    <w:p w14:paraId="5AB5CF66" w14:textId="16D46572" w:rsidR="0084489F" w:rsidRDefault="00110FE6" w:rsidP="00806324">
      <w:pPr>
        <w:numPr>
          <w:ilvl w:val="0"/>
          <w:numId w:val="197"/>
        </w:numPr>
      </w:pPr>
      <w:r w:rsidRPr="1B9E7434">
        <w:rPr>
          <w:lang w:val="fr-FR"/>
        </w:rPr>
        <w:lastRenderedPageBreak/>
        <w:t>Le catalogue « Catalogue of the Greek Coins of Arabia, Mesopotamia, and Persia » (</w:t>
      </w:r>
      <w:r w:rsidRPr="1B9E7434">
        <w:rPr>
          <w:rStyle w:val="VerbatimChar"/>
          <w:lang w:val="fr-FR"/>
        </w:rPr>
        <w:t>E31_Document</w:t>
      </w:r>
      <w:r w:rsidRPr="1B9E7434">
        <w:rPr>
          <w:lang w:val="fr-FR"/>
        </w:rPr>
        <w:t>) documente (</w:t>
      </w:r>
      <w:r w:rsidRPr="1B9E7434">
        <w:rPr>
          <w:rStyle w:val="VerbatimChar"/>
          <w:lang w:val="fr-FR"/>
        </w:rPr>
        <w:t>P70_documente</w:t>
      </w:r>
      <w:r w:rsidRPr="1B9E7434">
        <w:rPr>
          <w:lang w:val="fr-FR"/>
        </w:rPr>
        <w:t>) une partie de la collection du British Museum (</w:t>
      </w:r>
      <w:r w:rsidRPr="1B9E7434">
        <w:rPr>
          <w:rStyle w:val="VerbatimChar"/>
          <w:lang w:val="fr-FR"/>
        </w:rPr>
        <w:t>E78_Collection</w:t>
      </w:r>
      <w:r w:rsidRPr="1B9E7434">
        <w:rPr>
          <w:lang w:val="fr-FR"/>
        </w:rPr>
        <w:t>) (British Museum &amp; Hill, 1922)</w:t>
      </w:r>
    </w:p>
    <w:p w14:paraId="0BE2646F" w14:textId="77777777" w:rsidR="0084489F" w:rsidRDefault="00110FE6">
      <w:pPr>
        <w:pStyle w:val="FirstParagraph"/>
      </w:pPr>
      <w:r>
        <w:rPr>
          <w:b/>
          <w:bCs/>
        </w:rPr>
        <w:t>Logique</w:t>
      </w:r>
    </w:p>
    <w:p w14:paraId="0733AAC7" w14:textId="77777777" w:rsidR="0084489F" w:rsidRDefault="00110FE6">
      <w:pPr>
        <w:pStyle w:val="BodyText"/>
      </w:pPr>
      <w:r w:rsidRPr="1B9E7434">
        <w:rPr>
          <w:lang w:val="fr-FR"/>
        </w:rPr>
        <w:t>P70(x,y) ⇒ E31(x)</w:t>
      </w:r>
    </w:p>
    <w:p w14:paraId="642B4D76" w14:textId="77777777" w:rsidR="0084489F" w:rsidRDefault="00110FE6">
      <w:pPr>
        <w:pStyle w:val="BodyText"/>
      </w:pPr>
      <w:r w:rsidRPr="1B9E7434">
        <w:rPr>
          <w:lang w:val="fr-FR"/>
        </w:rPr>
        <w:t>P70(x,y) ⇒ E1(y)</w:t>
      </w:r>
    </w:p>
    <w:p w14:paraId="6C479868" w14:textId="77777777" w:rsidR="0084489F" w:rsidRDefault="00110FE6">
      <w:pPr>
        <w:pStyle w:val="BodyText"/>
      </w:pPr>
      <w:r w:rsidRPr="1B9E7434">
        <w:rPr>
          <w:lang w:val="fr-FR"/>
        </w:rPr>
        <w:t>P70(x,y) ⇒ P67(x,y)</w:t>
      </w:r>
    </w:p>
    <w:p w14:paraId="11AEC73E" w14:textId="77777777" w:rsidR="0084489F" w:rsidRDefault="00110FE6">
      <w:pPr>
        <w:pStyle w:val="BodyText"/>
      </w:pPr>
      <w:r>
        <w:rPr>
          <w:b/>
          <w:bCs/>
        </w:rPr>
        <w:t>Propriétés</w:t>
      </w:r>
    </w:p>
    <w:p w14:paraId="791E59EE" w14:textId="77777777" w:rsidR="0084489F" w:rsidRDefault="00110FE6">
      <w:pPr>
        <w:pStyle w:val="BlockText"/>
      </w:pPr>
      <w:r>
        <w:rPr>
          <w:b/>
          <w:bCs/>
          <w:i/>
          <w:iCs/>
        </w:rPr>
        <w:t>Note de traduction</w:t>
      </w:r>
    </w:p>
    <w:p w14:paraId="1C6CF972" w14:textId="77777777" w:rsidR="0084489F" w:rsidRDefault="00110FE6">
      <w:pPr>
        <w:pStyle w:val="BlockText"/>
      </w:pPr>
      <w:r w:rsidRPr="1B9E7434">
        <w:rPr>
          <w:lang w:val="fr-FR"/>
        </w:rPr>
        <w:t xml:space="preserve">La phrase « This property describes the CRM Entities documented as instances of E31 Document » a été traduit par « cette propriété décrit les entités CRM documentées par des instances de </w:t>
      </w:r>
      <w:r w:rsidRPr="1B9E7434">
        <w:rPr>
          <w:rStyle w:val="VerbatimChar"/>
          <w:lang w:val="fr-FR"/>
        </w:rPr>
        <w:t>E31_Document</w:t>
      </w:r>
      <w:r w:rsidRPr="1B9E7434">
        <w:rPr>
          <w:lang w:val="fr-FR"/>
        </w:rPr>
        <w:t xml:space="preserve"> » car il semble s’agir d’une erreur dans la version originale. En effet, la propriété </w:t>
      </w:r>
      <w:r w:rsidRPr="1B9E7434">
        <w:rPr>
          <w:rStyle w:val="VerbatimChar"/>
          <w:lang w:val="fr-FR"/>
        </w:rPr>
        <w:t>P70_documente (est_documenté_dans)</w:t>
      </w:r>
      <w:r w:rsidRPr="1B9E7434">
        <w:rPr>
          <w:lang w:val="fr-FR"/>
        </w:rPr>
        <w:t xml:space="preserve"> ne décrit pas des entités qui sont des instances de </w:t>
      </w:r>
      <w:r w:rsidRPr="1B9E7434">
        <w:rPr>
          <w:rStyle w:val="VerbatimChar"/>
          <w:lang w:val="fr-FR"/>
        </w:rPr>
        <w:t>E31_Document</w:t>
      </w:r>
      <w:r w:rsidRPr="1B9E7434">
        <w:rPr>
          <w:lang w:val="fr-FR"/>
        </w:rPr>
        <w:t xml:space="preserve">, mais des entités qui sont mentionnées dans des instances de </w:t>
      </w:r>
      <w:r w:rsidRPr="1B9E7434">
        <w:rPr>
          <w:rStyle w:val="VerbatimChar"/>
          <w:lang w:val="fr-FR"/>
        </w:rPr>
        <w:t>E31_Document</w:t>
      </w:r>
      <w:r w:rsidRPr="1B9E7434">
        <w:rPr>
          <w:lang w:val="fr-FR"/>
        </w:rPr>
        <w:t xml:space="preserve"> ou, en d’autres termes, qui sont documentés par des instances de </w:t>
      </w:r>
      <w:r w:rsidRPr="1B9E7434">
        <w:rPr>
          <w:rStyle w:val="VerbatimChar"/>
          <w:lang w:val="fr-FR"/>
        </w:rPr>
        <w:t>E31_Document</w:t>
      </w:r>
      <w:r w:rsidRPr="1B9E7434">
        <w:rPr>
          <w:lang w:val="fr-FR"/>
        </w:rPr>
        <w:t>.</w:t>
      </w:r>
    </w:p>
    <w:p w14:paraId="1BAA592B" w14:textId="77777777" w:rsidR="0084489F" w:rsidRDefault="00110FE6">
      <w:pPr>
        <w:pStyle w:val="BlockText"/>
      </w:pPr>
      <w:r>
        <w:rPr>
          <w:b/>
          <w:bCs/>
          <w:i/>
          <w:iCs/>
        </w:rPr>
        <w:t>Références</w:t>
      </w:r>
    </w:p>
    <w:p w14:paraId="712B766C" w14:textId="77777777" w:rsidR="0084489F" w:rsidRDefault="0084489F">
      <w:pPr>
        <w:pStyle w:val="BlockText"/>
      </w:pPr>
    </w:p>
    <w:p w14:paraId="2B6B0918" w14:textId="77777777" w:rsidR="0084489F" w:rsidRDefault="00110FE6">
      <w:pPr>
        <w:pStyle w:val="Heading2"/>
      </w:pPr>
      <w:bookmarkStart w:id="394" w:name="_Toc176864577"/>
      <w:bookmarkStart w:id="395" w:name="p71-enumere-(est-enumere-par)"/>
      <w:bookmarkEnd w:id="393"/>
      <w:r>
        <w:t>P71 énumère (est énuméré par)</w:t>
      </w:r>
      <w:bookmarkEnd w:id="394"/>
    </w:p>
    <w:p w14:paraId="44489AEF" w14:textId="77777777" w:rsidR="0084489F" w:rsidRDefault="00110FE6">
      <w:pPr>
        <w:pStyle w:val="FirstParagraph"/>
      </w:pPr>
      <w:r>
        <w:rPr>
          <w:b/>
          <w:bCs/>
        </w:rPr>
        <w:t>Domaine</w:t>
      </w:r>
    </w:p>
    <w:p w14:paraId="306CAC06" w14:textId="77777777" w:rsidR="0084489F" w:rsidRDefault="00110FE6">
      <w:pPr>
        <w:pStyle w:val="BodyText"/>
      </w:pPr>
      <w:r>
        <w:rPr>
          <w:rStyle w:val="VerbatimChar"/>
        </w:rPr>
        <w:t>E32_Document_de_référence</w:t>
      </w:r>
    </w:p>
    <w:p w14:paraId="54103CEB" w14:textId="77777777" w:rsidR="0084489F" w:rsidRDefault="00110FE6">
      <w:pPr>
        <w:pStyle w:val="BodyText"/>
      </w:pPr>
      <w:r>
        <w:rPr>
          <w:b/>
          <w:bCs/>
        </w:rPr>
        <w:t>Portée</w:t>
      </w:r>
    </w:p>
    <w:p w14:paraId="0DFDDBF1" w14:textId="77777777" w:rsidR="0084489F" w:rsidRDefault="00110FE6">
      <w:pPr>
        <w:pStyle w:val="BodyText"/>
      </w:pPr>
      <w:r>
        <w:rPr>
          <w:rStyle w:val="VerbatimChar"/>
        </w:rPr>
        <w:t>E1_Entité_CRM</w:t>
      </w:r>
    </w:p>
    <w:p w14:paraId="5EEB547C" w14:textId="77777777" w:rsidR="0084489F" w:rsidRDefault="00110FE6">
      <w:pPr>
        <w:pStyle w:val="BodyText"/>
      </w:pPr>
      <w:r>
        <w:rPr>
          <w:b/>
          <w:bCs/>
        </w:rPr>
        <w:t>Sous-propriété de</w:t>
      </w:r>
    </w:p>
    <w:p w14:paraId="05151223" w14:textId="77777777" w:rsidR="0084489F" w:rsidRDefault="00110FE6">
      <w:pPr>
        <w:pStyle w:val="BodyText"/>
      </w:pPr>
      <w:r w:rsidRPr="1B9E7434">
        <w:rPr>
          <w:rStyle w:val="VerbatimChar"/>
          <w:lang w:val="fr-FR"/>
        </w:rPr>
        <w:t>E89_Objet_propositionnel</w:t>
      </w:r>
      <w:r w:rsidRPr="1B9E7434">
        <w:rPr>
          <w:lang w:val="fr-FR"/>
        </w:rPr>
        <w:t xml:space="preserve">. </w:t>
      </w:r>
      <w:r w:rsidRPr="1B9E7434">
        <w:rPr>
          <w:rStyle w:val="VerbatimChar"/>
          <w:lang w:val="fr-FR"/>
        </w:rPr>
        <w:t>P67_renvoie_à (fait_l’objet_d’un_renvoi_par)</w:t>
      </w:r>
      <w:r w:rsidRPr="1B9E7434">
        <w:rPr>
          <w:lang w:val="fr-FR"/>
        </w:rPr>
        <w:t xml:space="preserve"> : </w:t>
      </w:r>
      <w:r w:rsidRPr="1B9E7434">
        <w:rPr>
          <w:rStyle w:val="VerbatimChar"/>
          <w:lang w:val="fr-FR"/>
        </w:rPr>
        <w:t>E1_Entité_CRM</w:t>
      </w:r>
    </w:p>
    <w:p w14:paraId="14656A36" w14:textId="77777777" w:rsidR="0084489F" w:rsidRDefault="00110FE6">
      <w:pPr>
        <w:pStyle w:val="BodyText"/>
      </w:pPr>
      <w:r>
        <w:rPr>
          <w:b/>
          <w:bCs/>
        </w:rPr>
        <w:t>Super-propriété de</w:t>
      </w:r>
    </w:p>
    <w:p w14:paraId="11A85484" w14:textId="77777777" w:rsidR="0084489F" w:rsidRDefault="00110FE6">
      <w:pPr>
        <w:pStyle w:val="BodyText"/>
      </w:pPr>
      <w:r>
        <w:rPr>
          <w:b/>
          <w:bCs/>
        </w:rPr>
        <w:t>Quantification</w:t>
      </w:r>
    </w:p>
    <w:p w14:paraId="01BEF697" w14:textId="77777777" w:rsidR="0084489F" w:rsidRDefault="00110FE6">
      <w:pPr>
        <w:pStyle w:val="BodyText"/>
      </w:pPr>
      <w:r w:rsidRPr="1B9E7434">
        <w:rPr>
          <w:lang w:val="fr-FR"/>
        </w:rPr>
        <w:t>plusieurs à plusieurs (0,n:0,n)</w:t>
      </w:r>
    </w:p>
    <w:p w14:paraId="1606BFE5" w14:textId="77777777" w:rsidR="0084489F" w:rsidRDefault="00110FE6">
      <w:pPr>
        <w:pStyle w:val="BodyText"/>
      </w:pPr>
      <w:r>
        <w:rPr>
          <w:b/>
          <w:bCs/>
        </w:rPr>
        <w:t>Note d’application</w:t>
      </w:r>
    </w:p>
    <w:p w14:paraId="1BFC8126" w14:textId="77777777" w:rsidR="0084489F" w:rsidRDefault="00110FE6">
      <w:pPr>
        <w:pStyle w:val="BodyText"/>
      </w:pPr>
      <w:r>
        <w:t xml:space="preserve">Cette propriété associe une instance de </w:t>
      </w:r>
      <w:r>
        <w:rPr>
          <w:rStyle w:val="VerbatimChar"/>
        </w:rPr>
        <w:t>E32_Document_de_référence</w:t>
      </w:r>
      <w:r>
        <w:t xml:space="preserve"> à une instance de </w:t>
      </w:r>
      <w:r>
        <w:rPr>
          <w:rStyle w:val="VerbatimChar"/>
        </w:rPr>
        <w:t>E1_Entité_CRM</w:t>
      </w:r>
      <w:r>
        <w:t xml:space="preserve"> énumérée aux fins de référence.</w:t>
      </w:r>
    </w:p>
    <w:p w14:paraId="40F347D3" w14:textId="77777777" w:rsidR="0084489F" w:rsidRDefault="00110FE6">
      <w:pPr>
        <w:pStyle w:val="BodyText"/>
      </w:pPr>
      <w:r>
        <w:rPr>
          <w:b/>
          <w:bCs/>
        </w:rPr>
        <w:t>Exemples</w:t>
      </w:r>
    </w:p>
    <w:p w14:paraId="50174C42" w14:textId="77777777" w:rsidR="0084489F" w:rsidRDefault="00110FE6" w:rsidP="00806324">
      <w:pPr>
        <w:numPr>
          <w:ilvl w:val="0"/>
          <w:numId w:val="198"/>
        </w:numPr>
      </w:pPr>
      <w:r>
        <w:t>Le Art &amp; Architecture Thesaurus (</w:t>
      </w:r>
      <w:r>
        <w:rPr>
          <w:rStyle w:val="VerbatimChar"/>
        </w:rPr>
        <w:t>E32_Document_de_référence</w:t>
      </w:r>
      <w:r>
        <w:t>) énumère (</w:t>
      </w:r>
      <w:r>
        <w:rPr>
          <w:rStyle w:val="VerbatimChar"/>
        </w:rPr>
        <w:t>P71_énumère</w:t>
      </w:r>
      <w:r>
        <w:t>) des alcazars (</w:t>
      </w:r>
      <w:r>
        <w:rPr>
          <w:rStyle w:val="VerbatimChar"/>
        </w:rPr>
        <w:t>E55_Type</w:t>
      </w:r>
      <w:r>
        <w:t>) (http://vocab.getty.edu/page/aat/300006897)</w:t>
      </w:r>
    </w:p>
    <w:p w14:paraId="28D55B51" w14:textId="77777777" w:rsidR="0084489F" w:rsidRDefault="00110FE6">
      <w:pPr>
        <w:pStyle w:val="FirstParagraph"/>
      </w:pPr>
      <w:r>
        <w:rPr>
          <w:b/>
          <w:bCs/>
        </w:rPr>
        <w:t>Logique</w:t>
      </w:r>
    </w:p>
    <w:p w14:paraId="1C1CF603" w14:textId="77777777" w:rsidR="0084489F" w:rsidRDefault="00110FE6">
      <w:pPr>
        <w:pStyle w:val="BodyText"/>
      </w:pPr>
      <w:r w:rsidRPr="1B9E7434">
        <w:rPr>
          <w:lang w:val="fr-FR"/>
        </w:rPr>
        <w:t>P71(x,y) ⇒ E32(x)</w:t>
      </w:r>
    </w:p>
    <w:p w14:paraId="1E16A4CA" w14:textId="77777777" w:rsidR="0084489F" w:rsidRDefault="00110FE6">
      <w:pPr>
        <w:pStyle w:val="BodyText"/>
      </w:pPr>
      <w:r w:rsidRPr="1B9E7434">
        <w:rPr>
          <w:lang w:val="fr-FR"/>
        </w:rPr>
        <w:lastRenderedPageBreak/>
        <w:t>P71(x,y) ⇒ E1(y)</w:t>
      </w:r>
    </w:p>
    <w:p w14:paraId="65BC88BC" w14:textId="77777777" w:rsidR="0084489F" w:rsidRDefault="00110FE6">
      <w:pPr>
        <w:pStyle w:val="BodyText"/>
      </w:pPr>
      <w:r w:rsidRPr="1B9E7434">
        <w:rPr>
          <w:lang w:val="fr-FR"/>
        </w:rPr>
        <w:t>P71(x,y) ⇒ P67(x,y)</w:t>
      </w:r>
    </w:p>
    <w:p w14:paraId="0CD68CB6" w14:textId="77777777" w:rsidR="0084489F" w:rsidRDefault="00110FE6">
      <w:pPr>
        <w:pStyle w:val="BodyText"/>
      </w:pPr>
      <w:r>
        <w:rPr>
          <w:b/>
          <w:bCs/>
        </w:rPr>
        <w:t>Propriétés</w:t>
      </w:r>
    </w:p>
    <w:p w14:paraId="1DE0D1A0" w14:textId="77777777" w:rsidR="0084489F" w:rsidRDefault="00110FE6">
      <w:pPr>
        <w:pStyle w:val="BlockText"/>
      </w:pPr>
      <w:r>
        <w:rPr>
          <w:b/>
          <w:bCs/>
          <w:i/>
          <w:iCs/>
        </w:rPr>
        <w:t>Note de traduction</w:t>
      </w:r>
    </w:p>
    <w:p w14:paraId="54D6A0BE" w14:textId="77777777" w:rsidR="0084489F" w:rsidRDefault="00110FE6">
      <w:pPr>
        <w:pStyle w:val="BlockText"/>
      </w:pPr>
      <w:r>
        <w:rPr>
          <w:b/>
          <w:bCs/>
          <w:i/>
          <w:iCs/>
        </w:rPr>
        <w:t>Références</w:t>
      </w:r>
    </w:p>
    <w:p w14:paraId="48E18D03" w14:textId="77777777" w:rsidR="0084489F" w:rsidRDefault="0084489F">
      <w:pPr>
        <w:pStyle w:val="BlockText"/>
      </w:pPr>
    </w:p>
    <w:p w14:paraId="0FEB8CD3" w14:textId="77777777" w:rsidR="0084489F" w:rsidRDefault="00110FE6">
      <w:pPr>
        <w:pStyle w:val="Heading2"/>
      </w:pPr>
      <w:bookmarkStart w:id="396" w:name="_Toc176864578"/>
      <w:bookmarkStart w:id="397" w:name="p72-a-pour-langue-(est-la-langue-de)"/>
      <w:bookmarkEnd w:id="395"/>
      <w:r>
        <w:t>P72 a pour langue (est la langue de)</w:t>
      </w:r>
      <w:bookmarkEnd w:id="396"/>
    </w:p>
    <w:p w14:paraId="5A86413C" w14:textId="77777777" w:rsidR="0084489F" w:rsidRDefault="00110FE6">
      <w:pPr>
        <w:pStyle w:val="FirstParagraph"/>
      </w:pPr>
      <w:r>
        <w:rPr>
          <w:b/>
          <w:bCs/>
        </w:rPr>
        <w:t>Domaine</w:t>
      </w:r>
    </w:p>
    <w:p w14:paraId="6B8178AE" w14:textId="77777777" w:rsidR="0084489F" w:rsidRDefault="00110FE6">
      <w:pPr>
        <w:pStyle w:val="BodyText"/>
      </w:pPr>
      <w:r>
        <w:rPr>
          <w:rStyle w:val="VerbatimChar"/>
        </w:rPr>
        <w:t>E33_Objet_linguistique</w:t>
      </w:r>
    </w:p>
    <w:p w14:paraId="60FF9BE7" w14:textId="77777777" w:rsidR="0084489F" w:rsidRDefault="00110FE6">
      <w:pPr>
        <w:pStyle w:val="BodyText"/>
      </w:pPr>
      <w:r>
        <w:rPr>
          <w:b/>
          <w:bCs/>
        </w:rPr>
        <w:t>Portée</w:t>
      </w:r>
    </w:p>
    <w:p w14:paraId="490CCDF3" w14:textId="77777777" w:rsidR="0084489F" w:rsidRDefault="00110FE6">
      <w:pPr>
        <w:pStyle w:val="BodyText"/>
      </w:pPr>
      <w:r>
        <w:rPr>
          <w:rStyle w:val="VerbatimChar"/>
        </w:rPr>
        <w:t>E56_Langue</w:t>
      </w:r>
    </w:p>
    <w:p w14:paraId="0B45C5BD" w14:textId="77777777" w:rsidR="0084489F" w:rsidRDefault="00110FE6">
      <w:pPr>
        <w:pStyle w:val="BodyText"/>
      </w:pPr>
      <w:r>
        <w:rPr>
          <w:b/>
          <w:bCs/>
        </w:rPr>
        <w:t>Sous-propriété de</w:t>
      </w:r>
    </w:p>
    <w:p w14:paraId="0EBF8AB3" w14:textId="77777777" w:rsidR="0084489F" w:rsidRDefault="00110FE6">
      <w:pPr>
        <w:pStyle w:val="BodyText"/>
      </w:pPr>
      <w:r>
        <w:rPr>
          <w:b/>
          <w:bCs/>
        </w:rPr>
        <w:t>Super-propriété de</w:t>
      </w:r>
    </w:p>
    <w:p w14:paraId="6538C0DA" w14:textId="77777777" w:rsidR="0084489F" w:rsidRDefault="00110FE6">
      <w:pPr>
        <w:pStyle w:val="BodyText"/>
      </w:pPr>
      <w:r>
        <w:rPr>
          <w:b/>
          <w:bCs/>
        </w:rPr>
        <w:t>Quantification</w:t>
      </w:r>
    </w:p>
    <w:p w14:paraId="4D4B6481" w14:textId="77777777" w:rsidR="0084489F" w:rsidRDefault="00110FE6">
      <w:pPr>
        <w:pStyle w:val="BodyText"/>
      </w:pPr>
      <w:r w:rsidRPr="1B9E7434">
        <w:rPr>
          <w:lang w:val="fr-FR"/>
        </w:rPr>
        <w:t>plusieurs à plusieurs, nécessaire (1,n:0,n)</w:t>
      </w:r>
    </w:p>
    <w:p w14:paraId="605B859F" w14:textId="77777777" w:rsidR="0084489F" w:rsidRDefault="00110FE6">
      <w:pPr>
        <w:pStyle w:val="BodyText"/>
      </w:pPr>
      <w:r>
        <w:rPr>
          <w:b/>
          <w:bCs/>
        </w:rPr>
        <w:t>Note d’application</w:t>
      </w:r>
    </w:p>
    <w:p w14:paraId="32222005" w14:textId="77777777" w:rsidR="0084489F" w:rsidRDefault="00110FE6">
      <w:pPr>
        <w:pStyle w:val="BodyText"/>
      </w:pPr>
      <w:r>
        <w:t xml:space="preserve">Cette propriété associe une ou plusieurs instances de </w:t>
      </w:r>
      <w:r>
        <w:rPr>
          <w:rStyle w:val="VerbatimChar"/>
        </w:rPr>
        <w:t>E33_Objet_linguistique</w:t>
      </w:r>
      <w:r>
        <w:t xml:space="preserve"> à une instance de </w:t>
      </w:r>
      <w:r>
        <w:rPr>
          <w:rStyle w:val="VerbatimChar"/>
        </w:rPr>
        <w:t>E56_Langue</w:t>
      </w:r>
      <w:r>
        <w:t xml:space="preserve"> dans laquelle elles sont au moins partiellement exprimées.</w:t>
      </w:r>
    </w:p>
    <w:p w14:paraId="623331F0" w14:textId="77777777" w:rsidR="0084489F" w:rsidRDefault="00110FE6">
      <w:pPr>
        <w:pStyle w:val="BodyText"/>
      </w:pPr>
      <w:r>
        <w:t>Les objets linguistiques sont composés dans une ou plusieurs langues humaines. Cette propriété permet la documentation de ces langues.</w:t>
      </w:r>
    </w:p>
    <w:p w14:paraId="610FA106" w14:textId="77777777" w:rsidR="0084489F" w:rsidRDefault="00110FE6">
      <w:pPr>
        <w:pStyle w:val="BodyText"/>
      </w:pPr>
      <w:r>
        <w:rPr>
          <w:b/>
          <w:bCs/>
        </w:rPr>
        <w:t>Exemples</w:t>
      </w:r>
    </w:p>
    <w:p w14:paraId="2FA13F0B" w14:textId="303AEA0C" w:rsidR="0084489F" w:rsidRDefault="00110FE6" w:rsidP="00806324">
      <w:pPr>
        <w:numPr>
          <w:ilvl w:val="0"/>
          <w:numId w:val="199"/>
        </w:numPr>
      </w:pPr>
      <w:r w:rsidRPr="1B9E7434">
        <w:rPr>
          <w:lang w:val="fr-FR"/>
        </w:rPr>
        <w:t>La Déclaration d’indépendance des États-Unis (</w:t>
      </w:r>
      <w:r w:rsidRPr="1B9E7434">
        <w:rPr>
          <w:rStyle w:val="VerbatimChar"/>
          <w:lang w:val="fr-FR"/>
        </w:rPr>
        <w:t>E33_Objet_linguistique</w:t>
      </w:r>
      <w:r w:rsidRPr="1B9E7434">
        <w:rPr>
          <w:lang w:val="fr-FR"/>
        </w:rPr>
        <w:t>) a pour langue (</w:t>
      </w:r>
      <w:r w:rsidRPr="1B9E7434">
        <w:rPr>
          <w:rStyle w:val="VerbatimChar"/>
          <w:lang w:val="fr-FR"/>
        </w:rPr>
        <w:t>P72_a_pour_langue</w:t>
      </w:r>
      <w:r w:rsidRPr="1B9E7434">
        <w:rPr>
          <w:lang w:val="fr-FR"/>
        </w:rPr>
        <w:t>) l’anglais du XVIII</w:t>
      </w:r>
      <w:r w:rsidRPr="1B9E7434">
        <w:rPr>
          <w:vertAlign w:val="superscript"/>
          <w:lang w:val="fr-FR"/>
        </w:rPr>
        <w:t>e</w:t>
      </w:r>
      <w:r w:rsidRPr="1B9E7434">
        <w:rPr>
          <w:lang w:val="fr-FR"/>
        </w:rPr>
        <w:t> siècle (</w:t>
      </w:r>
      <w:r w:rsidRPr="1B9E7434">
        <w:rPr>
          <w:rStyle w:val="VerbatimChar"/>
          <w:lang w:val="fr-FR"/>
        </w:rPr>
        <w:t>E56_Langue</w:t>
      </w:r>
      <w:r w:rsidRPr="1B9E7434">
        <w:rPr>
          <w:lang w:val="fr-FR"/>
        </w:rPr>
        <w:t>) (Perley, 2017)</w:t>
      </w:r>
    </w:p>
    <w:p w14:paraId="57FC56FF" w14:textId="77777777" w:rsidR="0084489F" w:rsidRDefault="00110FE6">
      <w:pPr>
        <w:pStyle w:val="FirstParagraph"/>
      </w:pPr>
      <w:r>
        <w:rPr>
          <w:b/>
          <w:bCs/>
        </w:rPr>
        <w:t>Logique</w:t>
      </w:r>
    </w:p>
    <w:p w14:paraId="06A251DA" w14:textId="77777777" w:rsidR="0084489F" w:rsidRDefault="00110FE6">
      <w:pPr>
        <w:pStyle w:val="BodyText"/>
      </w:pPr>
      <w:r w:rsidRPr="1B9E7434">
        <w:rPr>
          <w:lang w:val="fr-FR"/>
        </w:rPr>
        <w:t>P72(x,y) ⇒ E33(x)</w:t>
      </w:r>
    </w:p>
    <w:p w14:paraId="1C2ACA2D" w14:textId="77777777" w:rsidR="0084489F" w:rsidRDefault="00110FE6">
      <w:pPr>
        <w:pStyle w:val="BodyText"/>
      </w:pPr>
      <w:r w:rsidRPr="1B9E7434">
        <w:rPr>
          <w:lang w:val="fr-FR"/>
        </w:rPr>
        <w:t>P72(x,y) ⇒ E56(y)</w:t>
      </w:r>
    </w:p>
    <w:p w14:paraId="309AD9BE" w14:textId="77777777" w:rsidR="0084489F" w:rsidRDefault="00110FE6">
      <w:pPr>
        <w:pStyle w:val="BodyText"/>
      </w:pPr>
      <w:r>
        <w:rPr>
          <w:b/>
          <w:bCs/>
        </w:rPr>
        <w:t>Propriétés</w:t>
      </w:r>
    </w:p>
    <w:p w14:paraId="3FA02D1C" w14:textId="77777777" w:rsidR="0084489F" w:rsidRDefault="00110FE6">
      <w:pPr>
        <w:pStyle w:val="BlockText"/>
      </w:pPr>
      <w:r>
        <w:rPr>
          <w:b/>
          <w:bCs/>
          <w:i/>
          <w:iCs/>
        </w:rPr>
        <w:t>Note de traduction</w:t>
      </w:r>
    </w:p>
    <w:p w14:paraId="7EEF51E7" w14:textId="77777777" w:rsidR="0084489F" w:rsidRDefault="00110FE6">
      <w:pPr>
        <w:pStyle w:val="BlockText"/>
      </w:pPr>
      <w:r>
        <w:rPr>
          <w:b/>
          <w:bCs/>
          <w:i/>
          <w:iCs/>
        </w:rPr>
        <w:t>Références</w:t>
      </w:r>
    </w:p>
    <w:p w14:paraId="3E25F6BD" w14:textId="77777777" w:rsidR="0084489F" w:rsidRDefault="0084489F">
      <w:pPr>
        <w:pStyle w:val="BlockText"/>
      </w:pPr>
    </w:p>
    <w:p w14:paraId="5177992F" w14:textId="77777777" w:rsidR="0084489F" w:rsidRDefault="00110FE6">
      <w:pPr>
        <w:pStyle w:val="Heading2"/>
      </w:pPr>
      <w:bookmarkStart w:id="398" w:name="_Toc176864579"/>
      <w:bookmarkStart w:id="399" w:name="Xd4496035f859f1f4962b6b275b47ca3d7505ce9"/>
      <w:bookmarkEnd w:id="397"/>
      <w:r>
        <w:t>P73 a pour traduction (est traduction de)</w:t>
      </w:r>
      <w:bookmarkEnd w:id="398"/>
    </w:p>
    <w:p w14:paraId="743C88D2" w14:textId="77777777" w:rsidR="0084489F" w:rsidRDefault="00110FE6">
      <w:pPr>
        <w:pStyle w:val="FirstParagraph"/>
      </w:pPr>
      <w:r>
        <w:rPr>
          <w:b/>
          <w:bCs/>
        </w:rPr>
        <w:t>Domaine</w:t>
      </w:r>
    </w:p>
    <w:p w14:paraId="5159DDF1" w14:textId="77777777" w:rsidR="0084489F" w:rsidRDefault="00110FE6">
      <w:pPr>
        <w:pStyle w:val="BodyText"/>
      </w:pPr>
      <w:r>
        <w:rPr>
          <w:rStyle w:val="VerbatimChar"/>
        </w:rPr>
        <w:t>E33_Objet_linguistique</w:t>
      </w:r>
    </w:p>
    <w:p w14:paraId="7FA457EA" w14:textId="77777777" w:rsidR="0084489F" w:rsidRDefault="00110FE6">
      <w:pPr>
        <w:pStyle w:val="BodyText"/>
      </w:pPr>
      <w:r>
        <w:rPr>
          <w:b/>
          <w:bCs/>
        </w:rPr>
        <w:lastRenderedPageBreak/>
        <w:t>Portée</w:t>
      </w:r>
    </w:p>
    <w:p w14:paraId="5ECDA564" w14:textId="77777777" w:rsidR="0084489F" w:rsidRDefault="00110FE6">
      <w:pPr>
        <w:pStyle w:val="BodyText"/>
      </w:pPr>
      <w:r>
        <w:rPr>
          <w:rStyle w:val="VerbatimChar"/>
        </w:rPr>
        <w:t>E33_Objet_linguistique</w:t>
      </w:r>
    </w:p>
    <w:p w14:paraId="124ED110" w14:textId="77777777" w:rsidR="0084489F" w:rsidRDefault="00110FE6">
      <w:pPr>
        <w:pStyle w:val="BodyText"/>
      </w:pPr>
      <w:r>
        <w:rPr>
          <w:b/>
          <w:bCs/>
        </w:rPr>
        <w:t>Sous-propriété de</w:t>
      </w:r>
    </w:p>
    <w:p w14:paraId="74B6FD38" w14:textId="77777777" w:rsidR="0084489F" w:rsidRDefault="00110FE6">
      <w:pPr>
        <w:pStyle w:val="BodyText"/>
      </w:pPr>
      <w:r w:rsidRPr="1B9E7434">
        <w:rPr>
          <w:rStyle w:val="VerbatimChar"/>
          <w:lang w:val="fr-FR"/>
        </w:rPr>
        <w:t>E70_Chose</w:t>
      </w:r>
      <w:r w:rsidRPr="1B9E7434">
        <w:rPr>
          <w:lang w:val="fr-FR"/>
        </w:rPr>
        <w:t xml:space="preserve"> . </w:t>
      </w:r>
      <w:r w:rsidRPr="1B9E7434">
        <w:rPr>
          <w:rStyle w:val="VerbatimChar"/>
          <w:lang w:val="fr-FR"/>
        </w:rPr>
        <w:t>P130i_a_les_caractéristiques_aussi_présentes_sur (présente_les_caractéristiques_de)</w:t>
      </w:r>
      <w:r w:rsidRPr="1B9E7434">
        <w:rPr>
          <w:lang w:val="fr-FR"/>
        </w:rPr>
        <w:t xml:space="preserve"> : </w:t>
      </w:r>
      <w:r w:rsidRPr="1B9E7434">
        <w:rPr>
          <w:rStyle w:val="VerbatimChar"/>
          <w:lang w:val="fr-FR"/>
        </w:rPr>
        <w:t>E70_Chose</w:t>
      </w:r>
    </w:p>
    <w:p w14:paraId="2B1D4634" w14:textId="77777777" w:rsidR="0084489F" w:rsidRDefault="00110FE6">
      <w:pPr>
        <w:pStyle w:val="BodyText"/>
      </w:pPr>
      <w:r>
        <w:rPr>
          <w:b/>
          <w:bCs/>
        </w:rPr>
        <w:t>Super-propriété de</w:t>
      </w:r>
    </w:p>
    <w:p w14:paraId="1D1B1248" w14:textId="77777777" w:rsidR="0084489F" w:rsidRDefault="00110FE6">
      <w:pPr>
        <w:pStyle w:val="BodyText"/>
      </w:pPr>
      <w:r>
        <w:rPr>
          <w:b/>
          <w:bCs/>
        </w:rPr>
        <w:t>Quantification</w:t>
      </w:r>
    </w:p>
    <w:p w14:paraId="32992262" w14:textId="77777777" w:rsidR="0084489F" w:rsidRDefault="00110FE6">
      <w:pPr>
        <w:pStyle w:val="BodyText"/>
      </w:pPr>
      <w:r w:rsidRPr="1B9E7434">
        <w:rPr>
          <w:lang w:val="fr-FR"/>
        </w:rPr>
        <w:t>plusieurs à plusieurs (0,n:0,n)</w:t>
      </w:r>
    </w:p>
    <w:p w14:paraId="37C8D55B" w14:textId="77777777" w:rsidR="0084489F" w:rsidRDefault="00110FE6">
      <w:pPr>
        <w:pStyle w:val="BodyText"/>
      </w:pPr>
      <w:r>
        <w:rPr>
          <w:b/>
          <w:bCs/>
        </w:rPr>
        <w:t>Note d’application</w:t>
      </w:r>
    </w:p>
    <w:p w14:paraId="2EADD00A" w14:textId="77777777" w:rsidR="0084489F" w:rsidRDefault="00110FE6">
      <w:pPr>
        <w:pStyle w:val="BodyText"/>
      </w:pPr>
      <w:r>
        <w:t xml:space="preserve">Cette propriété lie une instance de </w:t>
      </w:r>
      <w:r>
        <w:rPr>
          <w:rStyle w:val="VerbatimChar"/>
        </w:rPr>
        <w:t>E33_Objet_linguistique</w:t>
      </w:r>
      <w:r>
        <w:t xml:space="preserve"> (A) à une autre instance de </w:t>
      </w:r>
      <w:r>
        <w:rPr>
          <w:rStyle w:val="VerbatimChar"/>
        </w:rPr>
        <w:t>E33_Objet_linguistique</w:t>
      </w:r>
      <w:r>
        <w:t xml:space="preserve"> (B) qui est la traduction de A.</w:t>
      </w:r>
    </w:p>
    <w:p w14:paraId="5D12CA26" w14:textId="77777777" w:rsidR="0084489F" w:rsidRDefault="00110FE6">
      <w:pPr>
        <w:pStyle w:val="BodyText"/>
      </w:pPr>
      <w:r>
        <w:t xml:space="preserve">Quand une instance de </w:t>
      </w:r>
      <w:r>
        <w:rPr>
          <w:rStyle w:val="VerbatimChar"/>
        </w:rPr>
        <w:t>E33_Objet_linguistique</w:t>
      </w:r>
      <w:r>
        <w:t xml:space="preserve"> est traduite dans une nouvelle langue, une nouvelle instance de </w:t>
      </w:r>
      <w:r>
        <w:rPr>
          <w:rStyle w:val="VerbatimChar"/>
        </w:rPr>
        <w:t>E33_Objet_linguistique</w:t>
      </w:r>
      <w:r>
        <w:t xml:space="preserve"> est créée, bien qu’il s’agisse de deux objets linguistiques conceptuellement semblables.</w:t>
      </w:r>
    </w:p>
    <w:p w14:paraId="34E20EB0" w14:textId="77777777" w:rsidR="0084489F" w:rsidRDefault="00110FE6">
      <w:pPr>
        <w:pStyle w:val="BodyText"/>
      </w:pPr>
      <w:r>
        <w:t>Cette propriété est asymétrique.</w:t>
      </w:r>
    </w:p>
    <w:p w14:paraId="5F5A4B94" w14:textId="77777777" w:rsidR="0084489F" w:rsidRDefault="00110FE6">
      <w:pPr>
        <w:pStyle w:val="BodyText"/>
      </w:pPr>
      <w:r>
        <w:rPr>
          <w:b/>
          <w:bCs/>
        </w:rPr>
        <w:t>Exemples</w:t>
      </w:r>
    </w:p>
    <w:p w14:paraId="26125E35" w14:textId="11CCAD13" w:rsidR="0084489F" w:rsidRDefault="00110FE6" w:rsidP="00806324">
      <w:pPr>
        <w:numPr>
          <w:ilvl w:val="0"/>
          <w:numId w:val="200"/>
        </w:numPr>
      </w:pPr>
      <w:r w:rsidRPr="1B9E7434">
        <w:rPr>
          <w:i/>
          <w:iCs/>
          <w:lang w:val="fr-FR"/>
        </w:rPr>
        <w:t>Les Baigneurs</w:t>
      </w:r>
      <w:r w:rsidRPr="1B9E7434">
        <w:rPr>
          <w:lang w:val="fr-FR"/>
        </w:rPr>
        <w:t xml:space="preserve"> (</w:t>
      </w:r>
      <w:r w:rsidRPr="1B9E7434">
        <w:rPr>
          <w:rStyle w:val="VerbatimChar"/>
          <w:lang w:val="fr-FR"/>
        </w:rPr>
        <w:t>E33_Objet_linguistique</w:t>
      </w:r>
      <w:r w:rsidRPr="1B9E7434">
        <w:rPr>
          <w:lang w:val="fr-FR"/>
        </w:rPr>
        <w:t>) a pour traduction (</w:t>
      </w:r>
      <w:r w:rsidRPr="1B9E7434">
        <w:rPr>
          <w:rStyle w:val="VerbatimChar"/>
          <w:lang w:val="fr-FR"/>
        </w:rPr>
        <w:t>P73_a_pour_traduction</w:t>
      </w:r>
      <w:r w:rsidRPr="1B9E7434">
        <w:rPr>
          <w:lang w:val="fr-FR"/>
        </w:rPr>
        <w:t xml:space="preserve">) </w:t>
      </w:r>
      <w:r w:rsidRPr="1B9E7434">
        <w:rPr>
          <w:i/>
          <w:iCs/>
          <w:lang w:val="fr-FR"/>
        </w:rPr>
        <w:t>The Bathers</w:t>
      </w:r>
      <w:r w:rsidRPr="1B9E7434">
        <w:rPr>
          <w:lang w:val="fr-FR"/>
        </w:rPr>
        <w:t xml:space="preserve"> (</w:t>
      </w:r>
      <w:r w:rsidRPr="1B9E7434">
        <w:rPr>
          <w:rStyle w:val="VerbatimChar"/>
          <w:lang w:val="fr-FR"/>
        </w:rPr>
        <w:t>E33_Objet_linguistique</w:t>
      </w:r>
      <w:r w:rsidRPr="1B9E7434">
        <w:rPr>
          <w:lang w:val="fr-FR"/>
        </w:rPr>
        <w:t>) (Spiers &amp; Surenne, 1854)</w:t>
      </w:r>
    </w:p>
    <w:p w14:paraId="29B4F13F" w14:textId="77777777" w:rsidR="0084489F" w:rsidRDefault="00110FE6">
      <w:pPr>
        <w:pStyle w:val="FirstParagraph"/>
      </w:pPr>
      <w:r>
        <w:rPr>
          <w:b/>
          <w:bCs/>
        </w:rPr>
        <w:t>Logique</w:t>
      </w:r>
    </w:p>
    <w:p w14:paraId="1D97B722" w14:textId="77777777" w:rsidR="0084489F" w:rsidRDefault="00110FE6">
      <w:pPr>
        <w:pStyle w:val="BodyText"/>
      </w:pPr>
      <w:r w:rsidRPr="1B9E7434">
        <w:rPr>
          <w:lang w:val="fr-FR"/>
        </w:rPr>
        <w:t>P73(x,y) ⇒ E33(x)</w:t>
      </w:r>
    </w:p>
    <w:p w14:paraId="6059647F" w14:textId="77777777" w:rsidR="0084489F" w:rsidRDefault="00110FE6">
      <w:pPr>
        <w:pStyle w:val="BodyText"/>
      </w:pPr>
      <w:r w:rsidRPr="1B9E7434">
        <w:rPr>
          <w:lang w:val="fr-FR"/>
        </w:rPr>
        <w:t>P73(x,y) ⇒ E33(y)</w:t>
      </w:r>
    </w:p>
    <w:p w14:paraId="60715179" w14:textId="77777777" w:rsidR="0084489F" w:rsidRDefault="00110FE6">
      <w:pPr>
        <w:pStyle w:val="BodyText"/>
      </w:pPr>
      <w:r w:rsidRPr="1B9E7434">
        <w:rPr>
          <w:lang w:val="fr-FR"/>
        </w:rPr>
        <w:t>P73(x,y) ⇒ P130i(x,y)</w:t>
      </w:r>
    </w:p>
    <w:p w14:paraId="764F7A07" w14:textId="77777777" w:rsidR="0084489F" w:rsidRDefault="00110FE6">
      <w:pPr>
        <w:pStyle w:val="BodyText"/>
      </w:pPr>
      <w:r w:rsidRPr="1B9E7434">
        <w:rPr>
          <w:lang w:val="fr-FR"/>
        </w:rPr>
        <w:t>P73(x,y) ⇒ ¬P73(y,x)</w:t>
      </w:r>
    </w:p>
    <w:p w14:paraId="62094E09" w14:textId="77777777" w:rsidR="0084489F" w:rsidRDefault="00110FE6">
      <w:pPr>
        <w:pStyle w:val="BodyText"/>
      </w:pPr>
      <w:r>
        <w:rPr>
          <w:b/>
          <w:bCs/>
        </w:rPr>
        <w:t>Propriétés</w:t>
      </w:r>
    </w:p>
    <w:p w14:paraId="1A0393E7" w14:textId="77777777" w:rsidR="0084489F" w:rsidRDefault="00110FE6">
      <w:pPr>
        <w:pStyle w:val="BlockText"/>
      </w:pPr>
      <w:r>
        <w:rPr>
          <w:b/>
          <w:bCs/>
          <w:i/>
          <w:iCs/>
        </w:rPr>
        <w:t>Note de traduction</w:t>
      </w:r>
    </w:p>
    <w:p w14:paraId="164DB639" w14:textId="77777777" w:rsidR="0084489F" w:rsidRDefault="00110FE6">
      <w:pPr>
        <w:pStyle w:val="BlockText"/>
      </w:pPr>
      <w:r>
        <w:rPr>
          <w:b/>
          <w:bCs/>
          <w:i/>
          <w:iCs/>
        </w:rPr>
        <w:t>Références</w:t>
      </w:r>
    </w:p>
    <w:p w14:paraId="3E54701D" w14:textId="77777777" w:rsidR="0084489F" w:rsidRDefault="0084489F">
      <w:pPr>
        <w:pStyle w:val="BlockText"/>
      </w:pPr>
    </w:p>
    <w:p w14:paraId="485DE658" w14:textId="77777777" w:rsidR="0084489F" w:rsidRDefault="00110FE6">
      <w:pPr>
        <w:pStyle w:val="Heading2"/>
      </w:pPr>
      <w:bookmarkStart w:id="400" w:name="_Toc176864580"/>
      <w:bookmarkStart w:id="401" w:name="Xaa2402ccc4ec60c98227b931a786bc8c5f331d8"/>
      <w:bookmarkEnd w:id="399"/>
      <w:r>
        <w:t>P74 a pour résidence actuelle ou antérieure (est la résidence actuelle ou antérieure de)</w:t>
      </w:r>
      <w:bookmarkEnd w:id="400"/>
    </w:p>
    <w:p w14:paraId="555AA7B1" w14:textId="77777777" w:rsidR="0084489F" w:rsidRDefault="00110FE6">
      <w:pPr>
        <w:pStyle w:val="FirstParagraph"/>
      </w:pPr>
      <w:r>
        <w:rPr>
          <w:b/>
          <w:bCs/>
        </w:rPr>
        <w:t>Domaine</w:t>
      </w:r>
    </w:p>
    <w:p w14:paraId="11E01675" w14:textId="77777777" w:rsidR="0084489F" w:rsidRDefault="00110FE6">
      <w:pPr>
        <w:pStyle w:val="BodyText"/>
      </w:pPr>
      <w:r>
        <w:rPr>
          <w:rStyle w:val="VerbatimChar"/>
        </w:rPr>
        <w:t>E39_Actant</w:t>
      </w:r>
    </w:p>
    <w:p w14:paraId="5CCA4238" w14:textId="77777777" w:rsidR="0084489F" w:rsidRDefault="00110FE6">
      <w:pPr>
        <w:pStyle w:val="BodyText"/>
      </w:pPr>
      <w:r>
        <w:rPr>
          <w:b/>
          <w:bCs/>
        </w:rPr>
        <w:t>Portée</w:t>
      </w:r>
    </w:p>
    <w:p w14:paraId="565B55A1" w14:textId="77777777" w:rsidR="0084489F" w:rsidRDefault="00110FE6">
      <w:pPr>
        <w:pStyle w:val="BodyText"/>
      </w:pPr>
      <w:r>
        <w:rPr>
          <w:rStyle w:val="VerbatimChar"/>
        </w:rPr>
        <w:t>E53_Lieu</w:t>
      </w:r>
    </w:p>
    <w:p w14:paraId="08F0E1ED" w14:textId="77777777" w:rsidR="0084489F" w:rsidRDefault="00110FE6">
      <w:pPr>
        <w:pStyle w:val="BodyText"/>
      </w:pPr>
      <w:r>
        <w:rPr>
          <w:b/>
          <w:bCs/>
        </w:rPr>
        <w:t>Sous-propriété de</w:t>
      </w:r>
    </w:p>
    <w:p w14:paraId="1C17EBCF" w14:textId="77777777" w:rsidR="0084489F" w:rsidRDefault="00110FE6">
      <w:pPr>
        <w:pStyle w:val="BodyText"/>
      </w:pPr>
      <w:r>
        <w:rPr>
          <w:b/>
          <w:bCs/>
        </w:rPr>
        <w:lastRenderedPageBreak/>
        <w:t>Super-propriété de</w:t>
      </w:r>
    </w:p>
    <w:p w14:paraId="5CBE2C34" w14:textId="77777777" w:rsidR="0084489F" w:rsidRDefault="00110FE6">
      <w:pPr>
        <w:pStyle w:val="BodyText"/>
      </w:pPr>
      <w:r>
        <w:rPr>
          <w:b/>
          <w:bCs/>
        </w:rPr>
        <w:t>Quantification</w:t>
      </w:r>
    </w:p>
    <w:p w14:paraId="06B2B617" w14:textId="77777777" w:rsidR="0084489F" w:rsidRDefault="00110FE6">
      <w:pPr>
        <w:pStyle w:val="BodyText"/>
      </w:pPr>
      <w:r w:rsidRPr="1B9E7434">
        <w:rPr>
          <w:lang w:val="fr-FR"/>
        </w:rPr>
        <w:t>plusieurs à plusieurs (0,n:0,n)</w:t>
      </w:r>
    </w:p>
    <w:p w14:paraId="110032C0" w14:textId="77777777" w:rsidR="0084489F" w:rsidRDefault="00110FE6">
      <w:pPr>
        <w:pStyle w:val="BodyText"/>
      </w:pPr>
      <w:r>
        <w:rPr>
          <w:b/>
          <w:bCs/>
        </w:rPr>
        <w:t>Note d’application</w:t>
      </w:r>
    </w:p>
    <w:p w14:paraId="4FA7B189" w14:textId="77777777" w:rsidR="0084489F" w:rsidRDefault="00110FE6">
      <w:pPr>
        <w:pStyle w:val="BodyText"/>
      </w:pPr>
      <w:r>
        <w:t xml:space="preserve">Cette propriété décrit le lieu de résidence actuel ou antérieur (par une instance de </w:t>
      </w:r>
      <w:r>
        <w:rPr>
          <w:rStyle w:val="VerbatimChar"/>
        </w:rPr>
        <w:t>E53_Lieu</w:t>
      </w:r>
      <w:r>
        <w:t xml:space="preserve">) d'une instance de </w:t>
      </w:r>
      <w:r>
        <w:rPr>
          <w:rStyle w:val="VerbatimChar"/>
        </w:rPr>
        <w:t>E39_Actant</w:t>
      </w:r>
      <w:r>
        <w:t>.</w:t>
      </w:r>
    </w:p>
    <w:p w14:paraId="6F52C10A" w14:textId="77777777" w:rsidR="0084489F" w:rsidRDefault="00110FE6">
      <w:pPr>
        <w:pStyle w:val="BodyText"/>
      </w:pPr>
      <w:r>
        <w:t>La résidence peut être le lieu où réside l'actant ou une adresse légale lui étant associée, et ce, peu importe sa nature.</w:t>
      </w:r>
    </w:p>
    <w:p w14:paraId="54C48887" w14:textId="77777777" w:rsidR="0084489F" w:rsidRDefault="00110FE6">
      <w:pPr>
        <w:pStyle w:val="BodyText"/>
      </w:pPr>
      <w:r>
        <w:rPr>
          <w:b/>
          <w:bCs/>
        </w:rPr>
        <w:t>Exemples</w:t>
      </w:r>
    </w:p>
    <w:p w14:paraId="12B69277" w14:textId="77777777" w:rsidR="0084489F" w:rsidRDefault="00110FE6">
      <w:pPr>
        <w:pStyle w:val="BodyText"/>
      </w:pPr>
      <w:r>
        <w:t>La reine Elizabeth II (</w:t>
      </w:r>
      <w:r>
        <w:rPr>
          <w:rStyle w:val="VerbatimChar"/>
        </w:rPr>
        <w:t>E39_Actant</w:t>
      </w:r>
      <w:r>
        <w:t>) a pour résidence actuelle ou antérieure (</w:t>
      </w:r>
      <w:r>
        <w:rPr>
          <w:rStyle w:val="VerbatimChar"/>
        </w:rPr>
        <w:t>P74_a_pour_résidence_actuelle_ou_antérieure</w:t>
      </w:r>
      <w:r>
        <w:t>) le palais de Buckingham (</w:t>
      </w:r>
      <w:r>
        <w:rPr>
          <w:rStyle w:val="VerbatimChar"/>
        </w:rPr>
        <w:t>E53_Lieu</w:t>
      </w:r>
      <w:r>
        <w:t>) (Robinson, 2000)</w:t>
      </w:r>
    </w:p>
    <w:p w14:paraId="011D9688" w14:textId="77777777" w:rsidR="0084489F" w:rsidRDefault="00110FE6">
      <w:pPr>
        <w:pStyle w:val="BodyText"/>
      </w:pPr>
      <w:r>
        <w:rPr>
          <w:b/>
          <w:bCs/>
        </w:rPr>
        <w:t>Logique</w:t>
      </w:r>
    </w:p>
    <w:p w14:paraId="672494D4" w14:textId="77777777" w:rsidR="0084489F" w:rsidRDefault="00110FE6">
      <w:pPr>
        <w:pStyle w:val="BodyText"/>
      </w:pPr>
      <w:r w:rsidRPr="1B9E7434">
        <w:rPr>
          <w:lang w:val="fr-FR"/>
        </w:rPr>
        <w:t>P74(x,y) ⇒ E39(x)</w:t>
      </w:r>
    </w:p>
    <w:p w14:paraId="016E766B" w14:textId="77777777" w:rsidR="0084489F" w:rsidRDefault="00110FE6">
      <w:pPr>
        <w:pStyle w:val="BodyText"/>
      </w:pPr>
      <w:r w:rsidRPr="1B9E7434">
        <w:rPr>
          <w:lang w:val="fr-FR"/>
        </w:rPr>
        <w:t>P74(x,y) ⇒ E53(y)</w:t>
      </w:r>
    </w:p>
    <w:p w14:paraId="05C186F2" w14:textId="77777777" w:rsidR="0084489F" w:rsidRDefault="00110FE6">
      <w:pPr>
        <w:pStyle w:val="BodyText"/>
      </w:pPr>
      <w:r>
        <w:rPr>
          <w:b/>
          <w:bCs/>
        </w:rPr>
        <w:t>Propriétés</w:t>
      </w:r>
    </w:p>
    <w:p w14:paraId="6C629B80" w14:textId="77777777" w:rsidR="0084489F" w:rsidRDefault="00110FE6">
      <w:pPr>
        <w:pStyle w:val="BlockText"/>
      </w:pPr>
      <w:r>
        <w:rPr>
          <w:b/>
          <w:bCs/>
          <w:i/>
          <w:iCs/>
        </w:rPr>
        <w:t>Note de traduction</w:t>
      </w:r>
    </w:p>
    <w:p w14:paraId="1DF45B92" w14:textId="77777777" w:rsidR="0084489F" w:rsidRDefault="00110FE6">
      <w:pPr>
        <w:pStyle w:val="BlockText"/>
      </w:pPr>
      <w:r>
        <w:rPr>
          <w:b/>
          <w:bCs/>
          <w:i/>
          <w:iCs/>
        </w:rPr>
        <w:t>Références</w:t>
      </w:r>
    </w:p>
    <w:p w14:paraId="4269B101" w14:textId="77777777" w:rsidR="0084489F" w:rsidRDefault="0084489F">
      <w:pPr>
        <w:pStyle w:val="BlockText"/>
      </w:pPr>
    </w:p>
    <w:p w14:paraId="6BB83958" w14:textId="77777777" w:rsidR="0084489F" w:rsidRDefault="00110FE6">
      <w:pPr>
        <w:pStyle w:val="Heading2"/>
      </w:pPr>
      <w:bookmarkStart w:id="402" w:name="_Toc176864581"/>
      <w:bookmarkStart w:id="403" w:name="p75-possede-(est-possede-par)"/>
      <w:bookmarkEnd w:id="401"/>
      <w:r>
        <w:t>P75 possède (est possédé par)</w:t>
      </w:r>
      <w:bookmarkEnd w:id="402"/>
    </w:p>
    <w:p w14:paraId="157CD7D6" w14:textId="77777777" w:rsidR="0084489F" w:rsidRDefault="00110FE6">
      <w:pPr>
        <w:pStyle w:val="FirstParagraph"/>
      </w:pPr>
      <w:r>
        <w:rPr>
          <w:b/>
          <w:bCs/>
        </w:rPr>
        <w:t>Domaine</w:t>
      </w:r>
    </w:p>
    <w:p w14:paraId="7170F1C0" w14:textId="77777777" w:rsidR="0084489F" w:rsidRDefault="00110FE6">
      <w:pPr>
        <w:pStyle w:val="BodyText"/>
      </w:pPr>
      <w:r>
        <w:rPr>
          <w:rStyle w:val="VerbatimChar"/>
        </w:rPr>
        <w:t>E39_Actant</w:t>
      </w:r>
    </w:p>
    <w:p w14:paraId="14F737C2" w14:textId="77777777" w:rsidR="0084489F" w:rsidRDefault="00110FE6">
      <w:pPr>
        <w:pStyle w:val="BodyText"/>
      </w:pPr>
      <w:r>
        <w:rPr>
          <w:b/>
          <w:bCs/>
        </w:rPr>
        <w:t>Portée</w:t>
      </w:r>
    </w:p>
    <w:p w14:paraId="6B22BB41" w14:textId="77777777" w:rsidR="0084489F" w:rsidRDefault="00110FE6">
      <w:pPr>
        <w:pStyle w:val="BodyText"/>
      </w:pPr>
      <w:r>
        <w:rPr>
          <w:rStyle w:val="VerbatimChar"/>
        </w:rPr>
        <w:t>E30_Droit</w:t>
      </w:r>
    </w:p>
    <w:p w14:paraId="2E76AC25" w14:textId="77777777" w:rsidR="0084489F" w:rsidRDefault="00110FE6">
      <w:pPr>
        <w:pStyle w:val="BodyText"/>
      </w:pPr>
      <w:r>
        <w:rPr>
          <w:b/>
          <w:bCs/>
        </w:rPr>
        <w:t>Sous-propriété de</w:t>
      </w:r>
    </w:p>
    <w:p w14:paraId="19B6C0EA" w14:textId="77777777" w:rsidR="0084489F" w:rsidRDefault="00110FE6">
      <w:pPr>
        <w:pStyle w:val="BodyText"/>
      </w:pPr>
      <w:r>
        <w:rPr>
          <w:b/>
          <w:bCs/>
        </w:rPr>
        <w:t>Super-propriété de</w:t>
      </w:r>
    </w:p>
    <w:p w14:paraId="131390B3" w14:textId="77777777" w:rsidR="0084489F" w:rsidRDefault="00110FE6">
      <w:pPr>
        <w:pStyle w:val="BodyText"/>
      </w:pPr>
      <w:r>
        <w:rPr>
          <w:b/>
          <w:bCs/>
        </w:rPr>
        <w:t>Quantification</w:t>
      </w:r>
    </w:p>
    <w:p w14:paraId="70A2E5A3" w14:textId="77777777" w:rsidR="0084489F" w:rsidRDefault="00110FE6">
      <w:pPr>
        <w:pStyle w:val="BodyText"/>
      </w:pPr>
      <w:r w:rsidRPr="1B9E7434">
        <w:rPr>
          <w:lang w:val="fr-FR"/>
        </w:rPr>
        <w:t>plusieurs à plusieurs (0,n:0,n)</w:t>
      </w:r>
    </w:p>
    <w:p w14:paraId="34508A6A" w14:textId="77777777" w:rsidR="0084489F" w:rsidRDefault="00110FE6">
      <w:pPr>
        <w:pStyle w:val="BodyText"/>
      </w:pPr>
      <w:r>
        <w:rPr>
          <w:b/>
          <w:bCs/>
        </w:rPr>
        <w:t>Note d’application</w:t>
      </w:r>
    </w:p>
    <w:p w14:paraId="10DAC313" w14:textId="77777777" w:rsidR="0084489F" w:rsidRDefault="00110FE6">
      <w:pPr>
        <w:pStyle w:val="BodyText"/>
      </w:pPr>
      <w:r>
        <w:t xml:space="preserve">Cette propriété associe une instance de </w:t>
      </w:r>
      <w:r>
        <w:rPr>
          <w:rStyle w:val="VerbatimChar"/>
        </w:rPr>
        <w:t>E39_Actant</w:t>
      </w:r>
      <w:r>
        <w:t xml:space="preserve"> à une instance de </w:t>
      </w:r>
      <w:r>
        <w:rPr>
          <w:rStyle w:val="VerbatimChar"/>
        </w:rPr>
        <w:t>E30_Droit</w:t>
      </w:r>
      <w:r>
        <w:t xml:space="preserve"> sur laquelle l’actant détient ou a détenu une revendication légale.</w:t>
      </w:r>
    </w:p>
    <w:p w14:paraId="337A7D14" w14:textId="77777777" w:rsidR="0084489F" w:rsidRDefault="00110FE6">
      <w:pPr>
        <w:pStyle w:val="BodyText"/>
      </w:pPr>
      <w:r>
        <w:rPr>
          <w:b/>
          <w:bCs/>
        </w:rPr>
        <w:t>Exemples</w:t>
      </w:r>
    </w:p>
    <w:p w14:paraId="7D1D458C" w14:textId="59AADAD4" w:rsidR="0084489F" w:rsidRDefault="00110FE6" w:rsidP="00806324">
      <w:pPr>
        <w:numPr>
          <w:ilvl w:val="0"/>
          <w:numId w:val="201"/>
        </w:numPr>
      </w:pPr>
      <w:r w:rsidRPr="1B9E7434">
        <w:rPr>
          <w:lang w:val="fr-FR"/>
        </w:rPr>
        <w:t>Michæl Jackson (</w:t>
      </w:r>
      <w:r w:rsidRPr="1B9E7434">
        <w:rPr>
          <w:rStyle w:val="VerbatimChar"/>
          <w:lang w:val="fr-FR"/>
        </w:rPr>
        <w:t>E21_Personne</w:t>
      </w:r>
      <w:r w:rsidRPr="1B9E7434">
        <w:rPr>
          <w:lang w:val="fr-FR"/>
        </w:rPr>
        <w:t>) possède (</w:t>
      </w:r>
      <w:r w:rsidRPr="1B9E7434">
        <w:rPr>
          <w:rStyle w:val="VerbatimChar"/>
          <w:lang w:val="fr-FR"/>
        </w:rPr>
        <w:t>P75_possède</w:t>
      </w:r>
      <w:r w:rsidRPr="1B9E7434">
        <w:rPr>
          <w:lang w:val="fr-FR"/>
        </w:rPr>
        <w:t>) les droits de propriété intellectuelle sur le fond de catalogue des Beatles (</w:t>
      </w:r>
      <w:r w:rsidRPr="1B9E7434">
        <w:rPr>
          <w:rStyle w:val="VerbatimChar"/>
          <w:lang w:val="fr-FR"/>
        </w:rPr>
        <w:t>E30_Droit</w:t>
      </w:r>
      <w:r w:rsidRPr="1B9E7434">
        <w:rPr>
          <w:lang w:val="fr-FR"/>
        </w:rPr>
        <w:t>) (Raga, 2016)</w:t>
      </w:r>
    </w:p>
    <w:p w14:paraId="67021188" w14:textId="77777777" w:rsidR="0084489F" w:rsidRDefault="00110FE6">
      <w:pPr>
        <w:pStyle w:val="FirstParagraph"/>
      </w:pPr>
      <w:r>
        <w:rPr>
          <w:b/>
          <w:bCs/>
        </w:rPr>
        <w:lastRenderedPageBreak/>
        <w:t>Logique</w:t>
      </w:r>
    </w:p>
    <w:p w14:paraId="55676A0B" w14:textId="77777777" w:rsidR="0084489F" w:rsidRDefault="00110FE6">
      <w:pPr>
        <w:pStyle w:val="BodyText"/>
      </w:pPr>
      <w:r w:rsidRPr="1B9E7434">
        <w:rPr>
          <w:lang w:val="fr-FR"/>
        </w:rPr>
        <w:t>P75(x,y) ⇒ E39(x)</w:t>
      </w:r>
    </w:p>
    <w:p w14:paraId="7B5C0774" w14:textId="77777777" w:rsidR="0084489F" w:rsidRDefault="00110FE6">
      <w:pPr>
        <w:pStyle w:val="BodyText"/>
      </w:pPr>
      <w:r w:rsidRPr="1B9E7434">
        <w:rPr>
          <w:lang w:val="fr-FR"/>
        </w:rPr>
        <w:t>P75(x,y) ⇒ E30(y)</w:t>
      </w:r>
    </w:p>
    <w:p w14:paraId="1496D6B8" w14:textId="77777777" w:rsidR="0084489F" w:rsidRDefault="00110FE6">
      <w:pPr>
        <w:pStyle w:val="BodyText"/>
      </w:pPr>
      <w:r>
        <w:rPr>
          <w:b/>
          <w:bCs/>
        </w:rPr>
        <w:t>Propriétés</w:t>
      </w:r>
    </w:p>
    <w:p w14:paraId="79B801C5" w14:textId="77777777" w:rsidR="0084489F" w:rsidRDefault="00110FE6">
      <w:pPr>
        <w:pStyle w:val="BlockText"/>
      </w:pPr>
      <w:r>
        <w:rPr>
          <w:b/>
          <w:bCs/>
          <w:i/>
          <w:iCs/>
        </w:rPr>
        <w:t>Note de traduction</w:t>
      </w:r>
    </w:p>
    <w:p w14:paraId="2328D3DC" w14:textId="77777777" w:rsidR="0084489F" w:rsidRDefault="00110FE6">
      <w:pPr>
        <w:pStyle w:val="BlockText"/>
      </w:pPr>
      <w:r w:rsidRPr="1B9E7434">
        <w:rPr>
          <w:lang w:val="fr-FR"/>
        </w:rPr>
        <w:t>Tel que suggéré par Termium Plus, la traduction la plus adéquate du terme « back catalogue » est « fond de catalogue ».</w:t>
      </w:r>
    </w:p>
    <w:p w14:paraId="70546AF9" w14:textId="77777777" w:rsidR="0084489F" w:rsidRDefault="00110FE6">
      <w:pPr>
        <w:pStyle w:val="BlockText"/>
      </w:pPr>
      <w:r>
        <w:rPr>
          <w:b/>
          <w:bCs/>
          <w:i/>
          <w:iCs/>
        </w:rPr>
        <w:t>Références</w:t>
      </w:r>
    </w:p>
    <w:p w14:paraId="7198BA4E" w14:textId="77777777" w:rsidR="0084489F" w:rsidRDefault="00110FE6">
      <w:pPr>
        <w:pStyle w:val="BlockText"/>
      </w:pPr>
      <w:r w:rsidRPr="1B9E7434">
        <w:rPr>
          <w:lang w:val="fr-FR"/>
        </w:rPr>
        <w:t xml:space="preserve">Termium. « back catalogue ». Dans </w:t>
      </w:r>
      <w:r w:rsidRPr="1B9E7434">
        <w:rPr>
          <w:i/>
          <w:iCs/>
          <w:lang w:val="fr-FR"/>
        </w:rPr>
        <w:t>Termium Plus</w:t>
      </w:r>
      <w:r w:rsidRPr="1B9E7434">
        <w:rPr>
          <w:lang w:val="fr-FR"/>
        </w:rPr>
        <w:t>. Ottawa, CA-ON: Gouvernement du Canada, 8 octobre 2009.</w:t>
      </w:r>
      <w:hyperlink r:id="rId266" w:anchor="resultrecs">
        <w:r w:rsidRPr="1B9E7434">
          <w:rPr>
            <w:rStyle w:val="Hyperlink"/>
            <w:lang w:val="fr-FR"/>
          </w:rPr>
          <w:t xml:space="preserve"> </w:t>
        </w:r>
      </w:hyperlink>
      <w:hyperlink r:id="rId267" w:anchor="resultrecs">
        <w:r w:rsidRPr="1B9E7434">
          <w:rPr>
            <w:rStyle w:val="Hyperlink"/>
            <w:lang w:val="fr-FR"/>
          </w:rPr>
          <w:t>https://www.btb.termiumplus.gc.ca/tpv2alpha/alpha-fra.html?lang=fra&amp;i=1&amp;srchtxt=back+catalogue&amp;index=alt&amp;codom2nd_wet=1#resultrecs</w:t>
        </w:r>
      </w:hyperlink>
      <w:r w:rsidRPr="1B9E7434">
        <w:rPr>
          <w:lang w:val="fr-FR"/>
        </w:rPr>
        <w:t>.</w:t>
      </w:r>
    </w:p>
    <w:p w14:paraId="7D96528A" w14:textId="77777777" w:rsidR="004F1EE3" w:rsidRPr="004F1EE3" w:rsidRDefault="004F1EE3" w:rsidP="004F1EE3">
      <w:pPr>
        <w:pStyle w:val="BodyText"/>
      </w:pPr>
    </w:p>
    <w:p w14:paraId="0B303940" w14:textId="77777777" w:rsidR="0084489F" w:rsidRDefault="00110FE6">
      <w:pPr>
        <w:pStyle w:val="Heading2"/>
      </w:pPr>
      <w:bookmarkStart w:id="404" w:name="_Toc176864582"/>
      <w:bookmarkStart w:id="405" w:name="X8e92547920e7ec3a1176f6d90af536a3a7ffb1b"/>
      <w:bookmarkEnd w:id="403"/>
      <w:r>
        <w:t>P76 a pour coordonnées (permet de contacter)</w:t>
      </w:r>
      <w:bookmarkEnd w:id="404"/>
    </w:p>
    <w:p w14:paraId="541109EA" w14:textId="77777777" w:rsidR="0084489F" w:rsidRDefault="00110FE6">
      <w:pPr>
        <w:pStyle w:val="FirstParagraph"/>
      </w:pPr>
      <w:r>
        <w:rPr>
          <w:b/>
          <w:bCs/>
        </w:rPr>
        <w:t>Domaine</w:t>
      </w:r>
    </w:p>
    <w:p w14:paraId="2CB642A8" w14:textId="77777777" w:rsidR="0084489F" w:rsidRDefault="00110FE6">
      <w:pPr>
        <w:pStyle w:val="BodyText"/>
      </w:pPr>
      <w:r>
        <w:rPr>
          <w:rStyle w:val="VerbatimChar"/>
        </w:rPr>
        <w:t>E39_Actant</w:t>
      </w:r>
    </w:p>
    <w:p w14:paraId="6727E90A" w14:textId="77777777" w:rsidR="0084489F" w:rsidRDefault="00110FE6">
      <w:pPr>
        <w:pStyle w:val="BodyText"/>
      </w:pPr>
      <w:r>
        <w:rPr>
          <w:b/>
          <w:bCs/>
        </w:rPr>
        <w:t>Portée</w:t>
      </w:r>
    </w:p>
    <w:p w14:paraId="012425D0" w14:textId="77777777" w:rsidR="0084489F" w:rsidRDefault="00110FE6">
      <w:pPr>
        <w:pStyle w:val="BodyText"/>
      </w:pPr>
      <w:r>
        <w:rPr>
          <w:rStyle w:val="VerbatimChar"/>
        </w:rPr>
        <w:t>E41_Appellation</w:t>
      </w:r>
    </w:p>
    <w:p w14:paraId="62CB55BB" w14:textId="77777777" w:rsidR="0084489F" w:rsidRDefault="00110FE6">
      <w:pPr>
        <w:pStyle w:val="BodyText"/>
      </w:pPr>
      <w:r>
        <w:rPr>
          <w:b/>
          <w:bCs/>
        </w:rPr>
        <w:t>Sous-propriété de</w:t>
      </w:r>
    </w:p>
    <w:p w14:paraId="2DA4D77A" w14:textId="77777777" w:rsidR="0084489F" w:rsidRDefault="00110FE6">
      <w:pPr>
        <w:pStyle w:val="BodyText"/>
      </w:pPr>
      <w:r>
        <w:rPr>
          <w:b/>
          <w:bCs/>
        </w:rPr>
        <w:t>Super-propriété de</w:t>
      </w:r>
    </w:p>
    <w:p w14:paraId="27EB41E2" w14:textId="77777777" w:rsidR="0084489F" w:rsidRDefault="00110FE6">
      <w:pPr>
        <w:pStyle w:val="BodyText"/>
      </w:pPr>
      <w:r>
        <w:rPr>
          <w:b/>
          <w:bCs/>
        </w:rPr>
        <w:t>Quantification</w:t>
      </w:r>
    </w:p>
    <w:p w14:paraId="074B376C" w14:textId="77777777" w:rsidR="0084489F" w:rsidRDefault="00110FE6">
      <w:pPr>
        <w:pStyle w:val="BodyText"/>
      </w:pPr>
      <w:r w:rsidRPr="1B9E7434">
        <w:rPr>
          <w:lang w:val="fr-FR"/>
        </w:rPr>
        <w:t>plusieurs à plusieurs (0,n:0,n)</w:t>
      </w:r>
    </w:p>
    <w:p w14:paraId="6B99E62D" w14:textId="77777777" w:rsidR="0084489F" w:rsidRDefault="00110FE6">
      <w:pPr>
        <w:pStyle w:val="BodyText"/>
      </w:pPr>
      <w:r>
        <w:rPr>
          <w:b/>
          <w:bCs/>
        </w:rPr>
        <w:t>Note d’application</w:t>
      </w:r>
    </w:p>
    <w:p w14:paraId="0A20322E" w14:textId="77777777" w:rsidR="0084489F" w:rsidRDefault="00110FE6">
      <w:pPr>
        <w:pStyle w:val="BodyText"/>
      </w:pPr>
      <w:r>
        <w:t xml:space="preserve">Cette propriété associe une instance de </w:t>
      </w:r>
      <w:r>
        <w:rPr>
          <w:rStyle w:val="VerbatimChar"/>
        </w:rPr>
        <w:t>E39_Actant</w:t>
      </w:r>
      <w:r>
        <w:t xml:space="preserve"> à une instance de </w:t>
      </w:r>
      <w:r>
        <w:rPr>
          <w:rStyle w:val="VerbatimChar"/>
        </w:rPr>
        <w:t>E41_Appellation</w:t>
      </w:r>
      <w:r>
        <w:t xml:space="preserve"> qu’un service de communication utilise pour adresser des communications directes à cet actant, comme une adresse de courrier électronique, un numéro de télécopieur ou une adresse postale.</w:t>
      </w:r>
    </w:p>
    <w:p w14:paraId="1031BC7F" w14:textId="77777777" w:rsidR="0084489F" w:rsidRDefault="00110FE6">
      <w:pPr>
        <w:pStyle w:val="BodyText"/>
      </w:pPr>
      <w:r>
        <w:rPr>
          <w:b/>
          <w:bCs/>
        </w:rPr>
        <w:t>Exemples</w:t>
      </w:r>
    </w:p>
    <w:p w14:paraId="5F1906F0" w14:textId="77777777" w:rsidR="0084489F" w:rsidRDefault="00110FE6" w:rsidP="00806324">
      <w:pPr>
        <w:numPr>
          <w:ilvl w:val="0"/>
          <w:numId w:val="202"/>
        </w:numPr>
      </w:pPr>
      <w:r>
        <w:t>Le groupe de bibliothèques de recherche (</w:t>
      </w:r>
      <w:r>
        <w:rPr>
          <w:rStyle w:val="VerbatimChar"/>
        </w:rPr>
        <w:t>E74_Groupe</w:t>
      </w:r>
      <w:r>
        <w:t>) a pour coordonnées (</w:t>
      </w:r>
      <w:r>
        <w:rPr>
          <w:rStyle w:val="VerbatimChar"/>
        </w:rPr>
        <w:t>P76_a_pour_coordonnées</w:t>
      </w:r>
      <w:r>
        <w:t>) « bl.ric@rlg.org » (</w:t>
      </w:r>
      <w:r>
        <w:rPr>
          <w:rStyle w:val="VerbatimChar"/>
        </w:rPr>
        <w:t>E41_Appellation</w:t>
      </w:r>
      <w:r>
        <w:t>)</w:t>
      </w:r>
    </w:p>
    <w:p w14:paraId="5E2C04DF" w14:textId="77777777" w:rsidR="0084489F" w:rsidRDefault="00110FE6">
      <w:pPr>
        <w:pStyle w:val="FirstParagraph"/>
      </w:pPr>
      <w:r>
        <w:rPr>
          <w:b/>
          <w:bCs/>
        </w:rPr>
        <w:t>Logique</w:t>
      </w:r>
    </w:p>
    <w:p w14:paraId="59C3B720" w14:textId="77777777" w:rsidR="0084489F" w:rsidRDefault="00110FE6">
      <w:pPr>
        <w:pStyle w:val="BodyText"/>
      </w:pPr>
      <w:r w:rsidRPr="1B9E7434">
        <w:rPr>
          <w:lang w:val="fr-FR"/>
        </w:rPr>
        <w:t>P76(x,y) ⇒ E39(x)</w:t>
      </w:r>
    </w:p>
    <w:p w14:paraId="445537D7" w14:textId="77777777" w:rsidR="0084489F" w:rsidRDefault="00110FE6">
      <w:pPr>
        <w:pStyle w:val="BodyText"/>
      </w:pPr>
      <w:r w:rsidRPr="1B9E7434">
        <w:rPr>
          <w:lang w:val="fr-FR"/>
        </w:rPr>
        <w:t>P76(x,y) ⇒ E41(y)</w:t>
      </w:r>
    </w:p>
    <w:p w14:paraId="144C1E8E" w14:textId="77777777" w:rsidR="0084489F" w:rsidRDefault="00110FE6">
      <w:pPr>
        <w:pStyle w:val="BodyText"/>
      </w:pPr>
      <w:r>
        <w:rPr>
          <w:b/>
          <w:bCs/>
        </w:rPr>
        <w:t>Propriétés</w:t>
      </w:r>
    </w:p>
    <w:p w14:paraId="473CF332" w14:textId="77777777" w:rsidR="0084489F" w:rsidRDefault="00110FE6">
      <w:pPr>
        <w:pStyle w:val="BlockText"/>
      </w:pPr>
      <w:r>
        <w:rPr>
          <w:b/>
          <w:bCs/>
          <w:i/>
          <w:iCs/>
        </w:rPr>
        <w:t>Note de traduction</w:t>
      </w:r>
    </w:p>
    <w:p w14:paraId="084A9531" w14:textId="77777777" w:rsidR="0084489F" w:rsidRDefault="00110FE6">
      <w:pPr>
        <w:pStyle w:val="BlockText"/>
      </w:pPr>
      <w:r>
        <w:rPr>
          <w:b/>
          <w:bCs/>
          <w:i/>
          <w:iCs/>
        </w:rPr>
        <w:t>Références</w:t>
      </w:r>
    </w:p>
    <w:p w14:paraId="304A2BFA" w14:textId="77777777" w:rsidR="0084489F" w:rsidRDefault="0084489F">
      <w:pPr>
        <w:pStyle w:val="BlockText"/>
      </w:pPr>
    </w:p>
    <w:p w14:paraId="2885F1FC" w14:textId="77777777" w:rsidR="0084489F" w:rsidRDefault="00110FE6">
      <w:pPr>
        <w:pStyle w:val="Heading2"/>
      </w:pPr>
      <w:bookmarkStart w:id="406" w:name="_Toc176864583"/>
      <w:bookmarkStart w:id="407" w:name="p79-a-son-debut-qualifie-par"/>
      <w:bookmarkEnd w:id="405"/>
      <w:r>
        <w:lastRenderedPageBreak/>
        <w:t>P79 a son début qualifié par</w:t>
      </w:r>
      <w:bookmarkEnd w:id="406"/>
    </w:p>
    <w:p w14:paraId="35A1140F" w14:textId="77777777" w:rsidR="0084489F" w:rsidRDefault="00110FE6">
      <w:pPr>
        <w:pStyle w:val="FirstParagraph"/>
      </w:pPr>
      <w:r>
        <w:rPr>
          <w:b/>
          <w:bCs/>
        </w:rPr>
        <w:t>Domaine</w:t>
      </w:r>
    </w:p>
    <w:p w14:paraId="7F8B502C" w14:textId="77777777" w:rsidR="0084489F" w:rsidRDefault="00110FE6">
      <w:pPr>
        <w:pStyle w:val="BodyText"/>
      </w:pPr>
      <w:r>
        <w:rPr>
          <w:rStyle w:val="VerbatimChar"/>
        </w:rPr>
        <w:t>E52_Intervalle_temporel</w:t>
      </w:r>
    </w:p>
    <w:p w14:paraId="1E8FA830" w14:textId="77777777" w:rsidR="0084489F" w:rsidRDefault="00110FE6">
      <w:pPr>
        <w:pStyle w:val="BodyText"/>
      </w:pPr>
      <w:r>
        <w:rPr>
          <w:b/>
          <w:bCs/>
        </w:rPr>
        <w:t>Portée</w:t>
      </w:r>
    </w:p>
    <w:p w14:paraId="08340B30" w14:textId="77777777" w:rsidR="0084489F" w:rsidRDefault="00110FE6">
      <w:pPr>
        <w:pStyle w:val="BodyText"/>
      </w:pPr>
      <w:r>
        <w:rPr>
          <w:rStyle w:val="VerbatimChar"/>
        </w:rPr>
        <w:t>E62_Chaîne_de_caractères</w:t>
      </w:r>
    </w:p>
    <w:p w14:paraId="4F9DEA6E" w14:textId="77777777" w:rsidR="0084489F" w:rsidRDefault="00110FE6">
      <w:pPr>
        <w:pStyle w:val="BodyText"/>
      </w:pPr>
      <w:r>
        <w:rPr>
          <w:b/>
          <w:bCs/>
        </w:rPr>
        <w:t>Sous-propriété de</w:t>
      </w:r>
    </w:p>
    <w:p w14:paraId="78376E6D" w14:textId="77777777" w:rsidR="0084489F" w:rsidRDefault="00110FE6">
      <w:pPr>
        <w:pStyle w:val="BodyText"/>
      </w:pPr>
      <w:r>
        <w:rPr>
          <w:rStyle w:val="VerbatimChar"/>
        </w:rPr>
        <w:t>E1_Entité_CRM</w:t>
      </w:r>
      <w:r>
        <w:t xml:space="preserve">. </w:t>
      </w:r>
      <w:r>
        <w:rPr>
          <w:rStyle w:val="VerbatimChar"/>
        </w:rPr>
        <w:t>P3_a_pour_note</w:t>
      </w:r>
      <w:r>
        <w:t xml:space="preserve"> : </w:t>
      </w:r>
      <w:r>
        <w:rPr>
          <w:rStyle w:val="VerbatimChar"/>
        </w:rPr>
        <w:t>E62_Chaîne_de_caractères</w:t>
      </w:r>
    </w:p>
    <w:p w14:paraId="01943E18" w14:textId="77777777" w:rsidR="0084489F" w:rsidRDefault="00110FE6">
      <w:pPr>
        <w:pStyle w:val="BodyText"/>
      </w:pPr>
      <w:r>
        <w:rPr>
          <w:b/>
          <w:bCs/>
        </w:rPr>
        <w:t>Super-propriété de</w:t>
      </w:r>
    </w:p>
    <w:p w14:paraId="2F1EC0D0" w14:textId="77777777" w:rsidR="0084489F" w:rsidRDefault="00110FE6">
      <w:pPr>
        <w:pStyle w:val="BodyText"/>
      </w:pPr>
      <w:r>
        <w:rPr>
          <w:b/>
          <w:bCs/>
        </w:rPr>
        <w:t>Quantification</w:t>
      </w:r>
    </w:p>
    <w:p w14:paraId="49D7B7D7" w14:textId="77777777" w:rsidR="0084489F" w:rsidRDefault="00110FE6">
      <w:pPr>
        <w:pStyle w:val="BodyText"/>
      </w:pPr>
      <w:r w:rsidRPr="1B9E7434">
        <w:rPr>
          <w:lang w:val="fr-FR"/>
        </w:rPr>
        <w:t>plusieurs à un (0,1:0,n)</w:t>
      </w:r>
    </w:p>
    <w:p w14:paraId="73B494FF" w14:textId="77777777" w:rsidR="0084489F" w:rsidRDefault="00110FE6">
      <w:pPr>
        <w:pStyle w:val="BodyText"/>
      </w:pPr>
      <w:r>
        <w:rPr>
          <w:b/>
          <w:bCs/>
        </w:rPr>
        <w:t>Note d’application</w:t>
      </w:r>
    </w:p>
    <w:p w14:paraId="71C4F3B8" w14:textId="77777777" w:rsidR="0084489F" w:rsidRDefault="00110FE6">
      <w:pPr>
        <w:pStyle w:val="BodyText"/>
      </w:pPr>
      <w:r>
        <w:t xml:space="preserve">Cette propriété associe une instance de </w:t>
      </w:r>
      <w:r>
        <w:rPr>
          <w:rStyle w:val="VerbatimChar"/>
        </w:rPr>
        <w:t>E52_Intervalle_temporel</w:t>
      </w:r>
      <w:r>
        <w:t xml:space="preserve"> à une note détaillant les opinions et justifications savantes ou scientifiques sur la certitude, la précision, les sources, etc. du début [n.d.t. de cet intervalle de temps]. Ces notes peuvent être utilisées pour élaborer des arguments à propos des contraintes ou pour donner des explications concernant des alternatives.</w:t>
      </w:r>
    </w:p>
    <w:p w14:paraId="2BC6C811" w14:textId="77777777" w:rsidR="0084489F" w:rsidRDefault="00110FE6">
      <w:pPr>
        <w:pStyle w:val="BodyText"/>
      </w:pPr>
      <w:r>
        <w:rPr>
          <w:b/>
          <w:bCs/>
        </w:rPr>
        <w:t>Exemples</w:t>
      </w:r>
    </w:p>
    <w:p w14:paraId="03F5EF26" w14:textId="745A96C7" w:rsidR="0084489F" w:rsidRDefault="00110FE6" w:rsidP="00806324">
      <w:pPr>
        <w:numPr>
          <w:ilvl w:val="0"/>
          <w:numId w:val="203"/>
        </w:numPr>
      </w:pPr>
      <w:r w:rsidRPr="1B9E7434">
        <w:rPr>
          <w:lang w:val="fr-FR"/>
        </w:rPr>
        <w:t>L'intervalle de temps de l'Holocène (</w:t>
      </w:r>
      <w:r w:rsidRPr="1B9E7434">
        <w:rPr>
          <w:rStyle w:val="VerbatimChar"/>
          <w:lang w:val="fr-FR"/>
        </w:rPr>
        <w:t>E52_Intervalle_temporel</w:t>
      </w:r>
      <w:r w:rsidRPr="1B9E7434">
        <w:rPr>
          <w:lang w:val="fr-FR"/>
        </w:rPr>
        <w:t>) a son début qualifié par (</w:t>
      </w:r>
      <w:r w:rsidRPr="1B9E7434">
        <w:rPr>
          <w:rStyle w:val="VerbatimChar"/>
          <w:lang w:val="fr-FR"/>
        </w:rPr>
        <w:t>P79_a_son_début_qualifié_par</w:t>
      </w:r>
      <w:r w:rsidRPr="1B9E7434">
        <w:rPr>
          <w:lang w:val="fr-FR"/>
        </w:rPr>
        <w:t>) « La définition formelle et la datation du GSSP (GlobalStratotype Section and Point) pour la base de l'Holocène en utilisant la carotte de glace du Grœnland NGRIP et des enregistrements auxiliaires sélectionnés » (</w:t>
      </w:r>
      <w:r w:rsidRPr="1B9E7434">
        <w:rPr>
          <w:rStyle w:val="VerbatimChar"/>
          <w:lang w:val="fr-FR"/>
        </w:rPr>
        <w:t>E62_Chaîne_de_caractères</w:t>
      </w:r>
      <w:r w:rsidRPr="1B9E7434">
        <w:rPr>
          <w:lang w:val="fr-FR"/>
        </w:rPr>
        <w:t>) (Walker &amp; al, 2009)</w:t>
      </w:r>
    </w:p>
    <w:p w14:paraId="0CE43669" w14:textId="77777777" w:rsidR="0084489F" w:rsidRDefault="00110FE6">
      <w:pPr>
        <w:pStyle w:val="FirstParagraph"/>
      </w:pPr>
      <w:r>
        <w:rPr>
          <w:b/>
          <w:bCs/>
        </w:rPr>
        <w:t>Logique</w:t>
      </w:r>
    </w:p>
    <w:p w14:paraId="2A081710" w14:textId="77777777" w:rsidR="0084489F" w:rsidRDefault="00110FE6">
      <w:pPr>
        <w:pStyle w:val="BodyText"/>
      </w:pPr>
      <w:r w:rsidRPr="1B9E7434">
        <w:rPr>
          <w:lang w:val="fr-FR"/>
        </w:rPr>
        <w:t>P79(x,y) ⇒ E52(x)</w:t>
      </w:r>
    </w:p>
    <w:p w14:paraId="13698E24" w14:textId="77777777" w:rsidR="0084489F" w:rsidRDefault="00110FE6">
      <w:pPr>
        <w:pStyle w:val="BodyText"/>
      </w:pPr>
      <w:r w:rsidRPr="1B9E7434">
        <w:rPr>
          <w:lang w:val="fr-FR"/>
        </w:rPr>
        <w:t>P79(x,y) ⇒ E62(y)</w:t>
      </w:r>
    </w:p>
    <w:p w14:paraId="537EBFF0" w14:textId="77777777" w:rsidR="0084489F" w:rsidRDefault="00110FE6">
      <w:pPr>
        <w:pStyle w:val="BodyText"/>
      </w:pPr>
      <w:r w:rsidRPr="1B9E7434">
        <w:rPr>
          <w:lang w:val="fr-FR"/>
        </w:rPr>
        <w:t>P79(x,y) ⇒ P3(x,y)</w:t>
      </w:r>
    </w:p>
    <w:p w14:paraId="40963141" w14:textId="77777777" w:rsidR="0084489F" w:rsidRDefault="00110FE6">
      <w:pPr>
        <w:pStyle w:val="BodyText"/>
      </w:pPr>
      <w:r>
        <w:rPr>
          <w:b/>
          <w:bCs/>
        </w:rPr>
        <w:t>Propriétés</w:t>
      </w:r>
    </w:p>
    <w:p w14:paraId="5CEC6700" w14:textId="77777777" w:rsidR="0084489F" w:rsidRDefault="00110FE6">
      <w:pPr>
        <w:pStyle w:val="BlockText"/>
      </w:pPr>
      <w:r>
        <w:rPr>
          <w:b/>
          <w:bCs/>
          <w:i/>
          <w:iCs/>
        </w:rPr>
        <w:t>Note de traduction</w:t>
      </w:r>
    </w:p>
    <w:p w14:paraId="7438436A" w14:textId="77777777" w:rsidR="0084489F" w:rsidRDefault="00110FE6">
      <w:pPr>
        <w:pStyle w:val="BlockText"/>
      </w:pPr>
      <w:r>
        <w:t>La traduction de la citation en exemple (Walker &amp; al 2009) est une traduction libre.</w:t>
      </w:r>
    </w:p>
    <w:p w14:paraId="2D7F203C" w14:textId="77777777" w:rsidR="0084489F" w:rsidRDefault="00110FE6">
      <w:pPr>
        <w:pStyle w:val="BlockText"/>
      </w:pPr>
      <w:r>
        <w:rPr>
          <w:b/>
          <w:bCs/>
          <w:i/>
          <w:iCs/>
        </w:rPr>
        <w:t>Références</w:t>
      </w:r>
    </w:p>
    <w:p w14:paraId="010478D7" w14:textId="77777777" w:rsidR="0084489F" w:rsidRDefault="0084489F">
      <w:pPr>
        <w:pStyle w:val="BlockText"/>
      </w:pPr>
    </w:p>
    <w:p w14:paraId="239C77D2" w14:textId="77777777" w:rsidR="0084489F" w:rsidRDefault="00110FE6">
      <w:pPr>
        <w:pStyle w:val="Heading2"/>
      </w:pPr>
      <w:bookmarkStart w:id="408" w:name="_Toc176864584"/>
      <w:bookmarkStart w:id="409" w:name="p80-a-sa-fin-qualifiee-par"/>
      <w:bookmarkEnd w:id="407"/>
      <w:r>
        <w:t>P80 a sa fin qualifiée par</w:t>
      </w:r>
      <w:bookmarkEnd w:id="408"/>
    </w:p>
    <w:p w14:paraId="44AD711B" w14:textId="77777777" w:rsidR="0084489F" w:rsidRDefault="00110FE6">
      <w:pPr>
        <w:pStyle w:val="FirstParagraph"/>
      </w:pPr>
      <w:r>
        <w:rPr>
          <w:b/>
          <w:bCs/>
        </w:rPr>
        <w:t>Domaine</w:t>
      </w:r>
    </w:p>
    <w:p w14:paraId="4CD8F887" w14:textId="77777777" w:rsidR="0084489F" w:rsidRDefault="00110FE6">
      <w:pPr>
        <w:pStyle w:val="BodyText"/>
      </w:pPr>
      <w:r>
        <w:rPr>
          <w:rStyle w:val="VerbatimChar"/>
        </w:rPr>
        <w:t>E52_Intervalle_temporel</w:t>
      </w:r>
    </w:p>
    <w:p w14:paraId="3AC341CA" w14:textId="77777777" w:rsidR="0084489F" w:rsidRDefault="00110FE6">
      <w:pPr>
        <w:pStyle w:val="BodyText"/>
      </w:pPr>
      <w:r>
        <w:rPr>
          <w:b/>
          <w:bCs/>
        </w:rPr>
        <w:t>Portée</w:t>
      </w:r>
    </w:p>
    <w:p w14:paraId="6FBFA7B0" w14:textId="77777777" w:rsidR="0084489F" w:rsidRDefault="00110FE6">
      <w:pPr>
        <w:pStyle w:val="BodyText"/>
      </w:pPr>
      <w:r>
        <w:rPr>
          <w:rStyle w:val="VerbatimChar"/>
        </w:rPr>
        <w:lastRenderedPageBreak/>
        <w:t>E62_Chaîne_de_caractères</w:t>
      </w:r>
    </w:p>
    <w:p w14:paraId="26910BD1" w14:textId="77777777" w:rsidR="0084489F" w:rsidRDefault="00110FE6">
      <w:pPr>
        <w:pStyle w:val="BodyText"/>
      </w:pPr>
      <w:r>
        <w:rPr>
          <w:b/>
          <w:bCs/>
        </w:rPr>
        <w:t>Sous-propriété de</w:t>
      </w:r>
    </w:p>
    <w:p w14:paraId="257F1497" w14:textId="77777777" w:rsidR="0084489F" w:rsidRDefault="00110FE6">
      <w:pPr>
        <w:pStyle w:val="BodyText"/>
      </w:pPr>
      <w:r>
        <w:rPr>
          <w:rStyle w:val="VerbatimChar"/>
        </w:rPr>
        <w:t>E1_Entité_CRM</w:t>
      </w:r>
      <w:r>
        <w:t xml:space="preserve">. </w:t>
      </w:r>
      <w:r>
        <w:rPr>
          <w:rStyle w:val="VerbatimChar"/>
        </w:rPr>
        <w:t>P3_a_pour_note</w:t>
      </w:r>
      <w:r>
        <w:t xml:space="preserve"> : </w:t>
      </w:r>
      <w:r>
        <w:rPr>
          <w:rStyle w:val="VerbatimChar"/>
        </w:rPr>
        <w:t>E62_Chaîne_de_caractères</w:t>
      </w:r>
    </w:p>
    <w:p w14:paraId="17459929" w14:textId="77777777" w:rsidR="0084489F" w:rsidRDefault="00110FE6">
      <w:pPr>
        <w:pStyle w:val="BodyText"/>
      </w:pPr>
      <w:r>
        <w:rPr>
          <w:b/>
          <w:bCs/>
        </w:rPr>
        <w:t>Super-propriété de</w:t>
      </w:r>
    </w:p>
    <w:p w14:paraId="64116520" w14:textId="77777777" w:rsidR="0084489F" w:rsidRDefault="00110FE6">
      <w:pPr>
        <w:pStyle w:val="BodyText"/>
      </w:pPr>
      <w:r>
        <w:rPr>
          <w:b/>
          <w:bCs/>
        </w:rPr>
        <w:t>Quantification</w:t>
      </w:r>
    </w:p>
    <w:p w14:paraId="0A61756A" w14:textId="77777777" w:rsidR="0084489F" w:rsidRDefault="00110FE6">
      <w:pPr>
        <w:pStyle w:val="BodyText"/>
      </w:pPr>
      <w:r w:rsidRPr="1B9E7434">
        <w:rPr>
          <w:lang w:val="fr-FR"/>
        </w:rPr>
        <w:t>plusieurs à un (0,1:0,n)</w:t>
      </w:r>
    </w:p>
    <w:p w14:paraId="57E20F7D" w14:textId="77777777" w:rsidR="0084489F" w:rsidRDefault="00110FE6">
      <w:pPr>
        <w:pStyle w:val="BodyText"/>
      </w:pPr>
      <w:r>
        <w:rPr>
          <w:b/>
          <w:bCs/>
        </w:rPr>
        <w:t>Note d’application</w:t>
      </w:r>
    </w:p>
    <w:p w14:paraId="16792027" w14:textId="77777777" w:rsidR="0084489F" w:rsidRDefault="00110FE6">
      <w:pPr>
        <w:pStyle w:val="BodyText"/>
      </w:pPr>
      <w:r>
        <w:t xml:space="preserve">Cette propriété associe une instance de </w:t>
      </w:r>
      <w:r>
        <w:rPr>
          <w:rStyle w:val="VerbatimChar"/>
        </w:rPr>
        <w:t>E52_Intervalle_temporel</w:t>
      </w:r>
      <w:r>
        <w:t xml:space="preserve"> à une note détaillant les opinions et justifications savantes ou scientifiques sur la certitude, la précision, les sources, etc. de la fin de cet intervalle de temps. Cette propriété peut également être utilisée pour décrire des arguments délimitant des dates possibles et pour distinguer les raisons des dates alternatives.</w:t>
      </w:r>
    </w:p>
    <w:p w14:paraId="3FD347AB" w14:textId="77777777" w:rsidR="0084489F" w:rsidRDefault="00110FE6">
      <w:pPr>
        <w:pStyle w:val="BodyText"/>
      </w:pPr>
      <w:r>
        <w:rPr>
          <w:b/>
          <w:bCs/>
        </w:rPr>
        <w:t>Exemples</w:t>
      </w:r>
    </w:p>
    <w:p w14:paraId="27713A3F" w14:textId="77777777" w:rsidR="0084489F" w:rsidRDefault="00110FE6" w:rsidP="00806324">
      <w:pPr>
        <w:numPr>
          <w:ilvl w:val="0"/>
          <w:numId w:val="204"/>
        </w:numPr>
      </w:pPr>
      <w:r>
        <w:t>L'intervalle de temps de l'Holocène (</w:t>
      </w:r>
      <w:r>
        <w:rPr>
          <w:rStyle w:val="VerbatimChar"/>
        </w:rPr>
        <w:t>E52_Intervalle_temporel</w:t>
      </w:r>
      <w:r>
        <w:t>) a sa fin qualifiée par (</w:t>
      </w:r>
      <w:r>
        <w:rPr>
          <w:rStyle w:val="VerbatimChar"/>
        </w:rPr>
        <w:t>P80_a_sa_fin_qualifiée_par</w:t>
      </w:r>
      <w:r>
        <w:t>) « toujours en cours » (</w:t>
      </w:r>
      <w:r>
        <w:rPr>
          <w:rStyle w:val="VerbatimChar"/>
        </w:rPr>
        <w:t>E62_Chaîne_de_caractères</w:t>
      </w:r>
      <w:r>
        <w:t>) (Walker &amp; al, 2009)</w:t>
      </w:r>
    </w:p>
    <w:p w14:paraId="3DD45588" w14:textId="77777777" w:rsidR="0084489F" w:rsidRDefault="00110FE6">
      <w:pPr>
        <w:pStyle w:val="FirstParagraph"/>
      </w:pPr>
      <w:r>
        <w:rPr>
          <w:b/>
          <w:bCs/>
        </w:rPr>
        <w:t>Logique</w:t>
      </w:r>
    </w:p>
    <w:p w14:paraId="15E229A9" w14:textId="77777777" w:rsidR="0084489F" w:rsidRDefault="00110FE6">
      <w:pPr>
        <w:pStyle w:val="BodyText"/>
      </w:pPr>
      <w:r w:rsidRPr="1B9E7434">
        <w:rPr>
          <w:lang w:val="fr-FR"/>
        </w:rPr>
        <w:t xml:space="preserve">P80(x,y) ⇒ E52(x) </w:t>
      </w:r>
    </w:p>
    <w:p w14:paraId="2064F769" w14:textId="77777777" w:rsidR="0084489F" w:rsidRDefault="00110FE6">
      <w:pPr>
        <w:pStyle w:val="BodyText"/>
      </w:pPr>
      <w:r w:rsidRPr="1B9E7434">
        <w:rPr>
          <w:lang w:val="fr-FR"/>
        </w:rPr>
        <w:t>P80(x,y) ⇒ E62(y)</w:t>
      </w:r>
    </w:p>
    <w:p w14:paraId="5C7447C4" w14:textId="77777777" w:rsidR="0084489F" w:rsidRDefault="00110FE6">
      <w:pPr>
        <w:pStyle w:val="BodyText"/>
      </w:pPr>
      <w:r w:rsidRPr="1B9E7434">
        <w:rPr>
          <w:lang w:val="fr-FR"/>
        </w:rPr>
        <w:t>P80(x,y) ⇒ P3(x,y)</w:t>
      </w:r>
    </w:p>
    <w:p w14:paraId="73F2151F" w14:textId="77777777" w:rsidR="0084489F" w:rsidRDefault="00110FE6">
      <w:pPr>
        <w:pStyle w:val="BodyText"/>
      </w:pPr>
      <w:r>
        <w:rPr>
          <w:b/>
          <w:bCs/>
        </w:rPr>
        <w:t>Propriétés</w:t>
      </w:r>
    </w:p>
    <w:p w14:paraId="29214E2F" w14:textId="77777777" w:rsidR="0084489F" w:rsidRDefault="00110FE6">
      <w:pPr>
        <w:pStyle w:val="BlockText"/>
      </w:pPr>
      <w:r>
        <w:rPr>
          <w:b/>
          <w:bCs/>
          <w:i/>
          <w:iCs/>
        </w:rPr>
        <w:t>Note de traduction</w:t>
      </w:r>
    </w:p>
    <w:p w14:paraId="7DC127BA" w14:textId="77777777" w:rsidR="0084489F" w:rsidRDefault="00110FE6">
      <w:pPr>
        <w:pStyle w:val="BlockText"/>
      </w:pPr>
      <w:r>
        <w:rPr>
          <w:b/>
          <w:bCs/>
          <w:i/>
          <w:iCs/>
        </w:rPr>
        <w:t>Références</w:t>
      </w:r>
    </w:p>
    <w:p w14:paraId="761E15C9" w14:textId="77777777" w:rsidR="0084489F" w:rsidRDefault="0084489F">
      <w:pPr>
        <w:pStyle w:val="BlockText"/>
      </w:pPr>
    </w:p>
    <w:p w14:paraId="7B36ACBD" w14:textId="77777777" w:rsidR="0084489F" w:rsidRDefault="00110FE6">
      <w:pPr>
        <w:pStyle w:val="Heading2"/>
      </w:pPr>
      <w:bookmarkStart w:id="410" w:name="_Toc176864585"/>
      <w:bookmarkStart w:id="411" w:name="p81-a-couvert"/>
      <w:bookmarkEnd w:id="409"/>
      <w:r>
        <w:t>P81 a couvert</w:t>
      </w:r>
      <w:bookmarkEnd w:id="410"/>
    </w:p>
    <w:p w14:paraId="7B8DBE13" w14:textId="77777777" w:rsidR="0084489F" w:rsidRDefault="00110FE6">
      <w:pPr>
        <w:pStyle w:val="FirstParagraph"/>
      </w:pPr>
      <w:r>
        <w:rPr>
          <w:b/>
          <w:bCs/>
        </w:rPr>
        <w:t>Domaine</w:t>
      </w:r>
    </w:p>
    <w:p w14:paraId="07C1E301" w14:textId="77777777" w:rsidR="0084489F" w:rsidRDefault="00110FE6">
      <w:pPr>
        <w:pStyle w:val="BodyText"/>
      </w:pPr>
      <w:r>
        <w:rPr>
          <w:rStyle w:val="VerbatimChar"/>
        </w:rPr>
        <w:t>E52_Intervalle_temporel</w:t>
      </w:r>
    </w:p>
    <w:p w14:paraId="342E59D5" w14:textId="77777777" w:rsidR="0084489F" w:rsidRDefault="00110FE6">
      <w:pPr>
        <w:pStyle w:val="BodyText"/>
      </w:pPr>
      <w:r>
        <w:rPr>
          <w:b/>
          <w:bCs/>
        </w:rPr>
        <w:t>Portée</w:t>
      </w:r>
    </w:p>
    <w:p w14:paraId="71390A41" w14:textId="77777777" w:rsidR="0084489F" w:rsidRDefault="00110FE6">
      <w:pPr>
        <w:pStyle w:val="BodyText"/>
      </w:pPr>
      <w:r>
        <w:rPr>
          <w:rStyle w:val="VerbatimChar"/>
        </w:rPr>
        <w:t>E61_Primitive_temporelle</w:t>
      </w:r>
    </w:p>
    <w:p w14:paraId="344B6390" w14:textId="77777777" w:rsidR="0084489F" w:rsidRDefault="00110FE6">
      <w:pPr>
        <w:pStyle w:val="BodyText"/>
      </w:pPr>
      <w:r>
        <w:rPr>
          <w:b/>
          <w:bCs/>
        </w:rPr>
        <w:t>Sous-propriété de</w:t>
      </w:r>
    </w:p>
    <w:p w14:paraId="4B376035" w14:textId="77777777" w:rsidR="0084489F" w:rsidRDefault="00110FE6">
      <w:pPr>
        <w:pStyle w:val="BodyText"/>
      </w:pPr>
      <w:r>
        <w:rPr>
          <w:b/>
          <w:bCs/>
        </w:rPr>
        <w:t>Super-propriété de</w:t>
      </w:r>
    </w:p>
    <w:p w14:paraId="2672A361" w14:textId="77777777" w:rsidR="0084489F" w:rsidRDefault="00110FE6">
      <w:pPr>
        <w:pStyle w:val="BodyText"/>
      </w:pPr>
      <w:r>
        <w:rPr>
          <w:b/>
          <w:bCs/>
        </w:rPr>
        <w:t>Quantification</w:t>
      </w:r>
    </w:p>
    <w:p w14:paraId="16F276B7" w14:textId="77777777" w:rsidR="0084489F" w:rsidRDefault="00110FE6">
      <w:pPr>
        <w:pStyle w:val="BodyText"/>
      </w:pPr>
      <w:r w:rsidRPr="1B9E7434">
        <w:rPr>
          <w:lang w:val="fr-FR"/>
        </w:rPr>
        <w:t>plusieurs à plusieurs, nécessaire (1,n:0,n)</w:t>
      </w:r>
    </w:p>
    <w:p w14:paraId="6EC0FFFA" w14:textId="77777777" w:rsidR="0084489F" w:rsidRDefault="00110FE6" w:rsidP="00F361B3">
      <w:pPr>
        <w:pStyle w:val="BodyText"/>
        <w:keepNext/>
      </w:pPr>
      <w:r>
        <w:rPr>
          <w:b/>
          <w:bCs/>
        </w:rPr>
        <w:lastRenderedPageBreak/>
        <w:t>Note d’application</w:t>
      </w:r>
    </w:p>
    <w:p w14:paraId="7D290E2E" w14:textId="77777777" w:rsidR="0084489F" w:rsidRDefault="00110FE6" w:rsidP="00F361B3">
      <w:pPr>
        <w:pStyle w:val="BodyText"/>
        <w:keepNext/>
      </w:pPr>
      <w:r>
        <w:t xml:space="preserve">Cette propriété associe une instance de </w:t>
      </w:r>
      <w:r>
        <w:rPr>
          <w:rStyle w:val="VerbatimChar"/>
        </w:rPr>
        <w:t>E52_Intervalle_temporel</w:t>
      </w:r>
      <w:r>
        <w:t xml:space="preserve"> à une instance de </w:t>
      </w:r>
      <w:r>
        <w:rPr>
          <w:rStyle w:val="VerbatimChar"/>
        </w:rPr>
        <w:t>E61_Primitive_temporelle</w:t>
      </w:r>
      <w:r>
        <w:t xml:space="preserve"> qui spécifie une période minimale de temps couverte par l’intervalle en question. Puisque les intervalles temporels peuvent ne pas avoir d’étendue précisément connue, le CIDOC CRM permet les énoncés portant sur les étendues minimale et maximale d’un intervalle. Cette propriété permet donc l’assignation d’une valeur de </w:t>
      </w:r>
      <w:r>
        <w:rPr>
          <w:rStyle w:val="VerbatimChar"/>
        </w:rPr>
        <w:t>E61_Primitive_temporelle</w:t>
      </w:r>
      <w:r>
        <w:t xml:space="preserve"> comme étendue temporelle minimale (c.-à-d. comme limite temporelle interne).</w:t>
      </w:r>
    </w:p>
    <w:p w14:paraId="2B11FE5D" w14:textId="77777777" w:rsidR="0084489F" w:rsidRDefault="00110FE6">
      <w:pPr>
        <w:pStyle w:val="BodyText"/>
      </w:pPr>
      <w:r w:rsidRPr="1B9E7434">
        <w:rPr>
          <w:lang w:val="fr-FR"/>
        </w:rPr>
        <w:t>Les primitives temporelles sont traitées par le CIDOC CRM comme des intervalles de temps spécifiques à des systèmes ou à des applications; elles ne font pas l’objet d’analyses supplémentaires.</w:t>
      </w:r>
    </w:p>
    <w:p w14:paraId="6C57EECE" w14:textId="77777777" w:rsidR="0084489F" w:rsidRDefault="00110FE6">
      <w:pPr>
        <w:pStyle w:val="BodyText"/>
      </w:pPr>
      <w:r>
        <w:t>Si différentes sources justifient des étendues minimales différentes sans pour autant se contredire, l’intervalle le plus petit incluant l’intégralité de ces étendues constitue la meilleure estimation. Cela devrait être pris en compte lors de l’intégration de l’information.</w:t>
      </w:r>
    </w:p>
    <w:p w14:paraId="04713772" w14:textId="77777777" w:rsidR="0084489F" w:rsidRDefault="00110FE6">
      <w:pPr>
        <w:pStyle w:val="BodyText"/>
      </w:pPr>
      <w:r>
        <w:rPr>
          <w:b/>
          <w:bCs/>
        </w:rPr>
        <w:t>Exemples</w:t>
      </w:r>
    </w:p>
    <w:p w14:paraId="0668C564" w14:textId="78F55DC1" w:rsidR="0084489F" w:rsidRDefault="00110FE6" w:rsidP="00806324">
      <w:pPr>
        <w:numPr>
          <w:ilvl w:val="0"/>
          <w:numId w:val="205"/>
        </w:numPr>
      </w:pPr>
      <w:r w:rsidRPr="1B9E7434">
        <w:rPr>
          <w:lang w:val="fr-FR"/>
        </w:rPr>
        <w:t>L’intervalle temporel du développement du CIDOC CRM (</w:t>
      </w:r>
      <w:r w:rsidRPr="1B9E7434">
        <w:rPr>
          <w:rStyle w:val="VerbatimChar"/>
          <w:lang w:val="fr-FR"/>
        </w:rPr>
        <w:t>E52_Intervalle_temporel</w:t>
      </w:r>
      <w:r w:rsidRPr="1B9E7434">
        <w:rPr>
          <w:lang w:val="fr-FR"/>
        </w:rPr>
        <w:t>) a couvert (</w:t>
      </w:r>
      <w:r w:rsidRPr="1B9E7434">
        <w:rPr>
          <w:rStyle w:val="VerbatimChar"/>
          <w:lang w:val="fr-FR"/>
        </w:rPr>
        <w:t>P81_a_couvert</w:t>
      </w:r>
      <w:r w:rsidRPr="1B9E7434">
        <w:rPr>
          <w:lang w:val="fr-FR"/>
        </w:rPr>
        <w:t>) les années 1996 à 2003 (</w:t>
      </w:r>
      <w:r w:rsidRPr="1B9E7434">
        <w:rPr>
          <w:rStyle w:val="VerbatimChar"/>
          <w:lang w:val="fr-FR"/>
        </w:rPr>
        <w:t>E61_Primitive_temporelle</w:t>
      </w:r>
      <w:r w:rsidRPr="1B9E7434">
        <w:rPr>
          <w:lang w:val="fr-FR"/>
        </w:rPr>
        <w:t>) (Dœrr, 2003)</w:t>
      </w:r>
    </w:p>
    <w:p w14:paraId="7C6950E9" w14:textId="2979A971" w:rsidR="0084489F" w:rsidRDefault="00110FE6" w:rsidP="00806324">
      <w:pPr>
        <w:numPr>
          <w:ilvl w:val="0"/>
          <w:numId w:val="205"/>
        </w:numPr>
      </w:pPr>
      <w:r w:rsidRPr="1B9E7434">
        <w:rPr>
          <w:lang w:val="fr-FR"/>
        </w:rPr>
        <w:t>L’intervalle temporel de la guerre de Trente Ans (</w:t>
      </w:r>
      <w:r w:rsidRPr="1B9E7434">
        <w:rPr>
          <w:rStyle w:val="VerbatimChar"/>
          <w:lang w:val="fr-FR"/>
        </w:rPr>
        <w:t>E52_Intervalle_temporel</w:t>
      </w:r>
      <w:r w:rsidRPr="1B9E7434">
        <w:rPr>
          <w:lang w:val="fr-FR"/>
        </w:rPr>
        <w:t>) a couvert (</w:t>
      </w:r>
      <w:r w:rsidRPr="1B9E7434">
        <w:rPr>
          <w:rStyle w:val="VerbatimChar"/>
          <w:lang w:val="fr-FR"/>
        </w:rPr>
        <w:t>P81_a_couvert</w:t>
      </w:r>
      <w:r w:rsidRPr="1B9E7434">
        <w:rPr>
          <w:lang w:val="fr-FR"/>
        </w:rPr>
        <w:t>) la période allant du 23 mai 1618 EC au 24 octobre 1648 EC (</w:t>
      </w:r>
      <w:r w:rsidRPr="1B9E7434">
        <w:rPr>
          <w:rStyle w:val="VerbatimChar"/>
          <w:lang w:val="fr-FR"/>
        </w:rPr>
        <w:t>E61_Primitive_temporelle</w:t>
      </w:r>
      <w:r w:rsidRPr="1B9E7434">
        <w:rPr>
          <w:lang w:val="fr-FR"/>
        </w:rPr>
        <w:t>) (Bonney, 2014)</w:t>
      </w:r>
    </w:p>
    <w:p w14:paraId="6F51F4B3" w14:textId="77777777" w:rsidR="0084489F" w:rsidRDefault="00110FE6" w:rsidP="00806324">
      <w:pPr>
        <w:numPr>
          <w:ilvl w:val="0"/>
          <w:numId w:val="205"/>
        </w:numPr>
      </w:pPr>
      <w:r>
        <w:t>L’intervalle temporel de la Première Période Intermédiaire de l’Égypte antique (de la VII</w:t>
      </w:r>
      <w:r>
        <w:rPr>
          <w:vertAlign w:val="superscript"/>
        </w:rPr>
        <w:t>e</w:t>
      </w:r>
      <w:r>
        <w:t xml:space="preserve"> à la X</w:t>
      </w:r>
      <w:r>
        <w:rPr>
          <w:vertAlign w:val="superscript"/>
        </w:rPr>
        <w:t>e</w:t>
      </w:r>
      <w:r>
        <w:t xml:space="preserve"> dynastie) (</w:t>
      </w:r>
      <w:r>
        <w:rPr>
          <w:rStyle w:val="VerbatimChar"/>
        </w:rPr>
        <w:t>E52_Intervalle_temporel</w:t>
      </w:r>
      <w:r>
        <w:t>) a couvert (</w:t>
      </w:r>
      <w:r>
        <w:rPr>
          <w:rStyle w:val="VerbatimChar"/>
        </w:rPr>
        <w:t>P81_a_couvert</w:t>
      </w:r>
      <w:r>
        <w:t>) les années 2181 AEC à 2160 AEC (</w:t>
      </w:r>
      <w:r>
        <w:rPr>
          <w:rStyle w:val="VerbatimChar"/>
        </w:rPr>
        <w:t>E61_Primitive_temporelle</w:t>
      </w:r>
      <w:r>
        <w:t>) (Reid, 1993)</w:t>
      </w:r>
    </w:p>
    <w:p w14:paraId="3625732F" w14:textId="77777777" w:rsidR="0084489F" w:rsidRDefault="00110FE6">
      <w:pPr>
        <w:pStyle w:val="FirstParagraph"/>
      </w:pPr>
      <w:r w:rsidRPr="1B9E7434">
        <w:rPr>
          <w:lang w:val="fr-FR"/>
        </w:rPr>
        <w:t>[Cela décrit le consensus minimal entre deux dates conflictuelles : James Henry Breasted situe la Première Période Intermédiaire de l’Égypte antique (de la VII</w:t>
      </w:r>
      <w:r w:rsidRPr="1B9E7434">
        <w:rPr>
          <w:vertAlign w:val="superscript"/>
          <w:lang w:val="fr-FR"/>
        </w:rPr>
        <w:t>e</w:t>
      </w:r>
      <w:r w:rsidRPr="1B9E7434">
        <w:rPr>
          <w:lang w:val="fr-FR"/>
        </w:rPr>
        <w:t xml:space="preserve"> à la X</w:t>
      </w:r>
      <w:r w:rsidRPr="1B9E7434">
        <w:rPr>
          <w:vertAlign w:val="superscript"/>
          <w:lang w:val="fr-FR"/>
        </w:rPr>
        <w:t>e</w:t>
      </w:r>
      <w:r w:rsidRPr="1B9E7434">
        <w:rPr>
          <w:lang w:val="fr-FR"/>
        </w:rPr>
        <w:t xml:space="preserve"> dynastie) de 2475 AEC à 2160 AEC dans son ouvrage </w:t>
      </w:r>
      <w:r w:rsidRPr="1B9E7434">
        <w:rPr>
          <w:i/>
          <w:iCs/>
          <w:lang w:val="fr-FR"/>
        </w:rPr>
        <w:t>Ancient Records</w:t>
      </w:r>
      <w:r w:rsidRPr="1B9E7434">
        <w:rPr>
          <w:lang w:val="fr-FR"/>
        </w:rPr>
        <w:t xml:space="preserve"> publié pour la première fois en 1906 (volume 1, sections 58-75) (Breasted, 1906). Ian Shaw, quant à lui, date cette même période de 2181 AEC à 2125 AEC dans son ouvrage </w:t>
      </w:r>
      <w:r w:rsidRPr="1B9E7434">
        <w:rPr>
          <w:i/>
          <w:iCs/>
          <w:lang w:val="fr-FR"/>
        </w:rPr>
        <w:t>Oxford History of Ancient Egypt</w:t>
      </w:r>
      <w:r w:rsidRPr="1B9E7434">
        <w:rPr>
          <w:lang w:val="fr-FR"/>
        </w:rPr>
        <w:t xml:space="preserve"> publié en 2000 (p. 479-483) (Shaw, 2000)].</w:t>
      </w:r>
    </w:p>
    <w:p w14:paraId="55C0AB2A" w14:textId="77777777" w:rsidR="0084489F" w:rsidRDefault="00110FE6">
      <w:pPr>
        <w:pStyle w:val="BodyText"/>
      </w:pPr>
      <w:r>
        <w:rPr>
          <w:b/>
          <w:bCs/>
        </w:rPr>
        <w:t>Logique</w:t>
      </w:r>
    </w:p>
    <w:p w14:paraId="5B7342F9" w14:textId="77777777" w:rsidR="0084489F" w:rsidRDefault="00110FE6">
      <w:pPr>
        <w:pStyle w:val="BodyText"/>
      </w:pPr>
      <w:r w:rsidRPr="1B9E7434">
        <w:rPr>
          <w:lang w:val="fr-FR"/>
        </w:rPr>
        <w:t>P81(x,y) ⇒ E52(x)</w:t>
      </w:r>
    </w:p>
    <w:p w14:paraId="6FDD26B1" w14:textId="77777777" w:rsidR="0084489F" w:rsidRDefault="00110FE6">
      <w:pPr>
        <w:pStyle w:val="BodyText"/>
      </w:pPr>
      <w:r w:rsidRPr="1B9E7434">
        <w:rPr>
          <w:lang w:val="fr-FR"/>
        </w:rPr>
        <w:t>P81(x,y) ⇒ E61(y)</w:t>
      </w:r>
    </w:p>
    <w:p w14:paraId="12224525" w14:textId="77777777" w:rsidR="0084489F" w:rsidRDefault="00110FE6">
      <w:pPr>
        <w:pStyle w:val="BodyText"/>
      </w:pPr>
      <w:r>
        <w:rPr>
          <w:b/>
          <w:bCs/>
        </w:rPr>
        <w:t>Propriétés</w:t>
      </w:r>
    </w:p>
    <w:p w14:paraId="47C36532" w14:textId="77777777" w:rsidR="0084489F" w:rsidRDefault="00110FE6">
      <w:pPr>
        <w:pStyle w:val="BlockText"/>
      </w:pPr>
      <w:r>
        <w:rPr>
          <w:b/>
          <w:bCs/>
          <w:i/>
          <w:iCs/>
        </w:rPr>
        <w:t>Note de traduction</w:t>
      </w:r>
    </w:p>
    <w:p w14:paraId="2E0E1751" w14:textId="77777777" w:rsidR="0084489F" w:rsidRDefault="00110FE6">
      <w:pPr>
        <w:pStyle w:val="BlockText"/>
      </w:pPr>
      <w:r w:rsidRPr="1B9E7434">
        <w:rPr>
          <w:lang w:val="fr-FR"/>
        </w:rPr>
        <w:t xml:space="preserve">La traduction de « First Intermediate Period of Ancient Egypt » (« Première Période Intermédiaire de l’Égypte antique ») est issue de l'ouvrage de Nicolas-Christophe Grimal </w:t>
      </w:r>
      <w:r w:rsidRPr="1B9E7434">
        <w:rPr>
          <w:i/>
          <w:iCs/>
          <w:lang w:val="fr-FR"/>
        </w:rPr>
        <w:t>Histoire de l’Égypte ancienne</w:t>
      </w:r>
      <w:r w:rsidRPr="1B9E7434">
        <w:rPr>
          <w:lang w:val="fr-FR"/>
        </w:rPr>
        <w:t>.</w:t>
      </w:r>
    </w:p>
    <w:p w14:paraId="6DA14455" w14:textId="77777777" w:rsidR="0084489F" w:rsidRDefault="00110FE6">
      <w:pPr>
        <w:pStyle w:val="BlockText"/>
      </w:pPr>
      <w:r>
        <w:rPr>
          <w:b/>
          <w:bCs/>
          <w:i/>
          <w:iCs/>
        </w:rPr>
        <w:t>Références</w:t>
      </w:r>
    </w:p>
    <w:p w14:paraId="5EC75CC6" w14:textId="77777777" w:rsidR="0084489F" w:rsidRDefault="00110FE6">
      <w:pPr>
        <w:pStyle w:val="BlockText"/>
      </w:pPr>
      <w:r w:rsidRPr="1B9E7434">
        <w:rPr>
          <w:lang w:val="fr-FR"/>
        </w:rPr>
        <w:t xml:space="preserve">Grimal, Nicolas-Christophe. </w:t>
      </w:r>
      <w:r w:rsidRPr="1B9E7434">
        <w:rPr>
          <w:i/>
          <w:iCs/>
          <w:lang w:val="fr-FR"/>
        </w:rPr>
        <w:t>Histoire de l’Égypte ancienne</w:t>
      </w:r>
      <w:r w:rsidRPr="1B9E7434">
        <w:rPr>
          <w:lang w:val="fr-FR"/>
        </w:rPr>
        <w:t>. Paris: Fayard, 1988.</w:t>
      </w:r>
    </w:p>
    <w:p w14:paraId="007C35FA" w14:textId="77777777" w:rsidR="00F361B3" w:rsidRPr="00F361B3" w:rsidRDefault="00F361B3" w:rsidP="00F361B3">
      <w:pPr>
        <w:pStyle w:val="BodyText"/>
      </w:pPr>
    </w:p>
    <w:p w14:paraId="213F075A" w14:textId="77777777" w:rsidR="0084489F" w:rsidRDefault="00110FE6">
      <w:pPr>
        <w:pStyle w:val="Heading2"/>
      </w:pPr>
      <w:bookmarkStart w:id="412" w:name="_Toc176864586"/>
      <w:bookmarkStart w:id="413" w:name="p82-a-eu-lieu-durant"/>
      <w:bookmarkEnd w:id="411"/>
      <w:r>
        <w:t>P82 a eu lieu durant</w:t>
      </w:r>
      <w:bookmarkEnd w:id="412"/>
    </w:p>
    <w:p w14:paraId="0A09BEFF" w14:textId="77777777" w:rsidR="0084489F" w:rsidRDefault="00110FE6">
      <w:pPr>
        <w:pStyle w:val="FirstParagraph"/>
      </w:pPr>
      <w:r>
        <w:rPr>
          <w:b/>
          <w:bCs/>
        </w:rPr>
        <w:t>Domaine</w:t>
      </w:r>
    </w:p>
    <w:p w14:paraId="32F0F210" w14:textId="77777777" w:rsidR="0084489F" w:rsidRDefault="00110FE6">
      <w:pPr>
        <w:pStyle w:val="BodyText"/>
      </w:pPr>
      <w:r>
        <w:rPr>
          <w:rStyle w:val="VerbatimChar"/>
        </w:rPr>
        <w:t>E52_Intervalle_temporel</w:t>
      </w:r>
    </w:p>
    <w:p w14:paraId="608316D8" w14:textId="77777777" w:rsidR="0084489F" w:rsidRDefault="00110FE6">
      <w:pPr>
        <w:pStyle w:val="BodyText"/>
      </w:pPr>
      <w:r>
        <w:rPr>
          <w:b/>
          <w:bCs/>
        </w:rPr>
        <w:lastRenderedPageBreak/>
        <w:t>Portée</w:t>
      </w:r>
    </w:p>
    <w:p w14:paraId="20103DCE" w14:textId="77777777" w:rsidR="0084489F" w:rsidRDefault="00110FE6">
      <w:pPr>
        <w:pStyle w:val="BodyText"/>
      </w:pPr>
      <w:r>
        <w:rPr>
          <w:rStyle w:val="VerbatimChar"/>
        </w:rPr>
        <w:t>E61_Primitive_temporelle</w:t>
      </w:r>
    </w:p>
    <w:p w14:paraId="2A1FB971" w14:textId="77777777" w:rsidR="0084489F" w:rsidRDefault="00110FE6">
      <w:pPr>
        <w:pStyle w:val="BodyText"/>
      </w:pPr>
      <w:r>
        <w:rPr>
          <w:b/>
          <w:bCs/>
        </w:rPr>
        <w:t>Sous-propriété de</w:t>
      </w:r>
    </w:p>
    <w:p w14:paraId="1E19E0F8" w14:textId="77777777" w:rsidR="0084489F" w:rsidRDefault="00110FE6">
      <w:pPr>
        <w:pStyle w:val="BodyText"/>
      </w:pPr>
      <w:r>
        <w:rPr>
          <w:b/>
          <w:bCs/>
        </w:rPr>
        <w:t>Super-propriété de</w:t>
      </w:r>
    </w:p>
    <w:p w14:paraId="61D8576B" w14:textId="77777777" w:rsidR="0084489F" w:rsidRDefault="00110FE6">
      <w:pPr>
        <w:pStyle w:val="BodyText"/>
      </w:pPr>
      <w:r>
        <w:rPr>
          <w:b/>
          <w:bCs/>
        </w:rPr>
        <w:t>Quantification</w:t>
      </w:r>
    </w:p>
    <w:p w14:paraId="439E8F18" w14:textId="77777777" w:rsidR="0084489F" w:rsidRDefault="00110FE6">
      <w:pPr>
        <w:pStyle w:val="BodyText"/>
      </w:pPr>
      <w:r w:rsidRPr="1B9E7434">
        <w:rPr>
          <w:lang w:val="fr-FR"/>
        </w:rPr>
        <w:t>plusieurs à plusieurs, nécessaire (1,1:0,n)</w:t>
      </w:r>
    </w:p>
    <w:p w14:paraId="34E462C9" w14:textId="77777777" w:rsidR="0084489F" w:rsidRDefault="00110FE6">
      <w:pPr>
        <w:pStyle w:val="BodyText"/>
      </w:pPr>
      <w:r>
        <w:rPr>
          <w:b/>
          <w:bCs/>
        </w:rPr>
        <w:t>Note d’application</w:t>
      </w:r>
    </w:p>
    <w:p w14:paraId="38AE9568" w14:textId="77777777" w:rsidR="0084489F" w:rsidRDefault="00110FE6">
      <w:pPr>
        <w:pStyle w:val="BodyText"/>
      </w:pPr>
      <w:r w:rsidRPr="1B9E7434">
        <w:rPr>
          <w:lang w:val="fr-FR"/>
        </w:rPr>
        <w:t xml:space="preserve">Cette propriété décrit la période de temps maximale contenant une instance de </w:t>
      </w:r>
      <w:r w:rsidRPr="1B9E7434">
        <w:rPr>
          <w:rStyle w:val="VerbatimChar"/>
          <w:lang w:val="fr-FR"/>
        </w:rPr>
        <w:t>E52_Intervalle_temporel</w:t>
      </w:r>
      <w:r w:rsidRPr="1B9E7434">
        <w:rPr>
          <w:lang w:val="fr-FR"/>
        </w:rPr>
        <w:t xml:space="preserve">. Puisque les intervalles temporels peuvent ne pas avoir d’étendue précisément connue, le CIDOC CRM permet les énoncés portant sur les étendues minimale et maximale d’un intervalle. Cette propriété permet donc l’assignation d’une valeur de </w:t>
      </w:r>
      <w:r w:rsidRPr="1B9E7434">
        <w:rPr>
          <w:rStyle w:val="VerbatimChar"/>
          <w:lang w:val="fr-FR"/>
        </w:rPr>
        <w:t>E61_Primitive_temporelle</w:t>
      </w:r>
      <w:r w:rsidRPr="1B9E7434">
        <w:rPr>
          <w:lang w:val="fr-FR"/>
        </w:rPr>
        <w:t xml:space="preserve"> comme étendue temporelle maximale (c.-à-d. comme limite temporelle externe).</w:t>
      </w:r>
    </w:p>
    <w:p w14:paraId="1CA68F33" w14:textId="77777777" w:rsidR="0084489F" w:rsidRDefault="00110FE6">
      <w:pPr>
        <w:pStyle w:val="BodyText"/>
      </w:pPr>
      <w:r w:rsidRPr="1B9E7434">
        <w:rPr>
          <w:lang w:val="fr-FR"/>
        </w:rPr>
        <w:t>Les primitives temporelles sont traitées par le CIDOC CRM comme des intervalles de temps spécifiques à des systèmes ou à des applications; elles ne font pas l’objet d’analyses supplémentaires.</w:t>
      </w:r>
    </w:p>
    <w:p w14:paraId="3CD057E4" w14:textId="77777777" w:rsidR="0084489F" w:rsidRDefault="00110FE6">
      <w:pPr>
        <w:pStyle w:val="BodyText"/>
      </w:pPr>
      <w:r>
        <w:t>Si différentes sources justifient des étendues maximales différentes sans pour autant se contredire, l’intersection de ces étendues constitue la meilleure estimation. Cela devrait être pris en compte lors de l’intégration de l’information.</w:t>
      </w:r>
    </w:p>
    <w:p w14:paraId="1FC8A0CB" w14:textId="77777777" w:rsidR="0084489F" w:rsidRDefault="00110FE6">
      <w:pPr>
        <w:pStyle w:val="BodyText"/>
      </w:pPr>
      <w:r>
        <w:rPr>
          <w:b/>
          <w:bCs/>
        </w:rPr>
        <w:t>Exemples</w:t>
      </w:r>
    </w:p>
    <w:p w14:paraId="6ECD52DA" w14:textId="662763C4" w:rsidR="0084489F" w:rsidRDefault="00110FE6" w:rsidP="00806324">
      <w:pPr>
        <w:numPr>
          <w:ilvl w:val="0"/>
          <w:numId w:val="206"/>
        </w:numPr>
      </w:pPr>
      <w:r w:rsidRPr="1B9E7434">
        <w:rPr>
          <w:lang w:val="fr-FR"/>
        </w:rPr>
        <w:t>L’intervalle temporel du développement du CIDOC CRM (</w:t>
      </w:r>
      <w:r w:rsidRPr="1B9E7434">
        <w:rPr>
          <w:rStyle w:val="VerbatimChar"/>
          <w:lang w:val="fr-FR"/>
        </w:rPr>
        <w:t>E52_Intervalle_temporel</w:t>
      </w:r>
      <w:r w:rsidRPr="1B9E7434">
        <w:rPr>
          <w:lang w:val="fr-FR"/>
        </w:rPr>
        <w:t>) a eu lieu à un moment entre (</w:t>
      </w:r>
      <w:r w:rsidRPr="1B9E7434">
        <w:rPr>
          <w:rStyle w:val="VerbatimChar"/>
          <w:lang w:val="fr-FR"/>
        </w:rPr>
        <w:t>P82_a_eu_lieu_durant</w:t>
      </w:r>
      <w:r w:rsidRPr="1B9E7434">
        <w:rPr>
          <w:lang w:val="fr-FR"/>
        </w:rPr>
        <w:t>) « 1992 et l’infini » (</w:t>
      </w:r>
      <w:r w:rsidRPr="1B9E7434">
        <w:rPr>
          <w:rStyle w:val="VerbatimChar"/>
          <w:lang w:val="fr-FR"/>
        </w:rPr>
        <w:t>E61_Primitive_temporelle</w:t>
      </w:r>
      <w:r w:rsidRPr="1B9E7434">
        <w:rPr>
          <w:lang w:val="fr-FR"/>
        </w:rPr>
        <w:t>) (Dœrr, 2003)</w:t>
      </w:r>
    </w:p>
    <w:p w14:paraId="55F05D7F" w14:textId="1059E5AF" w:rsidR="0084489F" w:rsidRDefault="00110FE6" w:rsidP="00806324">
      <w:pPr>
        <w:numPr>
          <w:ilvl w:val="0"/>
          <w:numId w:val="206"/>
        </w:numPr>
      </w:pPr>
      <w:r w:rsidRPr="1B9E7434">
        <w:rPr>
          <w:lang w:val="fr-FR"/>
        </w:rPr>
        <w:t>L’intervalle temporel de la Bataille de Teutobourg (</w:t>
      </w:r>
      <w:r w:rsidRPr="1B9E7434">
        <w:rPr>
          <w:rStyle w:val="VerbatimChar"/>
          <w:lang w:val="fr-FR"/>
        </w:rPr>
        <w:t>E52_Intervalle_temporel</w:t>
      </w:r>
      <w:r w:rsidRPr="1B9E7434">
        <w:rPr>
          <w:lang w:val="fr-FR"/>
        </w:rPr>
        <w:t>) a eu lieu à un moment durant (</w:t>
      </w:r>
      <w:r w:rsidRPr="1B9E7434">
        <w:rPr>
          <w:rStyle w:val="VerbatimChar"/>
          <w:lang w:val="fr-FR"/>
        </w:rPr>
        <w:t>P82_a_eu_lieu_durant</w:t>
      </w:r>
      <w:r w:rsidRPr="1B9E7434">
        <w:rPr>
          <w:lang w:val="fr-FR"/>
        </w:rPr>
        <w:t>) le mois de septembre de l’an 9 EC (</w:t>
      </w:r>
      <w:r w:rsidRPr="1B9E7434">
        <w:rPr>
          <w:rStyle w:val="VerbatimChar"/>
          <w:lang w:val="fr-FR"/>
        </w:rPr>
        <w:t>E61_Primitive_temporelle</w:t>
      </w:r>
      <w:r w:rsidRPr="1B9E7434">
        <w:rPr>
          <w:lang w:val="fr-FR"/>
        </w:rPr>
        <w:t>) (Andrews &amp; Kesteven, 1977)</w:t>
      </w:r>
    </w:p>
    <w:p w14:paraId="013FA4FC" w14:textId="522F638B" w:rsidR="0084489F" w:rsidRDefault="00110FE6" w:rsidP="00806324">
      <w:pPr>
        <w:numPr>
          <w:ilvl w:val="0"/>
          <w:numId w:val="206"/>
        </w:numPr>
      </w:pPr>
      <w:r w:rsidRPr="1B9E7434">
        <w:rPr>
          <w:lang w:val="fr-FR"/>
        </w:rPr>
        <w:t>L’intervalle temporel du décès de Toutânkhamon (</w:t>
      </w:r>
      <w:r w:rsidRPr="1B9E7434">
        <w:rPr>
          <w:rStyle w:val="VerbatimChar"/>
          <w:lang w:val="fr-FR"/>
        </w:rPr>
        <w:t>E52_Intervalle_temporel</w:t>
      </w:r>
      <w:r w:rsidRPr="1B9E7434">
        <w:rPr>
          <w:lang w:val="fr-FR"/>
        </w:rPr>
        <w:t>) a eu lieu à un moment entre (</w:t>
      </w:r>
      <w:r w:rsidRPr="1B9E7434">
        <w:rPr>
          <w:rStyle w:val="VerbatimChar"/>
          <w:lang w:val="fr-FR"/>
        </w:rPr>
        <w:t>P82_a_eu_lieu_durant</w:t>
      </w:r>
      <w:r w:rsidRPr="1B9E7434">
        <w:rPr>
          <w:lang w:val="fr-FR"/>
        </w:rPr>
        <w:t>) les mois de décembre 1324 AEC et février 1323 AEC (</w:t>
      </w:r>
      <w:r w:rsidRPr="1B9E7434">
        <w:rPr>
          <w:rStyle w:val="VerbatimChar"/>
          <w:lang w:val="fr-FR"/>
        </w:rPr>
        <w:t>E61_Primitive_temporelle</w:t>
      </w:r>
      <w:r w:rsidRPr="1B9E7434">
        <w:rPr>
          <w:lang w:val="fr-FR"/>
        </w:rPr>
        <w:t>) (Murdoch, 2003)</w:t>
      </w:r>
    </w:p>
    <w:p w14:paraId="01A914D8" w14:textId="77777777" w:rsidR="0084489F" w:rsidRDefault="00110FE6" w:rsidP="00806324">
      <w:pPr>
        <w:numPr>
          <w:ilvl w:val="0"/>
          <w:numId w:val="206"/>
        </w:numPr>
      </w:pPr>
      <w:r>
        <w:t>L’intervalle temporel de la première Période intermédiaire de l’Égypte antique (de la VII</w:t>
      </w:r>
      <w:r>
        <w:rPr>
          <w:vertAlign w:val="superscript"/>
        </w:rPr>
        <w:t>e</w:t>
      </w:r>
      <w:r>
        <w:t xml:space="preserve"> à la X</w:t>
      </w:r>
      <w:r>
        <w:rPr>
          <w:vertAlign w:val="superscript"/>
        </w:rPr>
        <w:t>e</w:t>
      </w:r>
      <w:r>
        <w:t xml:space="preserve"> dynastie) (</w:t>
      </w:r>
      <w:r>
        <w:rPr>
          <w:rStyle w:val="VerbatimChar"/>
        </w:rPr>
        <w:t>E52_Intervalle_temporel</w:t>
      </w:r>
      <w:r>
        <w:t>) a eu lieu à un moment durant (</w:t>
      </w:r>
      <w:r>
        <w:rPr>
          <w:rStyle w:val="VerbatimChar"/>
        </w:rPr>
        <w:t>P82_a_eu_lieu_durant</w:t>
      </w:r>
      <w:r>
        <w:t>) la période allant des années 2475 AEC à 2125 AEC (</w:t>
      </w:r>
      <w:r>
        <w:rPr>
          <w:rStyle w:val="VerbatimChar"/>
        </w:rPr>
        <w:t>E61_Primitive_temporelle</w:t>
      </w:r>
      <w:r>
        <w:t>) (Reid, 1993)</w:t>
      </w:r>
    </w:p>
    <w:p w14:paraId="4E9145E9" w14:textId="77777777" w:rsidR="0084489F" w:rsidRDefault="00110FE6">
      <w:pPr>
        <w:pStyle w:val="FirstParagraph"/>
      </w:pPr>
      <w:r>
        <w:rPr>
          <w:b/>
          <w:bCs/>
        </w:rPr>
        <w:t>Logique</w:t>
      </w:r>
    </w:p>
    <w:p w14:paraId="3633DDC3" w14:textId="77777777" w:rsidR="0084489F" w:rsidRDefault="00110FE6">
      <w:pPr>
        <w:pStyle w:val="BodyText"/>
      </w:pPr>
      <w:r w:rsidRPr="1B9E7434">
        <w:rPr>
          <w:lang w:val="fr-FR"/>
        </w:rPr>
        <w:t>P82(x,y) ⇒ E52(x)</w:t>
      </w:r>
    </w:p>
    <w:p w14:paraId="7ECF5276" w14:textId="77777777" w:rsidR="0084489F" w:rsidRDefault="00110FE6">
      <w:pPr>
        <w:pStyle w:val="BodyText"/>
      </w:pPr>
      <w:r w:rsidRPr="1B9E7434">
        <w:rPr>
          <w:lang w:val="fr-FR"/>
        </w:rPr>
        <w:t>P82(x,y) ⇒ E61(y)</w:t>
      </w:r>
    </w:p>
    <w:p w14:paraId="729B63C9" w14:textId="77777777" w:rsidR="0084489F" w:rsidRDefault="00110FE6">
      <w:pPr>
        <w:pStyle w:val="BodyText"/>
      </w:pPr>
      <w:r>
        <w:rPr>
          <w:b/>
          <w:bCs/>
        </w:rPr>
        <w:t>Propriétés</w:t>
      </w:r>
    </w:p>
    <w:p w14:paraId="4E501E04" w14:textId="77777777" w:rsidR="0084489F" w:rsidRDefault="00110FE6">
      <w:pPr>
        <w:pStyle w:val="BlockText"/>
      </w:pPr>
      <w:r>
        <w:rPr>
          <w:b/>
          <w:bCs/>
          <w:i/>
          <w:iCs/>
        </w:rPr>
        <w:t>Note de traduction</w:t>
      </w:r>
    </w:p>
    <w:p w14:paraId="729C4D00" w14:textId="77777777" w:rsidR="0084489F" w:rsidRDefault="00110FE6">
      <w:pPr>
        <w:pStyle w:val="BlockText"/>
      </w:pPr>
      <w:r w:rsidRPr="1B9E7434">
        <w:rPr>
          <w:lang w:val="fr-FR"/>
        </w:rPr>
        <w:t xml:space="preserve">La traduction de « First Intermediate Period of Ancient Egypt » (« Première Période Intermédiaire de l’Égypte antique »)est issue de l'ouvrage de Nicolas-Christophe Grimal </w:t>
      </w:r>
      <w:r w:rsidRPr="1B9E7434">
        <w:rPr>
          <w:i/>
          <w:iCs/>
          <w:lang w:val="fr-FR"/>
        </w:rPr>
        <w:t>Histoire de l’Égypte ancienne</w:t>
      </w:r>
      <w:r w:rsidRPr="1B9E7434">
        <w:rPr>
          <w:lang w:val="fr-FR"/>
        </w:rPr>
        <w:t>.</w:t>
      </w:r>
    </w:p>
    <w:p w14:paraId="7142F920" w14:textId="77777777" w:rsidR="0084489F" w:rsidRDefault="00110FE6" w:rsidP="00F361B3">
      <w:pPr>
        <w:pStyle w:val="BlockText"/>
        <w:keepNext/>
        <w:ind w:left="475" w:right="475"/>
      </w:pPr>
      <w:r>
        <w:rPr>
          <w:b/>
          <w:bCs/>
          <w:i/>
          <w:iCs/>
        </w:rPr>
        <w:lastRenderedPageBreak/>
        <w:t>Références</w:t>
      </w:r>
    </w:p>
    <w:p w14:paraId="315C31D8" w14:textId="77777777" w:rsidR="0084489F" w:rsidRDefault="00110FE6" w:rsidP="00F361B3">
      <w:pPr>
        <w:pStyle w:val="BlockText"/>
        <w:keepNext/>
        <w:ind w:left="475" w:right="475"/>
      </w:pPr>
      <w:r w:rsidRPr="1B9E7434">
        <w:rPr>
          <w:lang w:val="fr-FR"/>
        </w:rPr>
        <w:t xml:space="preserve">Grimal, Nicolas-Christophe. </w:t>
      </w:r>
      <w:r w:rsidRPr="1B9E7434">
        <w:rPr>
          <w:i/>
          <w:iCs/>
          <w:lang w:val="fr-FR"/>
        </w:rPr>
        <w:t>Histoire de l’Égypte ancienne</w:t>
      </w:r>
      <w:r w:rsidRPr="1B9E7434">
        <w:rPr>
          <w:lang w:val="fr-FR"/>
        </w:rPr>
        <w:t>. Paris: Fayard, 1988.</w:t>
      </w:r>
    </w:p>
    <w:p w14:paraId="38F0F0A1" w14:textId="77777777" w:rsidR="0084489F" w:rsidRDefault="00110FE6">
      <w:pPr>
        <w:pStyle w:val="Heading2"/>
      </w:pPr>
      <w:bookmarkStart w:id="414" w:name="_Toc176864587"/>
      <w:bookmarkStart w:id="415" w:name="p86-sinsere-dans-(contient)"/>
      <w:bookmarkEnd w:id="413"/>
      <w:r>
        <w:t>P86 s’insère dans (contient)</w:t>
      </w:r>
      <w:bookmarkEnd w:id="414"/>
    </w:p>
    <w:p w14:paraId="0E4C1D11" w14:textId="77777777" w:rsidR="0084489F" w:rsidRDefault="00110FE6">
      <w:pPr>
        <w:pStyle w:val="FirstParagraph"/>
      </w:pPr>
      <w:r>
        <w:rPr>
          <w:b/>
          <w:bCs/>
        </w:rPr>
        <w:t>Domaine</w:t>
      </w:r>
    </w:p>
    <w:p w14:paraId="1903E115" w14:textId="77777777" w:rsidR="0084489F" w:rsidRDefault="00110FE6">
      <w:pPr>
        <w:pStyle w:val="BodyText"/>
      </w:pPr>
      <w:r>
        <w:rPr>
          <w:rStyle w:val="VerbatimChar"/>
        </w:rPr>
        <w:t>E52_Intervalle_temporel</w:t>
      </w:r>
    </w:p>
    <w:p w14:paraId="44DE962E" w14:textId="77777777" w:rsidR="0084489F" w:rsidRDefault="00110FE6">
      <w:pPr>
        <w:pStyle w:val="BodyText"/>
      </w:pPr>
      <w:r>
        <w:rPr>
          <w:b/>
          <w:bCs/>
        </w:rPr>
        <w:t>Portée</w:t>
      </w:r>
    </w:p>
    <w:p w14:paraId="2A343B5A" w14:textId="77777777" w:rsidR="0084489F" w:rsidRDefault="00110FE6">
      <w:pPr>
        <w:pStyle w:val="BodyText"/>
      </w:pPr>
      <w:r>
        <w:rPr>
          <w:rStyle w:val="VerbatimChar"/>
        </w:rPr>
        <w:t>E52_Intervalle_temporel</w:t>
      </w:r>
    </w:p>
    <w:p w14:paraId="30D5C0F7" w14:textId="77777777" w:rsidR="0084489F" w:rsidRDefault="00110FE6">
      <w:pPr>
        <w:pStyle w:val="BodyText"/>
      </w:pPr>
      <w:r>
        <w:rPr>
          <w:b/>
          <w:bCs/>
        </w:rPr>
        <w:t>Sous-propriété de</w:t>
      </w:r>
    </w:p>
    <w:p w14:paraId="13589255" w14:textId="77777777" w:rsidR="0084489F" w:rsidRDefault="00110FE6">
      <w:pPr>
        <w:pStyle w:val="BodyText"/>
      </w:pPr>
      <w:r>
        <w:rPr>
          <w:b/>
          <w:bCs/>
        </w:rPr>
        <w:t>Super-propriété de</w:t>
      </w:r>
    </w:p>
    <w:p w14:paraId="47F28F1C" w14:textId="77777777" w:rsidR="0084489F" w:rsidRDefault="00110FE6">
      <w:pPr>
        <w:pStyle w:val="BodyText"/>
      </w:pPr>
      <w:r>
        <w:rPr>
          <w:b/>
          <w:bCs/>
        </w:rPr>
        <w:t>Quantification</w:t>
      </w:r>
    </w:p>
    <w:p w14:paraId="3F6902E8" w14:textId="77777777" w:rsidR="0084489F" w:rsidRDefault="00110FE6">
      <w:pPr>
        <w:pStyle w:val="BodyText"/>
      </w:pPr>
      <w:r w:rsidRPr="1B9E7434">
        <w:rPr>
          <w:lang w:val="fr-FR"/>
        </w:rPr>
        <w:t>plusieurs à plusieurs (0,n:0,n)</w:t>
      </w:r>
    </w:p>
    <w:p w14:paraId="3AA1610A" w14:textId="77777777" w:rsidR="0084489F" w:rsidRDefault="00110FE6">
      <w:pPr>
        <w:pStyle w:val="BodyText"/>
      </w:pPr>
      <w:r>
        <w:rPr>
          <w:b/>
          <w:bCs/>
        </w:rPr>
        <w:t>Note d’application</w:t>
      </w:r>
    </w:p>
    <w:p w14:paraId="5C147F8B" w14:textId="77777777" w:rsidR="0084489F" w:rsidRDefault="00110FE6">
      <w:pPr>
        <w:pStyle w:val="BodyText"/>
      </w:pPr>
      <w:r>
        <w:t xml:space="preserve">Cette propriété décrit la relation d’inclusion entre deux instances de </w:t>
      </w:r>
      <w:r>
        <w:rPr>
          <w:rStyle w:val="VerbatimChar"/>
        </w:rPr>
        <w:t>E52_Intervalle_temporel</w:t>
      </w:r>
      <w:r>
        <w:t>.</w:t>
      </w:r>
    </w:p>
    <w:p w14:paraId="196DD935" w14:textId="77777777" w:rsidR="0084489F" w:rsidRDefault="00110FE6">
      <w:pPr>
        <w:pStyle w:val="BodyText"/>
      </w:pPr>
      <w:r>
        <w:t xml:space="preserve">Cette propriété soutient l’idée que l’étendue temporelle d’une instance de </w:t>
      </w:r>
      <w:r>
        <w:rPr>
          <w:rStyle w:val="VerbatimChar"/>
        </w:rPr>
        <w:t>E52_Intervalle_temporel</w:t>
      </w:r>
      <w:r>
        <w:t xml:space="preserve"> s’insère dans l’étendue temporelle d’une autre instance de </w:t>
      </w:r>
      <w:r>
        <w:rPr>
          <w:rStyle w:val="VerbatimChar"/>
        </w:rPr>
        <w:t>E52_Intervalle_temporel</w:t>
      </w:r>
      <w:r>
        <w:t xml:space="preserve">. La propriété </w:t>
      </w:r>
      <w:r>
        <w:rPr>
          <w:rStyle w:val="VerbatimChar"/>
        </w:rPr>
        <w:t>P86_s’insère_dans (contient)</w:t>
      </w:r>
      <w:r>
        <w:t xml:space="preserve"> ne traite que de l’inclusion temporelle, et n’implique aucun lien contextuel entre les deux instances de </w:t>
      </w:r>
      <w:r>
        <w:rPr>
          <w:rStyle w:val="VerbatimChar"/>
        </w:rPr>
        <w:t>E52_Intervalle_temporel</w:t>
      </w:r>
      <w:r>
        <w:t>.</w:t>
      </w:r>
    </w:p>
    <w:p w14:paraId="26327456" w14:textId="77777777" w:rsidR="0084489F" w:rsidRDefault="00110FE6">
      <w:pPr>
        <w:pStyle w:val="BodyText"/>
      </w:pPr>
      <w:r>
        <w:t>Cette propriété est transitive et réflexive.</w:t>
      </w:r>
    </w:p>
    <w:p w14:paraId="78A5D5EA" w14:textId="77777777" w:rsidR="0084489F" w:rsidRDefault="00110FE6">
      <w:pPr>
        <w:pStyle w:val="BodyText"/>
      </w:pPr>
      <w:r>
        <w:rPr>
          <w:b/>
          <w:bCs/>
        </w:rPr>
        <w:t>Exemples</w:t>
      </w:r>
    </w:p>
    <w:p w14:paraId="0D0C6793" w14:textId="61D13FD5" w:rsidR="0084489F" w:rsidRDefault="00110FE6" w:rsidP="00806324">
      <w:pPr>
        <w:numPr>
          <w:ilvl w:val="0"/>
          <w:numId w:val="207"/>
        </w:numPr>
      </w:pPr>
      <w:r w:rsidRPr="1B9E7434">
        <w:rPr>
          <w:lang w:val="fr-FR"/>
        </w:rPr>
        <w:t>L’intervalle temporel de la mission lunaire Apollo 11 (</w:t>
      </w:r>
      <w:r w:rsidRPr="1B9E7434">
        <w:rPr>
          <w:rStyle w:val="VerbatimChar"/>
          <w:lang w:val="fr-FR"/>
        </w:rPr>
        <w:t>E52_Intervalle_temporel</w:t>
      </w:r>
      <w:r w:rsidRPr="1B9E7434">
        <w:rPr>
          <w:lang w:val="fr-FR"/>
        </w:rPr>
        <w:t>) s’insère dans (</w:t>
      </w:r>
      <w:r w:rsidRPr="1B9E7434">
        <w:rPr>
          <w:rStyle w:val="VerbatimChar"/>
          <w:lang w:val="fr-FR"/>
        </w:rPr>
        <w:t>P86_s’insère_dans</w:t>
      </w:r>
      <w:r w:rsidRPr="1B9E7434">
        <w:rPr>
          <w:lang w:val="fr-FR"/>
        </w:rPr>
        <w:t>) le règne de la reine Elizabeth II (</w:t>
      </w:r>
      <w:r w:rsidRPr="1B9E7434">
        <w:rPr>
          <w:rStyle w:val="VerbatimChar"/>
          <w:lang w:val="fr-FR"/>
        </w:rPr>
        <w:t>E52_Intervalle_temporel</w:t>
      </w:r>
      <w:r w:rsidRPr="1B9E7434">
        <w:rPr>
          <w:lang w:val="fr-FR"/>
        </w:rPr>
        <w:t>) (Riley, 2009; Robinson, 2000)</w:t>
      </w:r>
    </w:p>
    <w:p w14:paraId="2FEE25BB" w14:textId="77777777" w:rsidR="0084489F" w:rsidRDefault="00110FE6">
      <w:pPr>
        <w:pStyle w:val="FirstParagraph"/>
      </w:pPr>
      <w:r>
        <w:rPr>
          <w:b/>
          <w:bCs/>
        </w:rPr>
        <w:t>Logique</w:t>
      </w:r>
    </w:p>
    <w:p w14:paraId="5E2A3AAB" w14:textId="77777777" w:rsidR="0084489F" w:rsidRDefault="00110FE6">
      <w:pPr>
        <w:pStyle w:val="BodyText"/>
      </w:pPr>
      <w:r w:rsidRPr="1B9E7434">
        <w:rPr>
          <w:lang w:val="fr-FR"/>
        </w:rPr>
        <w:t>P86(x,y) ⇒ E52(x)</w:t>
      </w:r>
    </w:p>
    <w:p w14:paraId="151993C1" w14:textId="77777777" w:rsidR="0084489F" w:rsidRDefault="00110FE6">
      <w:pPr>
        <w:pStyle w:val="BodyText"/>
      </w:pPr>
      <w:r w:rsidRPr="1B9E7434">
        <w:rPr>
          <w:lang w:val="fr-FR"/>
        </w:rPr>
        <w:t>P86(x,y) ⇒ E52(y)</w:t>
      </w:r>
    </w:p>
    <w:p w14:paraId="11462098" w14:textId="77777777" w:rsidR="0084489F" w:rsidRDefault="00110FE6">
      <w:pPr>
        <w:pStyle w:val="BodyText"/>
      </w:pPr>
      <w:r w:rsidRPr="1B9E7434">
        <w:rPr>
          <w:lang w:val="fr-FR"/>
        </w:rPr>
        <w:t>[P86(x,y) ∧ P86(y,z)] ⇒ P86(x,z)</w:t>
      </w:r>
    </w:p>
    <w:p w14:paraId="4A5D13A7" w14:textId="77777777" w:rsidR="0084489F" w:rsidRDefault="00110FE6">
      <w:pPr>
        <w:pStyle w:val="BodyText"/>
      </w:pPr>
      <w:r w:rsidRPr="1B9E7434">
        <w:rPr>
          <w:lang w:val="fr-FR"/>
        </w:rPr>
        <w:t>P86(x,x)</w:t>
      </w:r>
    </w:p>
    <w:p w14:paraId="6FC7BC7D" w14:textId="77777777" w:rsidR="0084489F" w:rsidRDefault="00110FE6">
      <w:pPr>
        <w:pStyle w:val="BodyText"/>
      </w:pPr>
      <w:r>
        <w:rPr>
          <w:b/>
          <w:bCs/>
        </w:rPr>
        <w:t>Propriétés</w:t>
      </w:r>
    </w:p>
    <w:p w14:paraId="5C970AE8" w14:textId="77777777" w:rsidR="0084489F" w:rsidRDefault="00110FE6">
      <w:pPr>
        <w:pStyle w:val="BlockText"/>
      </w:pPr>
      <w:r>
        <w:rPr>
          <w:b/>
          <w:bCs/>
          <w:i/>
          <w:iCs/>
        </w:rPr>
        <w:t>Note de traduction</w:t>
      </w:r>
    </w:p>
    <w:p w14:paraId="298A5E18" w14:textId="77777777" w:rsidR="0084489F" w:rsidRDefault="00110FE6">
      <w:pPr>
        <w:pStyle w:val="BlockText"/>
      </w:pPr>
      <w:r>
        <w:rPr>
          <w:b/>
          <w:bCs/>
          <w:i/>
          <w:iCs/>
        </w:rPr>
        <w:t>Références</w:t>
      </w:r>
    </w:p>
    <w:p w14:paraId="3C488334" w14:textId="77777777" w:rsidR="0084489F" w:rsidRDefault="0084489F">
      <w:pPr>
        <w:pStyle w:val="BlockText"/>
      </w:pPr>
    </w:p>
    <w:p w14:paraId="44DE3C7B" w14:textId="77777777" w:rsidR="0084489F" w:rsidRDefault="00110FE6" w:rsidP="00FA3C06">
      <w:pPr>
        <w:pStyle w:val="Heading2"/>
      </w:pPr>
      <w:bookmarkStart w:id="416" w:name="_Toc176864588"/>
      <w:bookmarkStart w:id="417" w:name="p89-s'insere-dans-(contient)"/>
      <w:bookmarkEnd w:id="415"/>
      <w:r>
        <w:lastRenderedPageBreak/>
        <w:t>P89 s'insère dans (contient)</w:t>
      </w:r>
      <w:bookmarkEnd w:id="416"/>
    </w:p>
    <w:p w14:paraId="1CC30551" w14:textId="77777777" w:rsidR="0084489F" w:rsidRDefault="00110FE6" w:rsidP="00FA3C06">
      <w:pPr>
        <w:pStyle w:val="FirstParagraph"/>
        <w:keepNext/>
        <w:keepLines/>
      </w:pPr>
      <w:r>
        <w:rPr>
          <w:b/>
          <w:bCs/>
        </w:rPr>
        <w:t>Domaine</w:t>
      </w:r>
    </w:p>
    <w:p w14:paraId="00AFA49C" w14:textId="77777777" w:rsidR="0084489F" w:rsidRDefault="00110FE6" w:rsidP="00FA3C06">
      <w:pPr>
        <w:pStyle w:val="BodyText"/>
        <w:keepNext/>
        <w:keepLines/>
      </w:pPr>
      <w:r>
        <w:rPr>
          <w:rStyle w:val="VerbatimChar"/>
        </w:rPr>
        <w:t>E53_Lieu</w:t>
      </w:r>
    </w:p>
    <w:p w14:paraId="6D4AA047" w14:textId="77777777" w:rsidR="0084489F" w:rsidRDefault="00110FE6">
      <w:pPr>
        <w:pStyle w:val="BodyText"/>
      </w:pPr>
      <w:r>
        <w:rPr>
          <w:b/>
          <w:bCs/>
        </w:rPr>
        <w:t>Portée</w:t>
      </w:r>
    </w:p>
    <w:p w14:paraId="62F3B90E" w14:textId="77777777" w:rsidR="0084489F" w:rsidRDefault="00110FE6">
      <w:pPr>
        <w:pStyle w:val="BodyText"/>
      </w:pPr>
      <w:r>
        <w:rPr>
          <w:rStyle w:val="VerbatimChar"/>
        </w:rPr>
        <w:t>E53_Lieu</w:t>
      </w:r>
    </w:p>
    <w:p w14:paraId="3B0F3DCE" w14:textId="77777777" w:rsidR="0084489F" w:rsidRDefault="00110FE6">
      <w:pPr>
        <w:pStyle w:val="BodyText"/>
      </w:pPr>
      <w:r>
        <w:rPr>
          <w:b/>
          <w:bCs/>
        </w:rPr>
        <w:t>Sous-propriété de</w:t>
      </w:r>
    </w:p>
    <w:p w14:paraId="52C2DB01" w14:textId="77777777" w:rsidR="0084489F" w:rsidRDefault="00110FE6">
      <w:pPr>
        <w:pStyle w:val="BodyText"/>
      </w:pPr>
      <w:r>
        <w:rPr>
          <w:b/>
          <w:bCs/>
        </w:rPr>
        <w:t>Super-propriété de</w:t>
      </w:r>
    </w:p>
    <w:p w14:paraId="1858A708" w14:textId="77777777" w:rsidR="0084489F" w:rsidRDefault="00110FE6">
      <w:pPr>
        <w:pStyle w:val="BodyText"/>
      </w:pPr>
      <w:r>
        <w:rPr>
          <w:b/>
          <w:bCs/>
        </w:rPr>
        <w:t>Quantification</w:t>
      </w:r>
    </w:p>
    <w:p w14:paraId="1C0CA670" w14:textId="77777777" w:rsidR="0084489F" w:rsidRDefault="00110FE6">
      <w:pPr>
        <w:pStyle w:val="BodyText"/>
      </w:pPr>
      <w:r w:rsidRPr="1B9E7434">
        <w:rPr>
          <w:lang w:val="fr-FR"/>
        </w:rPr>
        <w:t>plusieurs à plusieurs, nécessaire, dépendant (1,n:1,n)</w:t>
      </w:r>
    </w:p>
    <w:p w14:paraId="2C59E9EF" w14:textId="77777777" w:rsidR="0084489F" w:rsidRDefault="00110FE6">
      <w:pPr>
        <w:pStyle w:val="BodyText"/>
      </w:pPr>
      <w:r>
        <w:rPr>
          <w:b/>
          <w:bCs/>
        </w:rPr>
        <w:t>Note d’application</w:t>
      </w:r>
    </w:p>
    <w:p w14:paraId="10704819" w14:textId="77777777" w:rsidR="0084489F" w:rsidRDefault="00110FE6">
      <w:pPr>
        <w:pStyle w:val="BodyText"/>
      </w:pPr>
      <w:r>
        <w:t xml:space="preserve">Cette propriété identifie une instance de </w:t>
      </w:r>
      <w:r>
        <w:rPr>
          <w:rStyle w:val="VerbatimChar"/>
        </w:rPr>
        <w:t>E53_Lieu</w:t>
      </w:r>
      <w:r>
        <w:t xml:space="preserve"> qui s’insère complètement dans l’étendue d’une autre instance de </w:t>
      </w:r>
      <w:r>
        <w:rPr>
          <w:rStyle w:val="VerbatimChar"/>
        </w:rPr>
        <w:t>E53_Lieu</w:t>
      </w:r>
      <w:r>
        <w:t>.</w:t>
      </w:r>
    </w:p>
    <w:p w14:paraId="3E8AAB7E" w14:textId="77777777" w:rsidR="0084489F" w:rsidRDefault="00110FE6">
      <w:pPr>
        <w:pStyle w:val="BodyText"/>
      </w:pPr>
      <w:r>
        <w:t>Cette propriété ne concerne que le confinement d’un lieu dans un autre, et n’implique aucune relation entre les choses présentes dans ces lieux ou les phénomènes s’y produisant.</w:t>
      </w:r>
    </w:p>
    <w:p w14:paraId="68E1D464" w14:textId="77777777" w:rsidR="0084489F" w:rsidRDefault="00110FE6">
      <w:pPr>
        <w:pStyle w:val="BodyText"/>
      </w:pPr>
      <w:r>
        <w:t>Cette propriété est transitive et réflexive.</w:t>
      </w:r>
    </w:p>
    <w:p w14:paraId="3A9DF571" w14:textId="77777777" w:rsidR="0084489F" w:rsidRDefault="00110FE6">
      <w:pPr>
        <w:pStyle w:val="BodyText"/>
      </w:pPr>
      <w:r>
        <w:rPr>
          <w:b/>
          <w:bCs/>
        </w:rPr>
        <w:t>Exemples</w:t>
      </w:r>
    </w:p>
    <w:p w14:paraId="58DDC638" w14:textId="192E83E1" w:rsidR="0084489F" w:rsidRDefault="00110FE6" w:rsidP="00806324">
      <w:pPr>
        <w:numPr>
          <w:ilvl w:val="0"/>
          <w:numId w:val="208"/>
        </w:numPr>
      </w:pPr>
      <w:r w:rsidRPr="1B9E7434">
        <w:rPr>
          <w:lang w:val="fr-FR"/>
        </w:rPr>
        <w:t>Le lieu couvert par le site du patrimoine mondial Stonehenge (</w:t>
      </w:r>
      <w:r w:rsidRPr="1B9E7434">
        <w:rPr>
          <w:rStyle w:val="VerbatimChar"/>
          <w:lang w:val="fr-FR"/>
        </w:rPr>
        <w:t>E53_Lieu</w:t>
      </w:r>
      <w:r w:rsidRPr="1B9E7434">
        <w:rPr>
          <w:lang w:val="fr-FR"/>
        </w:rPr>
        <w:t>) s’insère dans (</w:t>
      </w:r>
      <w:r w:rsidRPr="1B9E7434">
        <w:rPr>
          <w:rStyle w:val="VerbatimChar"/>
          <w:lang w:val="fr-FR"/>
        </w:rPr>
        <w:t>P89_s’insère_dans</w:t>
      </w:r>
      <w:r w:rsidRPr="1B9E7434">
        <w:rPr>
          <w:lang w:val="fr-FR"/>
        </w:rPr>
        <w:t>) l’espace de Salisbury Plain (</w:t>
      </w:r>
      <w:r w:rsidRPr="1B9E7434">
        <w:rPr>
          <w:rStyle w:val="VerbatimChar"/>
          <w:lang w:val="fr-FR"/>
        </w:rPr>
        <w:t>E53_Lieu</w:t>
      </w:r>
      <w:r w:rsidRPr="1B9E7434">
        <w:rPr>
          <w:lang w:val="fr-FR"/>
        </w:rPr>
        <w:t>) (Pryor, 2016)</w:t>
      </w:r>
    </w:p>
    <w:p w14:paraId="4F0A27D6" w14:textId="77777777" w:rsidR="0084489F" w:rsidRDefault="00110FE6">
      <w:pPr>
        <w:pStyle w:val="FirstParagraph"/>
      </w:pPr>
      <w:r>
        <w:rPr>
          <w:b/>
          <w:bCs/>
        </w:rPr>
        <w:t>Logique</w:t>
      </w:r>
    </w:p>
    <w:p w14:paraId="53A7203F" w14:textId="77777777" w:rsidR="0084489F" w:rsidRDefault="00110FE6">
      <w:pPr>
        <w:pStyle w:val="BodyText"/>
      </w:pPr>
      <w:r w:rsidRPr="1B9E7434">
        <w:rPr>
          <w:lang w:val="fr-FR"/>
        </w:rPr>
        <w:t>P89(x,y) ⇒ E53(x)</w:t>
      </w:r>
    </w:p>
    <w:p w14:paraId="4D8CF31E" w14:textId="77777777" w:rsidR="0084489F" w:rsidRDefault="00110FE6">
      <w:pPr>
        <w:pStyle w:val="BodyText"/>
      </w:pPr>
      <w:r w:rsidRPr="1B9E7434">
        <w:rPr>
          <w:lang w:val="fr-FR"/>
        </w:rPr>
        <w:t>P89(x,y) ⇒ E53(y)</w:t>
      </w:r>
    </w:p>
    <w:p w14:paraId="3357A4C2" w14:textId="77777777" w:rsidR="0084489F" w:rsidRDefault="00110FE6">
      <w:pPr>
        <w:pStyle w:val="BodyText"/>
      </w:pPr>
      <w:r w:rsidRPr="1B9E7434">
        <w:rPr>
          <w:lang w:val="fr-FR"/>
        </w:rPr>
        <w:t>[P89(x,y) ∧ P89(y,z)] ⇒ P89(x,z)</w:t>
      </w:r>
    </w:p>
    <w:p w14:paraId="44587EAB" w14:textId="77777777" w:rsidR="0084489F" w:rsidRDefault="00110FE6">
      <w:pPr>
        <w:pStyle w:val="BodyText"/>
      </w:pPr>
      <w:r w:rsidRPr="1B9E7434">
        <w:rPr>
          <w:lang w:val="fr-FR"/>
        </w:rPr>
        <w:t>P89(x,x)</w:t>
      </w:r>
    </w:p>
    <w:p w14:paraId="120037F2" w14:textId="77777777" w:rsidR="0084489F" w:rsidRDefault="00110FE6">
      <w:pPr>
        <w:pStyle w:val="BodyText"/>
      </w:pPr>
      <w:r>
        <w:rPr>
          <w:b/>
          <w:bCs/>
        </w:rPr>
        <w:t>Propriétés</w:t>
      </w:r>
    </w:p>
    <w:p w14:paraId="2D6EFFE1" w14:textId="77777777" w:rsidR="0084489F" w:rsidRDefault="00110FE6">
      <w:pPr>
        <w:pStyle w:val="BlockText"/>
      </w:pPr>
      <w:r>
        <w:rPr>
          <w:b/>
          <w:bCs/>
          <w:i/>
          <w:iCs/>
        </w:rPr>
        <w:t>Note de traduction</w:t>
      </w:r>
    </w:p>
    <w:p w14:paraId="165B20B9" w14:textId="77777777" w:rsidR="0084489F" w:rsidRDefault="00110FE6">
      <w:pPr>
        <w:pStyle w:val="BlockText"/>
      </w:pPr>
      <w:r>
        <w:rPr>
          <w:b/>
          <w:bCs/>
          <w:i/>
          <w:iCs/>
        </w:rPr>
        <w:t>Références</w:t>
      </w:r>
    </w:p>
    <w:p w14:paraId="410325B6" w14:textId="77777777" w:rsidR="0084489F" w:rsidRDefault="0084489F">
      <w:pPr>
        <w:pStyle w:val="BlockText"/>
      </w:pPr>
    </w:p>
    <w:p w14:paraId="30CA7C0D" w14:textId="77777777" w:rsidR="0084489F" w:rsidRDefault="00110FE6">
      <w:pPr>
        <w:pStyle w:val="Heading2"/>
      </w:pPr>
      <w:bookmarkStart w:id="418" w:name="_Toc176864589"/>
      <w:bookmarkStart w:id="419" w:name="p90-a-pour-valeur"/>
      <w:bookmarkEnd w:id="417"/>
      <w:r>
        <w:t>P90 a pour valeur</w:t>
      </w:r>
      <w:bookmarkEnd w:id="418"/>
    </w:p>
    <w:p w14:paraId="6305DCC1" w14:textId="77777777" w:rsidR="0084489F" w:rsidRDefault="00110FE6">
      <w:pPr>
        <w:pStyle w:val="FirstParagraph"/>
      </w:pPr>
      <w:r>
        <w:rPr>
          <w:b/>
          <w:bCs/>
        </w:rPr>
        <w:t>Domaine</w:t>
      </w:r>
    </w:p>
    <w:p w14:paraId="72F2D6BD" w14:textId="77777777" w:rsidR="0084489F" w:rsidRDefault="00110FE6">
      <w:pPr>
        <w:pStyle w:val="BodyText"/>
      </w:pPr>
      <w:r>
        <w:rPr>
          <w:rStyle w:val="VerbatimChar"/>
        </w:rPr>
        <w:t>E54_Dimension</w:t>
      </w:r>
    </w:p>
    <w:p w14:paraId="69250FD0" w14:textId="77777777" w:rsidR="0084489F" w:rsidRDefault="00110FE6">
      <w:pPr>
        <w:pStyle w:val="BodyText"/>
      </w:pPr>
      <w:r>
        <w:rPr>
          <w:b/>
          <w:bCs/>
        </w:rPr>
        <w:t>Portée</w:t>
      </w:r>
    </w:p>
    <w:p w14:paraId="4DDC81D8" w14:textId="77777777" w:rsidR="0084489F" w:rsidRDefault="00110FE6">
      <w:pPr>
        <w:pStyle w:val="BodyText"/>
      </w:pPr>
      <w:r>
        <w:rPr>
          <w:rStyle w:val="VerbatimChar"/>
        </w:rPr>
        <w:t>E60_Nombre</w:t>
      </w:r>
    </w:p>
    <w:p w14:paraId="1F6E08CC" w14:textId="77777777" w:rsidR="0084489F" w:rsidRDefault="00110FE6">
      <w:pPr>
        <w:pStyle w:val="BodyText"/>
      </w:pPr>
      <w:r>
        <w:rPr>
          <w:b/>
          <w:bCs/>
        </w:rPr>
        <w:lastRenderedPageBreak/>
        <w:t>Sous-propriété de</w:t>
      </w:r>
    </w:p>
    <w:p w14:paraId="5B543EF8" w14:textId="77777777" w:rsidR="0084489F" w:rsidRDefault="00110FE6">
      <w:pPr>
        <w:pStyle w:val="BodyText"/>
      </w:pPr>
      <w:r>
        <w:rPr>
          <w:b/>
          <w:bCs/>
        </w:rPr>
        <w:t>Super-propriété de</w:t>
      </w:r>
    </w:p>
    <w:p w14:paraId="4A008729" w14:textId="77777777" w:rsidR="0084489F" w:rsidRDefault="00110FE6">
      <w:pPr>
        <w:pStyle w:val="BodyText"/>
      </w:pPr>
      <w:r>
        <w:rPr>
          <w:b/>
          <w:bCs/>
        </w:rPr>
        <w:t>Quantification</w:t>
      </w:r>
    </w:p>
    <w:p w14:paraId="114E0C49" w14:textId="77777777" w:rsidR="0084489F" w:rsidRDefault="00110FE6">
      <w:pPr>
        <w:pStyle w:val="BodyText"/>
      </w:pPr>
      <w:r w:rsidRPr="1B9E7434">
        <w:rPr>
          <w:lang w:val="fr-FR"/>
        </w:rPr>
        <w:t>plusieurs à un, nécessaire (1,1:0,n)</w:t>
      </w:r>
    </w:p>
    <w:p w14:paraId="7A39FE92" w14:textId="77777777" w:rsidR="0084489F" w:rsidRDefault="00110FE6">
      <w:pPr>
        <w:pStyle w:val="BodyText"/>
      </w:pPr>
      <w:r>
        <w:rPr>
          <w:b/>
          <w:bCs/>
        </w:rPr>
        <w:t>Note d’application</w:t>
      </w:r>
    </w:p>
    <w:p w14:paraId="1DE80DC5" w14:textId="77777777" w:rsidR="0084489F" w:rsidRDefault="00110FE6">
      <w:pPr>
        <w:pStyle w:val="BodyText"/>
      </w:pPr>
      <w:r>
        <w:t xml:space="preserve">Cette propriété permet à une instance de </w:t>
      </w:r>
      <w:r>
        <w:rPr>
          <w:rStyle w:val="VerbatimChar"/>
        </w:rPr>
        <w:t>E54_Dimension</w:t>
      </w:r>
      <w:r>
        <w:t xml:space="preserve"> d’être approximée par une instance de </w:t>
      </w:r>
      <w:r>
        <w:rPr>
          <w:rStyle w:val="VerbatimChar"/>
        </w:rPr>
        <w:t>E60_Nombre</w:t>
      </w:r>
      <w:r>
        <w:t>.</w:t>
      </w:r>
    </w:p>
    <w:p w14:paraId="6A64F33D" w14:textId="77777777" w:rsidR="0084489F" w:rsidRDefault="00110FE6">
      <w:pPr>
        <w:pStyle w:val="BodyText"/>
      </w:pPr>
      <w:r>
        <w:rPr>
          <w:b/>
          <w:bCs/>
        </w:rPr>
        <w:t>Exemples</w:t>
      </w:r>
    </w:p>
    <w:p w14:paraId="3DD45F99" w14:textId="77777777" w:rsidR="0084489F" w:rsidRDefault="00110FE6" w:rsidP="00806324">
      <w:pPr>
        <w:numPr>
          <w:ilvl w:val="0"/>
          <w:numId w:val="209"/>
        </w:numPr>
      </w:pPr>
      <w:r>
        <w:t>Hauteur de la coupe en argent « 232 » (</w:t>
      </w:r>
      <w:r>
        <w:rPr>
          <w:rStyle w:val="VerbatimChar"/>
        </w:rPr>
        <w:t>E54_Dimension</w:t>
      </w:r>
      <w:r>
        <w:t>) a pour valeur (</w:t>
      </w:r>
      <w:r>
        <w:rPr>
          <w:rStyle w:val="VerbatimChar"/>
        </w:rPr>
        <w:t>P90_a_pour_valeur</w:t>
      </w:r>
      <w:r>
        <w:t>) 226 (</w:t>
      </w:r>
      <w:r>
        <w:rPr>
          <w:rStyle w:val="VerbatimChar"/>
        </w:rPr>
        <w:t>E60_Nombre</w:t>
      </w:r>
      <w:r>
        <w:t>) (fictif)</w:t>
      </w:r>
    </w:p>
    <w:p w14:paraId="176454C4" w14:textId="77777777" w:rsidR="0084489F" w:rsidRDefault="00110FE6" w:rsidP="00806324">
      <w:pPr>
        <w:numPr>
          <w:ilvl w:val="0"/>
          <w:numId w:val="209"/>
        </w:numPr>
      </w:pPr>
      <w:r>
        <w:t xml:space="preserve">Le prix d’adjudication par Christie's de l’œuvre peinte </w:t>
      </w:r>
      <w:r>
        <w:rPr>
          <w:i/>
          <w:iCs/>
        </w:rPr>
        <w:t>Vase avec quinze tournesols</w:t>
      </w:r>
      <w:r>
        <w:t xml:space="preserve"> (</w:t>
      </w:r>
      <w:r>
        <w:rPr>
          <w:rStyle w:val="VerbatimChar"/>
        </w:rPr>
        <w:t>E97_Valeur_monétaire</w:t>
      </w:r>
      <w:r>
        <w:t>) a pour valeur (</w:t>
      </w:r>
      <w:r>
        <w:rPr>
          <w:rStyle w:val="VerbatimChar"/>
        </w:rPr>
        <w:t>P90_a_pour_valeur</w:t>
      </w:r>
      <w:r>
        <w:t>) 24 750 000 (</w:t>
      </w:r>
      <w:r>
        <w:rPr>
          <w:rStyle w:val="VerbatimChar"/>
        </w:rPr>
        <w:t>E60_Nombre</w:t>
      </w:r>
      <w:r>
        <w:t>)</w:t>
      </w:r>
    </w:p>
    <w:p w14:paraId="7F14910E" w14:textId="77777777" w:rsidR="0084489F" w:rsidRDefault="00110FE6">
      <w:pPr>
        <w:pStyle w:val="FirstParagraph"/>
      </w:pPr>
      <w:r>
        <w:rPr>
          <w:b/>
          <w:bCs/>
        </w:rPr>
        <w:t>Logique</w:t>
      </w:r>
    </w:p>
    <w:p w14:paraId="530DCC95" w14:textId="77777777" w:rsidR="0084489F" w:rsidRDefault="00110FE6">
      <w:pPr>
        <w:pStyle w:val="BodyText"/>
      </w:pPr>
      <w:r w:rsidRPr="1B9E7434">
        <w:rPr>
          <w:lang w:val="fr-FR"/>
        </w:rPr>
        <w:t>P90(x,y) ⇒ E54(x)</w:t>
      </w:r>
    </w:p>
    <w:p w14:paraId="536E4BC4" w14:textId="77777777" w:rsidR="0084489F" w:rsidRDefault="00110FE6">
      <w:pPr>
        <w:pStyle w:val="BodyText"/>
      </w:pPr>
      <w:r w:rsidRPr="1B9E7434">
        <w:rPr>
          <w:lang w:val="fr-FR"/>
        </w:rPr>
        <w:t>P90(x,y) ⇒ E60(y)</w:t>
      </w:r>
    </w:p>
    <w:p w14:paraId="495D7DA9" w14:textId="77777777" w:rsidR="0084489F" w:rsidRDefault="00110FE6">
      <w:pPr>
        <w:pStyle w:val="BodyText"/>
      </w:pPr>
      <w:r>
        <w:rPr>
          <w:b/>
          <w:bCs/>
        </w:rPr>
        <w:t>Propriétés</w:t>
      </w:r>
    </w:p>
    <w:p w14:paraId="22AAA5F8" w14:textId="77777777" w:rsidR="0084489F" w:rsidRDefault="00110FE6">
      <w:pPr>
        <w:pStyle w:val="BlockText"/>
      </w:pPr>
      <w:r>
        <w:rPr>
          <w:b/>
          <w:bCs/>
          <w:i/>
          <w:iCs/>
        </w:rPr>
        <w:t>Note de traduction</w:t>
      </w:r>
    </w:p>
    <w:p w14:paraId="07ADF250" w14:textId="77777777" w:rsidR="0084489F" w:rsidRDefault="00110FE6">
      <w:pPr>
        <w:pStyle w:val="BlockText"/>
      </w:pPr>
      <w:r>
        <w:rPr>
          <w:b/>
          <w:bCs/>
          <w:i/>
          <w:iCs/>
        </w:rPr>
        <w:t>Références</w:t>
      </w:r>
    </w:p>
    <w:p w14:paraId="3735AB06" w14:textId="77777777" w:rsidR="0084489F" w:rsidRDefault="0084489F">
      <w:pPr>
        <w:pStyle w:val="BlockText"/>
      </w:pPr>
    </w:p>
    <w:p w14:paraId="20EED55B" w14:textId="77777777" w:rsidR="0084489F" w:rsidRDefault="00110FE6">
      <w:pPr>
        <w:pStyle w:val="Heading2"/>
      </w:pPr>
      <w:bookmarkStart w:id="420" w:name="_Toc176864590"/>
      <w:bookmarkStart w:id="421" w:name="X1b225df679e95f3b23607fb54f5eb2b8a46e40a"/>
      <w:bookmarkEnd w:id="419"/>
      <w:r>
        <w:t>P91 a pour unité de mesure (est l’unité de mesure de)</w:t>
      </w:r>
      <w:bookmarkEnd w:id="420"/>
    </w:p>
    <w:p w14:paraId="057BC52D" w14:textId="77777777" w:rsidR="0084489F" w:rsidRDefault="00110FE6">
      <w:pPr>
        <w:pStyle w:val="FirstParagraph"/>
      </w:pPr>
      <w:r>
        <w:rPr>
          <w:b/>
          <w:bCs/>
        </w:rPr>
        <w:t>Domaine</w:t>
      </w:r>
    </w:p>
    <w:p w14:paraId="7847FCE7" w14:textId="77777777" w:rsidR="0084489F" w:rsidRDefault="00110FE6">
      <w:pPr>
        <w:pStyle w:val="BodyText"/>
      </w:pPr>
      <w:r>
        <w:rPr>
          <w:rStyle w:val="VerbatimChar"/>
        </w:rPr>
        <w:t>E54_Dimension</w:t>
      </w:r>
    </w:p>
    <w:p w14:paraId="7CBE148A" w14:textId="77777777" w:rsidR="0084489F" w:rsidRDefault="00110FE6">
      <w:pPr>
        <w:pStyle w:val="BodyText"/>
      </w:pPr>
      <w:r>
        <w:rPr>
          <w:b/>
          <w:bCs/>
        </w:rPr>
        <w:t>Portée</w:t>
      </w:r>
    </w:p>
    <w:p w14:paraId="2326DE42" w14:textId="77777777" w:rsidR="0084489F" w:rsidRDefault="00110FE6">
      <w:pPr>
        <w:pStyle w:val="BodyText"/>
      </w:pPr>
      <w:r>
        <w:rPr>
          <w:rStyle w:val="VerbatimChar"/>
        </w:rPr>
        <w:t>E58_Unité_de_mesure</w:t>
      </w:r>
    </w:p>
    <w:p w14:paraId="252941A6" w14:textId="77777777" w:rsidR="0084489F" w:rsidRDefault="00110FE6">
      <w:pPr>
        <w:pStyle w:val="BodyText"/>
      </w:pPr>
      <w:r>
        <w:rPr>
          <w:b/>
          <w:bCs/>
        </w:rPr>
        <w:t>Sous-propriété de</w:t>
      </w:r>
    </w:p>
    <w:p w14:paraId="3AC85592" w14:textId="77777777" w:rsidR="0084489F" w:rsidRDefault="00110FE6">
      <w:pPr>
        <w:pStyle w:val="BodyText"/>
      </w:pPr>
      <w:r>
        <w:rPr>
          <w:b/>
          <w:bCs/>
        </w:rPr>
        <w:t>Super-propriété de</w:t>
      </w:r>
    </w:p>
    <w:p w14:paraId="32879AD5" w14:textId="77777777" w:rsidR="0084489F" w:rsidRDefault="00110FE6">
      <w:pPr>
        <w:pStyle w:val="BodyText"/>
      </w:pPr>
      <w:r w:rsidRPr="1B9E7434">
        <w:rPr>
          <w:rStyle w:val="VerbatimChar"/>
          <w:lang w:val="fr-FR"/>
        </w:rPr>
        <w:t>E97_Valeur_monétaire</w:t>
      </w:r>
      <w:r w:rsidRPr="1B9E7434">
        <w:rPr>
          <w:lang w:val="fr-FR"/>
        </w:rPr>
        <w:t xml:space="preserve">. </w:t>
      </w:r>
      <w:r w:rsidRPr="1B9E7434">
        <w:rPr>
          <w:rStyle w:val="VerbatimChar"/>
          <w:lang w:val="fr-FR"/>
        </w:rPr>
        <w:t>P180_a_pour_unité_monétaire (était_l'unité_monétaire_de)</w:t>
      </w:r>
      <w:r w:rsidRPr="1B9E7434">
        <w:rPr>
          <w:lang w:val="fr-FR"/>
        </w:rPr>
        <w:t xml:space="preserve"> : </w:t>
      </w:r>
      <w:r w:rsidRPr="1B9E7434">
        <w:rPr>
          <w:rStyle w:val="VerbatimChar"/>
          <w:lang w:val="fr-FR"/>
        </w:rPr>
        <w:t>E98_Unité_monétaire</w:t>
      </w:r>
    </w:p>
    <w:p w14:paraId="174B9A39" w14:textId="77777777" w:rsidR="0084489F" w:rsidRDefault="00110FE6">
      <w:pPr>
        <w:pStyle w:val="BodyText"/>
      </w:pPr>
      <w:r>
        <w:rPr>
          <w:b/>
          <w:bCs/>
        </w:rPr>
        <w:t>Quantification</w:t>
      </w:r>
    </w:p>
    <w:p w14:paraId="4A684310" w14:textId="77777777" w:rsidR="0084489F" w:rsidRDefault="00110FE6">
      <w:pPr>
        <w:pStyle w:val="BodyText"/>
      </w:pPr>
      <w:r w:rsidRPr="1B9E7434">
        <w:rPr>
          <w:lang w:val="fr-FR"/>
        </w:rPr>
        <w:t>plusieurs à un, nécessaire (1,1:0,n)</w:t>
      </w:r>
    </w:p>
    <w:p w14:paraId="1CE1AC29" w14:textId="77777777" w:rsidR="0084489F" w:rsidRDefault="00110FE6">
      <w:pPr>
        <w:pStyle w:val="BodyText"/>
      </w:pPr>
      <w:r>
        <w:rPr>
          <w:b/>
          <w:bCs/>
        </w:rPr>
        <w:t>Note d’application</w:t>
      </w:r>
    </w:p>
    <w:p w14:paraId="1896513A" w14:textId="77777777" w:rsidR="0084489F" w:rsidRDefault="00110FE6">
      <w:pPr>
        <w:pStyle w:val="BodyText"/>
      </w:pPr>
      <w:r>
        <w:t xml:space="preserve">Cette propriété indique le type d'unité dans lequel une instance de </w:t>
      </w:r>
      <w:r>
        <w:rPr>
          <w:rStyle w:val="VerbatimChar"/>
        </w:rPr>
        <w:t>E54_Dimension</w:t>
      </w:r>
      <w:r>
        <w:t xml:space="preserve"> a été exprimée.</w:t>
      </w:r>
    </w:p>
    <w:p w14:paraId="59B6D79D" w14:textId="77777777" w:rsidR="0084489F" w:rsidRDefault="00110FE6">
      <w:pPr>
        <w:pStyle w:val="BodyText"/>
      </w:pPr>
      <w:r>
        <w:rPr>
          <w:b/>
          <w:bCs/>
        </w:rPr>
        <w:t>Exemples</w:t>
      </w:r>
    </w:p>
    <w:p w14:paraId="567A8F0E" w14:textId="77777777" w:rsidR="0084489F" w:rsidRDefault="00110FE6" w:rsidP="00806324">
      <w:pPr>
        <w:numPr>
          <w:ilvl w:val="0"/>
          <w:numId w:val="210"/>
        </w:numPr>
      </w:pPr>
      <w:r>
        <w:lastRenderedPageBreak/>
        <w:t>Hauteur de la coupe en argent « 232 » (</w:t>
      </w:r>
      <w:r>
        <w:rPr>
          <w:rStyle w:val="VerbatimChar"/>
        </w:rPr>
        <w:t>E54_Dimension</w:t>
      </w:r>
      <w:r>
        <w:t>) a pour unité de mesure (</w:t>
      </w:r>
      <w:r>
        <w:rPr>
          <w:rStyle w:val="VerbatimChar"/>
        </w:rPr>
        <w:t>P91_a_pour_unité_de_mesure</w:t>
      </w:r>
      <w:r>
        <w:t>) mm (</w:t>
      </w:r>
      <w:r>
        <w:rPr>
          <w:rStyle w:val="VerbatimChar"/>
        </w:rPr>
        <w:t>E58_Unité_de_mesure</w:t>
      </w:r>
      <w:r>
        <w:t>) (fictif)</w:t>
      </w:r>
    </w:p>
    <w:p w14:paraId="36CEF0F1" w14:textId="77777777" w:rsidR="0084489F" w:rsidRDefault="00110FE6">
      <w:pPr>
        <w:pStyle w:val="FirstParagraph"/>
      </w:pPr>
      <w:r>
        <w:rPr>
          <w:b/>
          <w:bCs/>
        </w:rPr>
        <w:t>Logique</w:t>
      </w:r>
    </w:p>
    <w:p w14:paraId="3BFE13C2" w14:textId="77777777" w:rsidR="0084489F" w:rsidRDefault="00110FE6">
      <w:pPr>
        <w:pStyle w:val="BodyText"/>
      </w:pPr>
      <w:r w:rsidRPr="1B9E7434">
        <w:rPr>
          <w:lang w:val="fr-FR"/>
        </w:rPr>
        <w:t>P91(x,y) ⇒ E54(x)</w:t>
      </w:r>
    </w:p>
    <w:p w14:paraId="1D48DAE3" w14:textId="77777777" w:rsidR="0084489F" w:rsidRDefault="00110FE6">
      <w:pPr>
        <w:pStyle w:val="BodyText"/>
      </w:pPr>
      <w:r w:rsidRPr="1B9E7434">
        <w:rPr>
          <w:lang w:val="fr-FR"/>
        </w:rPr>
        <w:t>P91(x,y) ⇒ E58(y)</w:t>
      </w:r>
    </w:p>
    <w:p w14:paraId="0F01EF0A" w14:textId="77777777" w:rsidR="0084489F" w:rsidRDefault="00110FE6">
      <w:pPr>
        <w:pStyle w:val="BodyText"/>
      </w:pPr>
      <w:r>
        <w:rPr>
          <w:b/>
          <w:bCs/>
        </w:rPr>
        <w:t>Propriétés</w:t>
      </w:r>
    </w:p>
    <w:p w14:paraId="583C0B6D" w14:textId="77777777" w:rsidR="0084489F" w:rsidRDefault="00110FE6">
      <w:pPr>
        <w:pStyle w:val="BlockText"/>
      </w:pPr>
      <w:r>
        <w:rPr>
          <w:b/>
          <w:bCs/>
          <w:i/>
          <w:iCs/>
        </w:rPr>
        <w:t>Note de traduction</w:t>
      </w:r>
    </w:p>
    <w:p w14:paraId="128F48AA" w14:textId="77777777" w:rsidR="0084489F" w:rsidRDefault="00110FE6">
      <w:pPr>
        <w:pStyle w:val="BlockText"/>
      </w:pPr>
      <w:r>
        <w:rPr>
          <w:b/>
          <w:bCs/>
          <w:i/>
          <w:iCs/>
        </w:rPr>
        <w:t>Références</w:t>
      </w:r>
    </w:p>
    <w:p w14:paraId="1DE36319" w14:textId="77777777" w:rsidR="0084489F" w:rsidRDefault="0084489F">
      <w:pPr>
        <w:pStyle w:val="BlockText"/>
      </w:pPr>
    </w:p>
    <w:p w14:paraId="375D788B" w14:textId="77777777" w:rsidR="0084489F" w:rsidRDefault="00110FE6">
      <w:pPr>
        <w:pStyle w:val="Heading2"/>
      </w:pPr>
      <w:bookmarkStart w:id="422" w:name="_Toc176864591"/>
      <w:bookmarkStart w:id="423" w:name="Xc993002f634fcc2936e03e136025b8f517f2c2e"/>
      <w:bookmarkEnd w:id="421"/>
      <w:r>
        <w:t>P92 a fait exister (a commencé à exister par)</w:t>
      </w:r>
      <w:bookmarkEnd w:id="422"/>
    </w:p>
    <w:p w14:paraId="17E64AC2" w14:textId="77777777" w:rsidR="0084489F" w:rsidRDefault="00110FE6">
      <w:pPr>
        <w:pStyle w:val="FirstParagraph"/>
      </w:pPr>
      <w:r>
        <w:rPr>
          <w:b/>
          <w:bCs/>
        </w:rPr>
        <w:t>Domaine</w:t>
      </w:r>
    </w:p>
    <w:p w14:paraId="78CEBB48" w14:textId="77777777" w:rsidR="0084489F" w:rsidRDefault="00110FE6">
      <w:pPr>
        <w:pStyle w:val="BodyText"/>
      </w:pPr>
      <w:r>
        <w:rPr>
          <w:rStyle w:val="VerbatimChar"/>
        </w:rPr>
        <w:t>E63_Début_d’existence</w:t>
      </w:r>
    </w:p>
    <w:p w14:paraId="2DF3ABF3" w14:textId="77777777" w:rsidR="0084489F" w:rsidRDefault="00110FE6">
      <w:pPr>
        <w:pStyle w:val="BodyText"/>
      </w:pPr>
      <w:r>
        <w:rPr>
          <w:b/>
          <w:bCs/>
        </w:rPr>
        <w:t>Portée</w:t>
      </w:r>
    </w:p>
    <w:p w14:paraId="7818473D" w14:textId="77777777" w:rsidR="0084489F" w:rsidRDefault="00110FE6">
      <w:pPr>
        <w:pStyle w:val="BodyText"/>
      </w:pPr>
      <w:r>
        <w:rPr>
          <w:rStyle w:val="VerbatimChar"/>
        </w:rPr>
        <w:t>E77_Entité_persistante</w:t>
      </w:r>
    </w:p>
    <w:p w14:paraId="5671F7AE" w14:textId="77777777" w:rsidR="0084489F" w:rsidRDefault="00110FE6">
      <w:pPr>
        <w:pStyle w:val="BodyText"/>
      </w:pPr>
      <w:r>
        <w:rPr>
          <w:b/>
          <w:bCs/>
        </w:rPr>
        <w:t>Sous-propriété de</w:t>
      </w:r>
    </w:p>
    <w:p w14:paraId="6D37A640"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P12_a_eu_lieu_en_présence_de (a_été_présent_à)</w:t>
      </w:r>
      <w:r w:rsidRPr="1B9E7434">
        <w:rPr>
          <w:lang w:val="fr-FR"/>
        </w:rPr>
        <w:t xml:space="preserve"> : </w:t>
      </w:r>
      <w:r w:rsidRPr="1B9E7434">
        <w:rPr>
          <w:rStyle w:val="VerbatimChar"/>
          <w:lang w:val="fr-FR"/>
        </w:rPr>
        <w:t>E77_Entité_persistante</w:t>
      </w:r>
    </w:p>
    <w:p w14:paraId="0AF1CF80" w14:textId="77777777" w:rsidR="0084489F" w:rsidRDefault="00110FE6">
      <w:pPr>
        <w:pStyle w:val="BodyText"/>
      </w:pPr>
      <w:r>
        <w:rPr>
          <w:b/>
          <w:bCs/>
        </w:rPr>
        <w:t>Super-propriété de</w:t>
      </w:r>
    </w:p>
    <w:p w14:paraId="79B22ADA" w14:textId="77777777" w:rsidR="0084489F" w:rsidRDefault="00110FE6">
      <w:pPr>
        <w:pStyle w:val="BodyText"/>
      </w:pPr>
      <w:r w:rsidRPr="1B9E7434">
        <w:rPr>
          <w:rStyle w:val="VerbatimChar"/>
          <w:lang w:val="fr-FR"/>
        </w:rPr>
        <w:t>E65_Création</w:t>
      </w:r>
      <w:r w:rsidRPr="1B9E7434">
        <w:rPr>
          <w:lang w:val="fr-FR"/>
        </w:rPr>
        <w:t xml:space="preserve">. </w:t>
      </w:r>
      <w:r w:rsidRPr="1B9E7434">
        <w:rPr>
          <w:rStyle w:val="VerbatimChar"/>
          <w:lang w:val="fr-FR"/>
        </w:rPr>
        <w:t>P94_a_créé (a_été_créé_par)</w:t>
      </w:r>
      <w:r w:rsidRPr="1B9E7434">
        <w:rPr>
          <w:lang w:val="fr-FR"/>
        </w:rPr>
        <w:t xml:space="preserve"> : </w:t>
      </w:r>
      <w:r w:rsidRPr="1B9E7434">
        <w:rPr>
          <w:rStyle w:val="VerbatimChar"/>
          <w:lang w:val="fr-FR"/>
        </w:rPr>
        <w:t>E28_Objet_conceptuel</w:t>
      </w:r>
    </w:p>
    <w:p w14:paraId="4322E6BB" w14:textId="77777777" w:rsidR="0084489F" w:rsidRDefault="00110FE6">
      <w:pPr>
        <w:pStyle w:val="BodyText"/>
      </w:pPr>
      <w:r w:rsidRPr="1B9E7434">
        <w:rPr>
          <w:rStyle w:val="VerbatimChar"/>
          <w:lang w:val="fr-FR"/>
        </w:rPr>
        <w:t>E66_Formation</w:t>
      </w:r>
      <w:r w:rsidRPr="1B9E7434">
        <w:rPr>
          <w:lang w:val="fr-FR"/>
        </w:rPr>
        <w:t xml:space="preserve">. </w:t>
      </w:r>
      <w:r w:rsidRPr="1B9E7434">
        <w:rPr>
          <w:rStyle w:val="VerbatimChar"/>
          <w:lang w:val="fr-FR"/>
        </w:rPr>
        <w:t>P95_a_fondé (a_été_fondé_par)</w:t>
      </w:r>
      <w:r w:rsidRPr="1B9E7434">
        <w:rPr>
          <w:lang w:val="fr-FR"/>
        </w:rPr>
        <w:t xml:space="preserve"> : </w:t>
      </w:r>
      <w:r w:rsidRPr="1B9E7434">
        <w:rPr>
          <w:rStyle w:val="VerbatimChar"/>
          <w:lang w:val="fr-FR"/>
        </w:rPr>
        <w:t>E74_Groupe</w:t>
      </w:r>
    </w:p>
    <w:p w14:paraId="2CFA5F63" w14:textId="77777777" w:rsidR="0084489F" w:rsidRDefault="00110FE6">
      <w:pPr>
        <w:pStyle w:val="BodyText"/>
      </w:pPr>
      <w:r w:rsidRPr="1B9E7434">
        <w:rPr>
          <w:rStyle w:val="VerbatimChar"/>
          <w:lang w:val="fr-FR"/>
        </w:rPr>
        <w:t>E67_Naissance</w:t>
      </w:r>
      <w:r w:rsidRPr="1B9E7434">
        <w:rPr>
          <w:lang w:val="fr-FR"/>
        </w:rPr>
        <w:t xml:space="preserve">. </w:t>
      </w:r>
      <w:r w:rsidRPr="1B9E7434">
        <w:rPr>
          <w:rStyle w:val="VerbatimChar"/>
          <w:lang w:val="fr-FR"/>
        </w:rPr>
        <w:t>P98_a_donné_vie_à (est_né)</w:t>
      </w:r>
      <w:r w:rsidRPr="1B9E7434">
        <w:rPr>
          <w:lang w:val="fr-FR"/>
        </w:rPr>
        <w:t xml:space="preserve"> : </w:t>
      </w:r>
      <w:r w:rsidRPr="1B9E7434">
        <w:rPr>
          <w:rStyle w:val="VerbatimChar"/>
          <w:lang w:val="fr-FR"/>
        </w:rPr>
        <w:t>E21_Personne</w:t>
      </w:r>
    </w:p>
    <w:p w14:paraId="1C2A2F6F" w14:textId="77777777" w:rsidR="0084489F" w:rsidRDefault="00110FE6">
      <w:pPr>
        <w:pStyle w:val="BodyText"/>
      </w:pPr>
      <w:r w:rsidRPr="1B9E7434">
        <w:rPr>
          <w:rStyle w:val="VerbatimChar"/>
          <w:lang w:val="fr-FR"/>
        </w:rPr>
        <w:t>E12_Production</w:t>
      </w:r>
      <w:r w:rsidRPr="1B9E7434">
        <w:rPr>
          <w:lang w:val="fr-FR"/>
        </w:rPr>
        <w:t xml:space="preserve">. </w:t>
      </w:r>
      <w:r w:rsidRPr="1B9E7434">
        <w:rPr>
          <w:rStyle w:val="VerbatimChar"/>
          <w:lang w:val="fr-FR"/>
        </w:rPr>
        <w:t>P108_a_produit (a_été_produit_par)</w:t>
      </w:r>
      <w:r w:rsidRPr="1B9E7434">
        <w:rPr>
          <w:lang w:val="fr-FR"/>
        </w:rPr>
        <w:t xml:space="preserve"> : </w:t>
      </w:r>
      <w:r w:rsidRPr="1B9E7434">
        <w:rPr>
          <w:rStyle w:val="VerbatimChar"/>
          <w:lang w:val="fr-FR"/>
        </w:rPr>
        <w:t>E24_Chose_matérielle_élaborée_par_l’humain</w:t>
      </w:r>
    </w:p>
    <w:p w14:paraId="196A8055" w14:textId="77777777" w:rsidR="0084489F" w:rsidRDefault="00110FE6">
      <w:pPr>
        <w:pStyle w:val="BodyText"/>
      </w:pPr>
      <w:r w:rsidRPr="1B9E7434">
        <w:rPr>
          <w:rStyle w:val="VerbatimChar"/>
          <w:lang w:val="fr-FR"/>
        </w:rPr>
        <w:t>E81_Transformation</w:t>
      </w:r>
      <w:r w:rsidRPr="1B9E7434">
        <w:rPr>
          <w:lang w:val="fr-FR"/>
        </w:rPr>
        <w:t xml:space="preserve">. </w:t>
      </w:r>
      <w:r w:rsidRPr="1B9E7434">
        <w:rPr>
          <w:rStyle w:val="VerbatimChar"/>
          <w:lang w:val="fr-FR"/>
        </w:rPr>
        <w:t>P123_a_eu_pour_résultat (a_résulté_de)</w:t>
      </w:r>
      <w:r w:rsidRPr="1B9E7434">
        <w:rPr>
          <w:lang w:val="fr-FR"/>
        </w:rPr>
        <w:t xml:space="preserve"> : </w:t>
      </w:r>
      <w:r w:rsidRPr="1B9E7434">
        <w:rPr>
          <w:rStyle w:val="VerbatimChar"/>
          <w:lang w:val="fr-FR"/>
        </w:rPr>
        <w:t>E18_Chose_matérielle</w:t>
      </w:r>
    </w:p>
    <w:p w14:paraId="25C9E98A" w14:textId="77777777" w:rsidR="0084489F" w:rsidRDefault="00110FE6">
      <w:pPr>
        <w:pStyle w:val="BodyText"/>
      </w:pPr>
      <w:r>
        <w:rPr>
          <w:b/>
          <w:bCs/>
        </w:rPr>
        <w:t>Quantification</w:t>
      </w:r>
    </w:p>
    <w:p w14:paraId="4E111080" w14:textId="77777777" w:rsidR="0084489F" w:rsidRDefault="00110FE6">
      <w:pPr>
        <w:pStyle w:val="BodyText"/>
      </w:pPr>
      <w:r w:rsidRPr="1B9E7434">
        <w:rPr>
          <w:lang w:val="fr-FR"/>
        </w:rPr>
        <w:t>un à plusieurs, nécessaire, dépendant (1,n:1,1)</w:t>
      </w:r>
    </w:p>
    <w:p w14:paraId="7FB2CF45" w14:textId="77777777" w:rsidR="0084489F" w:rsidRDefault="00110FE6">
      <w:pPr>
        <w:pStyle w:val="BodyText"/>
      </w:pPr>
      <w:r>
        <w:rPr>
          <w:b/>
          <w:bCs/>
        </w:rPr>
        <w:t>Note d’application</w:t>
      </w:r>
    </w:p>
    <w:p w14:paraId="09C682EE" w14:textId="77777777" w:rsidR="0084489F" w:rsidRDefault="00110FE6">
      <w:pPr>
        <w:pStyle w:val="BodyText"/>
      </w:pPr>
      <w:r>
        <w:t xml:space="preserve">Cette propriété lie une instance de </w:t>
      </w:r>
      <w:r>
        <w:rPr>
          <w:rStyle w:val="VerbatimChar"/>
        </w:rPr>
        <w:t>E63_Début_d’existence</w:t>
      </w:r>
      <w:r>
        <w:t xml:space="preserve"> à une instance de </w:t>
      </w:r>
      <w:r>
        <w:rPr>
          <w:rStyle w:val="VerbatimChar"/>
        </w:rPr>
        <w:t>E77_Entité_persistante</w:t>
      </w:r>
      <w:r>
        <w:t xml:space="preserve"> ayant été mise au monde par la première.</w:t>
      </w:r>
    </w:p>
    <w:p w14:paraId="1F99977D" w14:textId="77777777" w:rsidR="0084489F" w:rsidRDefault="00110FE6">
      <w:pPr>
        <w:pStyle w:val="BodyText"/>
      </w:pPr>
      <w:r>
        <w:t xml:space="preserve">Elle permet d’associer un « début » à une instance documentée de </w:t>
      </w:r>
      <w:r>
        <w:rPr>
          <w:rStyle w:val="VerbatimChar"/>
        </w:rPr>
        <w:t>E77_Entité_persistante</w:t>
      </w:r>
      <w:r>
        <w:t xml:space="preserve">, c.-à-d. à une instance de </w:t>
      </w:r>
      <w:r>
        <w:rPr>
          <w:rStyle w:val="VerbatimChar"/>
        </w:rPr>
        <w:t>E70_Chose</w:t>
      </w:r>
      <w:r>
        <w:t xml:space="preserve">, </w:t>
      </w:r>
      <w:r>
        <w:rPr>
          <w:rStyle w:val="VerbatimChar"/>
        </w:rPr>
        <w:t>E72_Objet_juridique</w:t>
      </w:r>
      <w:r>
        <w:t xml:space="preserve">, </w:t>
      </w:r>
      <w:r>
        <w:rPr>
          <w:rStyle w:val="VerbatimChar"/>
        </w:rPr>
        <w:t>E39_Actant</w:t>
      </w:r>
      <w:r>
        <w:t xml:space="preserve">, </w:t>
      </w:r>
      <w:r>
        <w:rPr>
          <w:rStyle w:val="VerbatimChar"/>
        </w:rPr>
        <w:t>E41_Appellation</w:t>
      </w:r>
      <w:r>
        <w:t xml:space="preserve"> ou </w:t>
      </w:r>
      <w:r>
        <w:rPr>
          <w:rStyle w:val="VerbatimChar"/>
        </w:rPr>
        <w:t>E55_Type</w:t>
      </w:r>
      <w:r>
        <w:t>, par exemple.</w:t>
      </w:r>
    </w:p>
    <w:p w14:paraId="625564A2" w14:textId="77777777" w:rsidR="0084489F" w:rsidRDefault="00110FE6">
      <w:pPr>
        <w:pStyle w:val="BodyText"/>
      </w:pPr>
      <w:r>
        <w:rPr>
          <w:b/>
          <w:bCs/>
        </w:rPr>
        <w:t>Exemples</w:t>
      </w:r>
    </w:p>
    <w:p w14:paraId="01028CF9" w14:textId="77777777" w:rsidR="0084489F" w:rsidRDefault="00110FE6" w:rsidP="00806324">
      <w:pPr>
        <w:numPr>
          <w:ilvl w:val="0"/>
          <w:numId w:val="211"/>
        </w:numPr>
      </w:pPr>
      <w:r>
        <w:t>La naissance de Mozart (</w:t>
      </w:r>
      <w:r>
        <w:rPr>
          <w:rStyle w:val="VerbatimChar"/>
        </w:rPr>
        <w:t>E67_Naissance</w:t>
      </w:r>
      <w:r>
        <w:t>) a fait exister (</w:t>
      </w:r>
      <w:r>
        <w:rPr>
          <w:rStyle w:val="VerbatimChar"/>
        </w:rPr>
        <w:t>P92_a_fait_exister</w:t>
      </w:r>
      <w:r>
        <w:t>) Mozart (</w:t>
      </w:r>
      <w:r>
        <w:rPr>
          <w:rStyle w:val="VerbatimChar"/>
        </w:rPr>
        <w:t>E21_Personne</w:t>
      </w:r>
      <w:r>
        <w:t>) (Deutsch, 1965)</w:t>
      </w:r>
    </w:p>
    <w:p w14:paraId="59E6D212" w14:textId="77777777" w:rsidR="0084489F" w:rsidRDefault="00110FE6">
      <w:pPr>
        <w:pStyle w:val="FirstParagraph"/>
      </w:pPr>
      <w:r>
        <w:rPr>
          <w:b/>
          <w:bCs/>
        </w:rPr>
        <w:lastRenderedPageBreak/>
        <w:t>Logique</w:t>
      </w:r>
    </w:p>
    <w:p w14:paraId="0715DD6D" w14:textId="77777777" w:rsidR="0084489F" w:rsidRDefault="00110FE6">
      <w:pPr>
        <w:pStyle w:val="BodyText"/>
      </w:pPr>
      <w:r w:rsidRPr="1B9E7434">
        <w:rPr>
          <w:lang w:val="fr-FR"/>
        </w:rPr>
        <w:t>P92(x,y) ⇒ E63(x)</w:t>
      </w:r>
    </w:p>
    <w:p w14:paraId="6CDC5837" w14:textId="77777777" w:rsidR="0084489F" w:rsidRDefault="00110FE6">
      <w:pPr>
        <w:pStyle w:val="BodyText"/>
      </w:pPr>
      <w:r w:rsidRPr="1B9E7434">
        <w:rPr>
          <w:lang w:val="fr-FR"/>
        </w:rPr>
        <w:t>P92(x,y) ⇒ E77(y)</w:t>
      </w:r>
    </w:p>
    <w:p w14:paraId="5C3129F8" w14:textId="77777777" w:rsidR="0084489F" w:rsidRDefault="00110FE6">
      <w:pPr>
        <w:pStyle w:val="BodyText"/>
      </w:pPr>
      <w:r w:rsidRPr="1B9E7434">
        <w:rPr>
          <w:lang w:val="fr-FR"/>
        </w:rPr>
        <w:t>P92(x,y) ⇒ P12(x,y)</w:t>
      </w:r>
    </w:p>
    <w:p w14:paraId="6523EFD3" w14:textId="77777777" w:rsidR="0084489F" w:rsidRDefault="00110FE6">
      <w:pPr>
        <w:pStyle w:val="BodyText"/>
      </w:pPr>
      <w:r>
        <w:rPr>
          <w:b/>
          <w:bCs/>
        </w:rPr>
        <w:t>Propriétés</w:t>
      </w:r>
    </w:p>
    <w:p w14:paraId="2EB45E99" w14:textId="77777777" w:rsidR="0084489F" w:rsidRDefault="00110FE6">
      <w:pPr>
        <w:pStyle w:val="BlockText"/>
      </w:pPr>
      <w:r>
        <w:rPr>
          <w:b/>
          <w:bCs/>
          <w:i/>
          <w:iCs/>
        </w:rPr>
        <w:t>Note de traduction</w:t>
      </w:r>
    </w:p>
    <w:p w14:paraId="589DF177" w14:textId="77777777" w:rsidR="0084489F" w:rsidRDefault="00110FE6">
      <w:pPr>
        <w:pStyle w:val="BlockText"/>
      </w:pPr>
      <w:r>
        <w:rPr>
          <w:b/>
          <w:bCs/>
          <w:i/>
          <w:iCs/>
        </w:rPr>
        <w:t>Références</w:t>
      </w:r>
    </w:p>
    <w:p w14:paraId="3E4552EC" w14:textId="77777777" w:rsidR="0084489F" w:rsidRDefault="0084489F">
      <w:pPr>
        <w:pStyle w:val="BlockText"/>
      </w:pPr>
    </w:p>
    <w:p w14:paraId="048B08C5" w14:textId="77777777" w:rsidR="0084489F" w:rsidRDefault="00110FE6">
      <w:pPr>
        <w:pStyle w:val="Heading2"/>
      </w:pPr>
      <w:bookmarkStart w:id="424" w:name="_Toc176864592"/>
      <w:bookmarkStart w:id="425" w:name="X3958fb23a48a3e29a9fe5709d7e3123d7c8394d"/>
      <w:bookmarkEnd w:id="423"/>
      <w:r>
        <w:t>P93 a mis fin à l’existence de (a cessé d’exister par)</w:t>
      </w:r>
      <w:bookmarkEnd w:id="424"/>
    </w:p>
    <w:p w14:paraId="64DC29A8" w14:textId="77777777" w:rsidR="0084489F" w:rsidRDefault="00110FE6">
      <w:pPr>
        <w:pStyle w:val="FirstParagraph"/>
      </w:pPr>
      <w:r>
        <w:rPr>
          <w:b/>
          <w:bCs/>
        </w:rPr>
        <w:t>Domaine</w:t>
      </w:r>
    </w:p>
    <w:p w14:paraId="6D3705CB" w14:textId="77777777" w:rsidR="0084489F" w:rsidRDefault="00110FE6">
      <w:pPr>
        <w:pStyle w:val="BodyText"/>
      </w:pPr>
      <w:r>
        <w:rPr>
          <w:rStyle w:val="VerbatimChar"/>
        </w:rPr>
        <w:t>E64_Fin_d’existence</w:t>
      </w:r>
    </w:p>
    <w:p w14:paraId="72E62EEF" w14:textId="77777777" w:rsidR="0084489F" w:rsidRDefault="00110FE6">
      <w:pPr>
        <w:pStyle w:val="BodyText"/>
      </w:pPr>
      <w:r>
        <w:rPr>
          <w:b/>
          <w:bCs/>
        </w:rPr>
        <w:t>Portée</w:t>
      </w:r>
    </w:p>
    <w:p w14:paraId="03A38023" w14:textId="77777777" w:rsidR="0084489F" w:rsidRDefault="00110FE6">
      <w:pPr>
        <w:pStyle w:val="BodyText"/>
      </w:pPr>
      <w:r>
        <w:rPr>
          <w:rStyle w:val="VerbatimChar"/>
        </w:rPr>
        <w:t>E77_Entité_persistante</w:t>
      </w:r>
    </w:p>
    <w:p w14:paraId="32777530" w14:textId="77777777" w:rsidR="0084489F" w:rsidRDefault="00110FE6">
      <w:pPr>
        <w:pStyle w:val="BodyText"/>
      </w:pPr>
      <w:r>
        <w:rPr>
          <w:b/>
          <w:bCs/>
        </w:rPr>
        <w:t>Sous-propriété de</w:t>
      </w:r>
    </w:p>
    <w:p w14:paraId="2BD78E4D"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P12_a_eu_lieu_en_présence_de (a_été_présent_à)</w:t>
      </w:r>
      <w:r w:rsidRPr="1B9E7434">
        <w:rPr>
          <w:lang w:val="fr-FR"/>
        </w:rPr>
        <w:t xml:space="preserve"> : </w:t>
      </w:r>
      <w:r w:rsidRPr="1B9E7434">
        <w:rPr>
          <w:rStyle w:val="VerbatimChar"/>
          <w:lang w:val="fr-FR"/>
        </w:rPr>
        <w:t>E77_Entité_persistante</w:t>
      </w:r>
    </w:p>
    <w:p w14:paraId="077AEDFA" w14:textId="77777777" w:rsidR="0084489F" w:rsidRDefault="00110FE6">
      <w:pPr>
        <w:pStyle w:val="BodyText"/>
      </w:pPr>
      <w:r>
        <w:rPr>
          <w:b/>
          <w:bCs/>
        </w:rPr>
        <w:t>Super-propriété de</w:t>
      </w:r>
    </w:p>
    <w:p w14:paraId="120846AC" w14:textId="77777777" w:rsidR="0084489F" w:rsidRDefault="00110FE6">
      <w:pPr>
        <w:pStyle w:val="BodyText"/>
      </w:pPr>
      <w:r w:rsidRPr="1B9E7434">
        <w:rPr>
          <w:rStyle w:val="VerbatimChar"/>
          <w:lang w:val="fr-FR"/>
        </w:rPr>
        <w:t>E6_Destruction</w:t>
      </w:r>
      <w:r w:rsidRPr="1B9E7434">
        <w:rPr>
          <w:lang w:val="fr-FR"/>
        </w:rPr>
        <w:t xml:space="preserve">. </w:t>
      </w:r>
      <w:r w:rsidRPr="1B9E7434">
        <w:rPr>
          <w:rStyle w:val="VerbatimChar"/>
          <w:lang w:val="fr-FR"/>
        </w:rPr>
        <w:t>P13_a_détruit (a_été_détruit_par)</w:t>
      </w:r>
      <w:r w:rsidRPr="1B9E7434">
        <w:rPr>
          <w:lang w:val="fr-FR"/>
        </w:rPr>
        <w:t xml:space="preserve"> : </w:t>
      </w:r>
      <w:r w:rsidRPr="1B9E7434">
        <w:rPr>
          <w:rStyle w:val="VerbatimChar"/>
          <w:lang w:val="fr-FR"/>
        </w:rPr>
        <w:t>E18_Chose_matérielle</w:t>
      </w:r>
    </w:p>
    <w:p w14:paraId="628BE676" w14:textId="77777777" w:rsidR="0084489F" w:rsidRDefault="00110FE6">
      <w:pPr>
        <w:pStyle w:val="BodyText"/>
      </w:pPr>
      <w:r w:rsidRPr="1B9E7434">
        <w:rPr>
          <w:rStyle w:val="VerbatimChar"/>
          <w:lang w:val="fr-FR"/>
        </w:rPr>
        <w:t>E68_Dissolution</w:t>
      </w:r>
      <w:r w:rsidRPr="1B9E7434">
        <w:rPr>
          <w:lang w:val="fr-FR"/>
        </w:rPr>
        <w:t xml:space="preserve">. </w:t>
      </w:r>
      <w:r w:rsidRPr="1B9E7434">
        <w:rPr>
          <w:rStyle w:val="VerbatimChar"/>
          <w:lang w:val="fr-FR"/>
        </w:rPr>
        <w:t>P99_a_dissous (a_été_dissous_par)</w:t>
      </w:r>
      <w:r w:rsidRPr="1B9E7434">
        <w:rPr>
          <w:lang w:val="fr-FR"/>
        </w:rPr>
        <w:t xml:space="preserve"> : </w:t>
      </w:r>
      <w:r w:rsidRPr="1B9E7434">
        <w:rPr>
          <w:rStyle w:val="VerbatimChar"/>
          <w:lang w:val="fr-FR"/>
        </w:rPr>
        <w:t>E74_Groupe</w:t>
      </w:r>
    </w:p>
    <w:p w14:paraId="2C151CA1" w14:textId="77777777" w:rsidR="0084489F" w:rsidRDefault="00110FE6">
      <w:pPr>
        <w:pStyle w:val="BodyText"/>
      </w:pPr>
      <w:r w:rsidRPr="1B9E7434">
        <w:rPr>
          <w:rStyle w:val="VerbatimChar"/>
          <w:lang w:val="fr-FR"/>
        </w:rPr>
        <w:t>E69_Mort</w:t>
      </w:r>
      <w:r w:rsidRPr="1B9E7434">
        <w:rPr>
          <w:lang w:val="fr-FR"/>
        </w:rPr>
        <w:t xml:space="preserve">. </w:t>
      </w:r>
      <w:r w:rsidRPr="1B9E7434">
        <w:rPr>
          <w:rStyle w:val="VerbatimChar"/>
          <w:lang w:val="fr-FR"/>
        </w:rPr>
        <w:t>P100_a_été_la_mort_de (est_mort_par)</w:t>
      </w:r>
      <w:r w:rsidRPr="1B9E7434">
        <w:rPr>
          <w:lang w:val="fr-FR"/>
        </w:rPr>
        <w:t xml:space="preserve"> : </w:t>
      </w:r>
      <w:r w:rsidRPr="1B9E7434">
        <w:rPr>
          <w:rStyle w:val="VerbatimChar"/>
          <w:lang w:val="fr-FR"/>
        </w:rPr>
        <w:t>E21_Personne</w:t>
      </w:r>
    </w:p>
    <w:p w14:paraId="40F80536" w14:textId="77777777" w:rsidR="0084489F" w:rsidRDefault="00110FE6">
      <w:pPr>
        <w:pStyle w:val="BodyText"/>
      </w:pPr>
      <w:r w:rsidRPr="1B9E7434">
        <w:rPr>
          <w:rStyle w:val="VerbatimChar"/>
          <w:lang w:val="fr-FR"/>
        </w:rPr>
        <w:t>E81_Transformation</w:t>
      </w:r>
      <w:r w:rsidRPr="1B9E7434">
        <w:rPr>
          <w:lang w:val="fr-FR"/>
        </w:rPr>
        <w:t xml:space="preserve">. </w:t>
      </w:r>
      <w:r w:rsidRPr="1B9E7434">
        <w:rPr>
          <w:rStyle w:val="VerbatimChar"/>
          <w:lang w:val="fr-FR"/>
        </w:rPr>
        <w:t>P124_a_transformé (a_été_transformé_par)</w:t>
      </w:r>
      <w:r w:rsidRPr="1B9E7434">
        <w:rPr>
          <w:lang w:val="fr-FR"/>
        </w:rPr>
        <w:t xml:space="preserve"> : </w:t>
      </w:r>
      <w:r w:rsidRPr="1B9E7434">
        <w:rPr>
          <w:rStyle w:val="VerbatimChar"/>
          <w:lang w:val="fr-FR"/>
        </w:rPr>
        <w:t>E18_Chose_matérielle</w:t>
      </w:r>
    </w:p>
    <w:p w14:paraId="05ECAF5A" w14:textId="77777777" w:rsidR="0084489F" w:rsidRDefault="00110FE6">
      <w:pPr>
        <w:pStyle w:val="BodyText"/>
      </w:pPr>
      <w:r>
        <w:rPr>
          <w:b/>
          <w:bCs/>
        </w:rPr>
        <w:t>Quantification</w:t>
      </w:r>
    </w:p>
    <w:p w14:paraId="640FD527" w14:textId="77777777" w:rsidR="0084489F" w:rsidRDefault="00110FE6">
      <w:pPr>
        <w:pStyle w:val="BodyText"/>
      </w:pPr>
      <w:r w:rsidRPr="1B9E7434">
        <w:rPr>
          <w:lang w:val="fr-FR"/>
        </w:rPr>
        <w:t>un à plusieurs, nécessaire (1,n:0,1)</w:t>
      </w:r>
    </w:p>
    <w:p w14:paraId="4E71219E" w14:textId="77777777" w:rsidR="0084489F" w:rsidRDefault="00110FE6">
      <w:pPr>
        <w:pStyle w:val="BodyText"/>
      </w:pPr>
      <w:r>
        <w:rPr>
          <w:b/>
          <w:bCs/>
        </w:rPr>
        <w:t>Note d’application</w:t>
      </w:r>
    </w:p>
    <w:p w14:paraId="65238C2E" w14:textId="77777777" w:rsidR="0084489F" w:rsidRDefault="00110FE6">
      <w:pPr>
        <w:pStyle w:val="BodyText"/>
      </w:pPr>
      <w:r>
        <w:t xml:space="preserve">Cette propriété lie une instance de </w:t>
      </w:r>
      <w:r>
        <w:rPr>
          <w:rStyle w:val="VerbatimChar"/>
        </w:rPr>
        <w:t>E64_Fin_d’existence</w:t>
      </w:r>
      <w:r>
        <w:t xml:space="preserve"> à l’instance de </w:t>
      </w:r>
      <w:r>
        <w:rPr>
          <w:rStyle w:val="VerbatimChar"/>
        </w:rPr>
        <w:t>E77_Entité_persistante</w:t>
      </w:r>
      <w:r>
        <w:t xml:space="preserve"> qu'elle a fait cesser d’exister.</w:t>
      </w:r>
    </w:p>
    <w:p w14:paraId="1FC59C20" w14:textId="77777777" w:rsidR="0084489F" w:rsidRDefault="00110FE6">
      <w:pPr>
        <w:pStyle w:val="BodyText"/>
      </w:pPr>
      <w:r>
        <w:t xml:space="preserve">Dans le cas des choses immatérielles, il est considéré que l'instance de </w:t>
      </w:r>
      <w:r>
        <w:rPr>
          <w:rStyle w:val="VerbatimChar"/>
        </w:rPr>
        <w:t>E64_Fin_d’existence</w:t>
      </w:r>
      <w:r>
        <w:t xml:space="preserve"> a lieu au moment de la destruction du dernier support physique.</w:t>
      </w:r>
    </w:p>
    <w:p w14:paraId="7B03422D" w14:textId="77777777" w:rsidR="0084489F" w:rsidRDefault="00110FE6">
      <w:pPr>
        <w:pStyle w:val="BodyText"/>
      </w:pPr>
      <w:r>
        <w:t xml:space="preserve">Cette propriété permet d’associer une « fin » à une instance documentée de </w:t>
      </w:r>
      <w:r>
        <w:rPr>
          <w:rStyle w:val="VerbatimChar"/>
        </w:rPr>
        <w:t>E77_Entité_persistante</w:t>
      </w:r>
      <w:r>
        <w:t xml:space="preserve">, c.-à-d. à une instance de </w:t>
      </w:r>
      <w:r>
        <w:rPr>
          <w:rStyle w:val="VerbatimChar"/>
        </w:rPr>
        <w:t>E70_Chose</w:t>
      </w:r>
      <w:r>
        <w:t xml:space="preserve">, </w:t>
      </w:r>
      <w:r>
        <w:rPr>
          <w:rStyle w:val="VerbatimChar"/>
        </w:rPr>
        <w:t>E72_Objet_juridique</w:t>
      </w:r>
      <w:r>
        <w:t xml:space="preserve">, </w:t>
      </w:r>
      <w:r>
        <w:rPr>
          <w:rStyle w:val="VerbatimChar"/>
        </w:rPr>
        <w:t>E39_Actant</w:t>
      </w:r>
      <w:r>
        <w:t xml:space="preserve">, </w:t>
      </w:r>
      <w:r>
        <w:rPr>
          <w:rStyle w:val="VerbatimChar"/>
        </w:rPr>
        <w:t>E41_Appellation</w:t>
      </w:r>
      <w:r>
        <w:t xml:space="preserve"> ou </w:t>
      </w:r>
      <w:r>
        <w:rPr>
          <w:rStyle w:val="VerbatimChar"/>
        </w:rPr>
        <w:t>E55_Type</w:t>
      </w:r>
      <w:r>
        <w:t>.</w:t>
      </w:r>
    </w:p>
    <w:p w14:paraId="470EAE49" w14:textId="77777777" w:rsidR="0084489F" w:rsidRDefault="00110FE6">
      <w:pPr>
        <w:pStyle w:val="BodyText"/>
      </w:pPr>
      <w:r>
        <w:t xml:space="preserve">La durée de vie maximale de nombreuses instances de </w:t>
      </w:r>
      <w:r>
        <w:rPr>
          <w:rStyle w:val="VerbatimChar"/>
        </w:rPr>
        <w:t>E77_Entité_persistante</w:t>
      </w:r>
      <w:r>
        <w:t xml:space="preserve"> étant connue, il est possible d’inférer qu’elles doivent avoir cessé d’exister. Dans ce cas, l’instance de </w:t>
      </w:r>
      <w:r>
        <w:rPr>
          <w:rStyle w:val="VerbatimChar"/>
        </w:rPr>
        <w:t>E64_Fin_d’existence</w:t>
      </w:r>
      <w:r>
        <w:t xml:space="preserve"> est présumée et elle peut être aussi imperceptible que l'oubli par le dernier représentant d'une nation autochtone d’un savoir secret.</w:t>
      </w:r>
    </w:p>
    <w:p w14:paraId="1940FCC4" w14:textId="77777777" w:rsidR="0084489F" w:rsidRDefault="00110FE6" w:rsidP="00FA3C06">
      <w:pPr>
        <w:pStyle w:val="BodyText"/>
        <w:keepNext/>
      </w:pPr>
      <w:r>
        <w:rPr>
          <w:b/>
          <w:bCs/>
        </w:rPr>
        <w:lastRenderedPageBreak/>
        <w:t>Exemples</w:t>
      </w:r>
    </w:p>
    <w:p w14:paraId="6D2DA14D" w14:textId="77777777" w:rsidR="0084489F" w:rsidRDefault="00110FE6" w:rsidP="00806324">
      <w:pPr>
        <w:keepNext/>
        <w:numPr>
          <w:ilvl w:val="0"/>
          <w:numId w:val="212"/>
        </w:numPr>
      </w:pPr>
      <w:r>
        <w:t>La mort de Mozart (</w:t>
      </w:r>
      <w:r>
        <w:rPr>
          <w:rStyle w:val="VerbatimChar"/>
        </w:rPr>
        <w:t>E69_Mort</w:t>
      </w:r>
      <w:r>
        <w:t>) a mis fin à l’existence de (</w:t>
      </w:r>
      <w:r>
        <w:rPr>
          <w:rStyle w:val="VerbatimChar"/>
        </w:rPr>
        <w:t>P93_a_mis_fin_à_l’existence_de</w:t>
      </w:r>
      <w:r>
        <w:t>) Mozart (</w:t>
      </w:r>
      <w:r>
        <w:rPr>
          <w:rStyle w:val="VerbatimChar"/>
        </w:rPr>
        <w:t>E21_Personne</w:t>
      </w:r>
      <w:r>
        <w:t>) (Deutsch, 1965)</w:t>
      </w:r>
    </w:p>
    <w:p w14:paraId="0A91E65C" w14:textId="77777777" w:rsidR="0084489F" w:rsidRDefault="00110FE6">
      <w:pPr>
        <w:pStyle w:val="FirstParagraph"/>
      </w:pPr>
      <w:r>
        <w:rPr>
          <w:b/>
          <w:bCs/>
        </w:rPr>
        <w:t>Logique</w:t>
      </w:r>
    </w:p>
    <w:p w14:paraId="1A3F13BE" w14:textId="77777777" w:rsidR="0084489F" w:rsidRDefault="00110FE6">
      <w:pPr>
        <w:pStyle w:val="BodyText"/>
      </w:pPr>
      <w:r w:rsidRPr="1B9E7434">
        <w:rPr>
          <w:lang w:val="fr-FR"/>
        </w:rPr>
        <w:t>P93(x,y) ⇒ E64(x)</w:t>
      </w:r>
    </w:p>
    <w:p w14:paraId="00E51BF8" w14:textId="77777777" w:rsidR="0084489F" w:rsidRDefault="00110FE6">
      <w:pPr>
        <w:pStyle w:val="BodyText"/>
      </w:pPr>
      <w:r w:rsidRPr="1B9E7434">
        <w:rPr>
          <w:lang w:val="fr-FR"/>
        </w:rPr>
        <w:t>P93(x,y) ⇒ E77(y)</w:t>
      </w:r>
    </w:p>
    <w:p w14:paraId="706EB88E" w14:textId="77777777" w:rsidR="0084489F" w:rsidRDefault="00110FE6">
      <w:pPr>
        <w:pStyle w:val="BodyText"/>
      </w:pPr>
      <w:r w:rsidRPr="1B9E7434">
        <w:rPr>
          <w:lang w:val="fr-FR"/>
        </w:rPr>
        <w:t>P93(x,y) ⇒ P12(x,y)</w:t>
      </w:r>
    </w:p>
    <w:p w14:paraId="62AB1A05" w14:textId="77777777" w:rsidR="0084489F" w:rsidRDefault="00110FE6">
      <w:pPr>
        <w:pStyle w:val="BodyText"/>
      </w:pPr>
      <w:r>
        <w:rPr>
          <w:b/>
          <w:bCs/>
        </w:rPr>
        <w:t>Propriétés</w:t>
      </w:r>
    </w:p>
    <w:p w14:paraId="59120F8D" w14:textId="77777777" w:rsidR="0084489F" w:rsidRDefault="00110FE6">
      <w:pPr>
        <w:pStyle w:val="BlockText"/>
      </w:pPr>
      <w:r>
        <w:rPr>
          <w:b/>
          <w:bCs/>
          <w:i/>
          <w:iCs/>
        </w:rPr>
        <w:t>Note de traduction</w:t>
      </w:r>
    </w:p>
    <w:p w14:paraId="24EB76FB" w14:textId="77777777" w:rsidR="0084489F" w:rsidRDefault="00110FE6">
      <w:pPr>
        <w:pStyle w:val="BlockText"/>
      </w:pPr>
      <w:r>
        <w:rPr>
          <w:b/>
          <w:bCs/>
          <w:i/>
          <w:iCs/>
        </w:rPr>
        <w:t>Références</w:t>
      </w:r>
    </w:p>
    <w:p w14:paraId="78403E17" w14:textId="77777777" w:rsidR="0084489F" w:rsidRDefault="0084489F">
      <w:pPr>
        <w:pStyle w:val="BlockText"/>
      </w:pPr>
    </w:p>
    <w:p w14:paraId="539B006D" w14:textId="77777777" w:rsidR="0084489F" w:rsidRDefault="00110FE6">
      <w:pPr>
        <w:pStyle w:val="Heading2"/>
      </w:pPr>
      <w:bookmarkStart w:id="426" w:name="_Toc176864593"/>
      <w:bookmarkStart w:id="427" w:name="p94-a-cree-(a-ete-cree-par)"/>
      <w:bookmarkEnd w:id="425"/>
      <w:r>
        <w:t>P94 a créé (a été créé par)</w:t>
      </w:r>
      <w:bookmarkEnd w:id="426"/>
    </w:p>
    <w:p w14:paraId="7C6C2A0A" w14:textId="77777777" w:rsidR="0084489F" w:rsidRDefault="00110FE6">
      <w:pPr>
        <w:pStyle w:val="FirstParagraph"/>
      </w:pPr>
      <w:r>
        <w:rPr>
          <w:b/>
          <w:bCs/>
        </w:rPr>
        <w:t>Domaine</w:t>
      </w:r>
    </w:p>
    <w:p w14:paraId="5C95B6AB" w14:textId="77777777" w:rsidR="0084489F" w:rsidRDefault="00110FE6">
      <w:pPr>
        <w:pStyle w:val="BodyText"/>
      </w:pPr>
      <w:r>
        <w:rPr>
          <w:rStyle w:val="VerbatimChar"/>
        </w:rPr>
        <w:t>E65_Création</w:t>
      </w:r>
    </w:p>
    <w:p w14:paraId="768DB3D5" w14:textId="77777777" w:rsidR="0084489F" w:rsidRDefault="00110FE6">
      <w:pPr>
        <w:pStyle w:val="BodyText"/>
      </w:pPr>
      <w:r>
        <w:rPr>
          <w:b/>
          <w:bCs/>
        </w:rPr>
        <w:t>Portée</w:t>
      </w:r>
    </w:p>
    <w:p w14:paraId="3538D9EE" w14:textId="77777777" w:rsidR="0084489F" w:rsidRDefault="00110FE6">
      <w:pPr>
        <w:pStyle w:val="BodyText"/>
      </w:pPr>
      <w:r>
        <w:rPr>
          <w:rStyle w:val="VerbatimChar"/>
        </w:rPr>
        <w:t>E28_Objet_conceptuel</w:t>
      </w:r>
    </w:p>
    <w:p w14:paraId="610D5A7F" w14:textId="77777777" w:rsidR="0084489F" w:rsidRDefault="00110FE6">
      <w:pPr>
        <w:pStyle w:val="BodyText"/>
      </w:pPr>
      <w:r>
        <w:rPr>
          <w:b/>
          <w:bCs/>
        </w:rPr>
        <w:t>Sous-propriété de</w:t>
      </w:r>
    </w:p>
    <w:p w14:paraId="5855AE93" w14:textId="77777777" w:rsidR="0084489F" w:rsidRDefault="00110FE6">
      <w:pPr>
        <w:pStyle w:val="BodyText"/>
      </w:pPr>
      <w:r w:rsidRPr="1B9E7434">
        <w:rPr>
          <w:rStyle w:val="VerbatimChar"/>
          <w:lang w:val="fr-FR"/>
        </w:rPr>
        <w:t>E63_Début_d'existence</w:t>
      </w:r>
      <w:r w:rsidRPr="1B9E7434">
        <w:rPr>
          <w:lang w:val="fr-FR"/>
        </w:rPr>
        <w:t xml:space="preserve">. </w:t>
      </w:r>
      <w:r w:rsidRPr="1B9E7434">
        <w:rPr>
          <w:rStyle w:val="VerbatimChar"/>
          <w:lang w:val="fr-FR"/>
        </w:rPr>
        <w:t>P92_a_fait_exister (a_commencé_à_exister_par)</w:t>
      </w:r>
      <w:r w:rsidRPr="1B9E7434">
        <w:rPr>
          <w:lang w:val="fr-FR"/>
        </w:rPr>
        <w:t xml:space="preserve"> : </w:t>
      </w:r>
      <w:r w:rsidRPr="1B9E7434">
        <w:rPr>
          <w:rStyle w:val="VerbatimChar"/>
          <w:lang w:val="fr-FR"/>
        </w:rPr>
        <w:t>E77_Entité_persistante</w:t>
      </w:r>
    </w:p>
    <w:p w14:paraId="6A172194" w14:textId="77777777" w:rsidR="0084489F" w:rsidRDefault="00110FE6">
      <w:pPr>
        <w:pStyle w:val="BodyText"/>
      </w:pPr>
      <w:r>
        <w:rPr>
          <w:b/>
          <w:bCs/>
        </w:rPr>
        <w:t>Super-propriété de</w:t>
      </w:r>
    </w:p>
    <w:p w14:paraId="1470255A" w14:textId="77777777" w:rsidR="0084489F" w:rsidRDefault="00110FE6">
      <w:pPr>
        <w:pStyle w:val="BodyText"/>
      </w:pPr>
      <w:r w:rsidRPr="1B9E7434">
        <w:rPr>
          <w:rStyle w:val="VerbatimChar"/>
          <w:lang w:val="fr-FR"/>
        </w:rPr>
        <w:t>E83_Création_de_type</w:t>
      </w:r>
      <w:r w:rsidRPr="1B9E7434">
        <w:rPr>
          <w:lang w:val="fr-FR"/>
        </w:rPr>
        <w:t xml:space="preserve">. </w:t>
      </w:r>
      <w:r w:rsidRPr="1B9E7434">
        <w:rPr>
          <w:rStyle w:val="VerbatimChar"/>
          <w:lang w:val="fr-FR"/>
        </w:rPr>
        <w:t>P135_a_créé_le_type (a_été_créé_par)</w:t>
      </w:r>
      <w:r w:rsidRPr="1B9E7434">
        <w:rPr>
          <w:lang w:val="fr-FR"/>
        </w:rPr>
        <w:t xml:space="preserve"> : </w:t>
      </w:r>
      <w:r w:rsidRPr="1B9E7434">
        <w:rPr>
          <w:rStyle w:val="VerbatimChar"/>
          <w:lang w:val="fr-FR"/>
        </w:rPr>
        <w:t>E55_Type</w:t>
      </w:r>
    </w:p>
    <w:p w14:paraId="2D55A777" w14:textId="77777777" w:rsidR="0084489F" w:rsidRDefault="00110FE6">
      <w:pPr>
        <w:pStyle w:val="BodyText"/>
      </w:pPr>
      <w:r>
        <w:rPr>
          <w:b/>
          <w:bCs/>
        </w:rPr>
        <w:t>Quantification</w:t>
      </w:r>
    </w:p>
    <w:p w14:paraId="4A065BCB" w14:textId="77777777" w:rsidR="0084489F" w:rsidRDefault="00110FE6">
      <w:pPr>
        <w:pStyle w:val="BodyText"/>
      </w:pPr>
      <w:r w:rsidRPr="1B9E7434">
        <w:rPr>
          <w:lang w:val="fr-FR"/>
        </w:rPr>
        <w:t>un à plusieurs, nécessaire, dépendant (1,n:1,1)</w:t>
      </w:r>
    </w:p>
    <w:p w14:paraId="70FC533C" w14:textId="77777777" w:rsidR="0084489F" w:rsidRDefault="00110FE6">
      <w:pPr>
        <w:pStyle w:val="BodyText"/>
      </w:pPr>
      <w:r>
        <w:rPr>
          <w:b/>
          <w:bCs/>
        </w:rPr>
        <w:t>Note d’application</w:t>
      </w:r>
    </w:p>
    <w:p w14:paraId="1B12127F" w14:textId="77777777" w:rsidR="0084489F" w:rsidRDefault="00110FE6">
      <w:pPr>
        <w:pStyle w:val="BodyText"/>
      </w:pPr>
      <w:r>
        <w:t xml:space="preserve">Cette propriété lie une instance de </w:t>
      </w:r>
      <w:r>
        <w:rPr>
          <w:rStyle w:val="VerbatimChar"/>
        </w:rPr>
        <w:t>E65_Création</w:t>
      </w:r>
      <w:r>
        <w:t xml:space="preserve"> à une instance de </w:t>
      </w:r>
      <w:r>
        <w:rPr>
          <w:rStyle w:val="VerbatimChar"/>
        </w:rPr>
        <w:t>E28_Objet_conceptuel</w:t>
      </w:r>
      <w:r>
        <w:t xml:space="preserve"> qu’elle a créé.</w:t>
      </w:r>
    </w:p>
    <w:p w14:paraId="1F5C429E" w14:textId="77777777" w:rsidR="0084489F" w:rsidRDefault="00110FE6">
      <w:pPr>
        <w:pStyle w:val="BodyText"/>
      </w:pPr>
      <w:r>
        <w:t xml:space="preserve">Elle représente l'acte de concevoir le contenu intellectuel de l’instance de </w:t>
      </w:r>
      <w:r>
        <w:rPr>
          <w:rStyle w:val="VerbatimChar"/>
        </w:rPr>
        <w:t>E28_Objet_conceptuel</w:t>
      </w:r>
      <w:r>
        <w:t xml:space="preserve"> [n.d.t. créé par l’instance de </w:t>
      </w:r>
      <w:r>
        <w:rPr>
          <w:rStyle w:val="VerbatimChar"/>
        </w:rPr>
        <w:t>E65_Création</w:t>
      </w:r>
      <w:r>
        <w:t xml:space="preserve">]. Cette propriété ne représente pas l’acte de créer le premier support physique de cette instance de </w:t>
      </w:r>
      <w:r>
        <w:rPr>
          <w:rStyle w:val="VerbatimChar"/>
        </w:rPr>
        <w:t>E28_Objet_conceptuel</w:t>
      </w:r>
      <w:r>
        <w:t>. Par exemple, elle réfère à la composition d’un poème, et non pas sa rédaction sur papier.</w:t>
      </w:r>
    </w:p>
    <w:p w14:paraId="31746EE2" w14:textId="77777777" w:rsidR="0084489F" w:rsidRDefault="00110FE6">
      <w:pPr>
        <w:pStyle w:val="BodyText"/>
      </w:pPr>
      <w:r>
        <w:rPr>
          <w:b/>
          <w:bCs/>
        </w:rPr>
        <w:t>Exemples</w:t>
      </w:r>
    </w:p>
    <w:p w14:paraId="5ACE9284" w14:textId="77777777" w:rsidR="0084489F" w:rsidRDefault="00110FE6" w:rsidP="00806324">
      <w:pPr>
        <w:numPr>
          <w:ilvl w:val="0"/>
          <w:numId w:val="213"/>
        </w:numPr>
      </w:pPr>
      <w:r>
        <w:t xml:space="preserve">La composition de </w:t>
      </w:r>
      <w:r>
        <w:rPr>
          <w:i/>
          <w:iCs/>
        </w:rPr>
        <w:t>The Four Friends</w:t>
      </w:r>
      <w:r>
        <w:t xml:space="preserve"> par A. A. Milne (</w:t>
      </w:r>
      <w:r>
        <w:rPr>
          <w:rStyle w:val="VerbatimChar"/>
        </w:rPr>
        <w:t>E65_Création</w:t>
      </w:r>
      <w:r>
        <w:t>) a créé (</w:t>
      </w:r>
      <w:r>
        <w:rPr>
          <w:rStyle w:val="VerbatimChar"/>
        </w:rPr>
        <w:t>P94_a_créé</w:t>
      </w:r>
      <w:r>
        <w:t xml:space="preserve">) </w:t>
      </w:r>
      <w:r>
        <w:rPr>
          <w:i/>
          <w:iCs/>
        </w:rPr>
        <w:t>The Four Friends</w:t>
      </w:r>
      <w:r>
        <w:t xml:space="preserve"> par A. A. Milne (</w:t>
      </w:r>
      <w:r>
        <w:rPr>
          <w:rStyle w:val="VerbatimChar"/>
        </w:rPr>
        <w:t>E33_Objet_linguistique</w:t>
      </w:r>
      <w:r>
        <w:t>) (Milne, 2012)</w:t>
      </w:r>
    </w:p>
    <w:p w14:paraId="41D7B78E" w14:textId="77777777" w:rsidR="0084489F" w:rsidRDefault="00110FE6">
      <w:pPr>
        <w:pStyle w:val="FirstParagraph"/>
      </w:pPr>
      <w:r>
        <w:rPr>
          <w:b/>
          <w:bCs/>
        </w:rPr>
        <w:t>Logique</w:t>
      </w:r>
    </w:p>
    <w:p w14:paraId="0BA9A81E" w14:textId="77777777" w:rsidR="0084489F" w:rsidRDefault="00110FE6">
      <w:pPr>
        <w:pStyle w:val="BodyText"/>
      </w:pPr>
      <w:r w:rsidRPr="1B9E7434">
        <w:rPr>
          <w:lang w:val="fr-FR"/>
        </w:rPr>
        <w:t>P94(x,y) ⇒ E65(x)</w:t>
      </w:r>
    </w:p>
    <w:p w14:paraId="06A33F19" w14:textId="77777777" w:rsidR="0084489F" w:rsidRDefault="00110FE6">
      <w:pPr>
        <w:pStyle w:val="BodyText"/>
      </w:pPr>
      <w:r w:rsidRPr="1B9E7434">
        <w:rPr>
          <w:lang w:val="fr-FR"/>
        </w:rPr>
        <w:lastRenderedPageBreak/>
        <w:t>P94(x,y) ⇒ E28(y)</w:t>
      </w:r>
    </w:p>
    <w:p w14:paraId="3FB85E66" w14:textId="77777777" w:rsidR="0084489F" w:rsidRDefault="00110FE6">
      <w:pPr>
        <w:pStyle w:val="BodyText"/>
      </w:pPr>
      <w:r w:rsidRPr="1B9E7434">
        <w:rPr>
          <w:lang w:val="fr-FR"/>
        </w:rPr>
        <w:t>P94(x,y) ⇒ P92(x,y)</w:t>
      </w:r>
    </w:p>
    <w:p w14:paraId="1F0A515D" w14:textId="77777777" w:rsidR="0084489F" w:rsidRDefault="00110FE6">
      <w:pPr>
        <w:pStyle w:val="BodyText"/>
      </w:pPr>
      <w:r>
        <w:rPr>
          <w:b/>
          <w:bCs/>
        </w:rPr>
        <w:t>Propriétés</w:t>
      </w:r>
    </w:p>
    <w:p w14:paraId="69E01C3F" w14:textId="77777777" w:rsidR="0084489F" w:rsidRDefault="00110FE6">
      <w:pPr>
        <w:pStyle w:val="BlockText"/>
      </w:pPr>
      <w:r>
        <w:rPr>
          <w:b/>
          <w:bCs/>
          <w:i/>
          <w:iCs/>
        </w:rPr>
        <w:t>Note de traduction</w:t>
      </w:r>
    </w:p>
    <w:p w14:paraId="55A89752" w14:textId="77777777" w:rsidR="0084489F" w:rsidRDefault="00110FE6">
      <w:pPr>
        <w:pStyle w:val="BlockText"/>
      </w:pPr>
      <w:r>
        <w:rPr>
          <w:b/>
          <w:bCs/>
          <w:i/>
          <w:iCs/>
        </w:rPr>
        <w:t>Références</w:t>
      </w:r>
    </w:p>
    <w:p w14:paraId="3FC1F6FC" w14:textId="77777777" w:rsidR="0084489F" w:rsidRDefault="0084489F">
      <w:pPr>
        <w:pStyle w:val="BlockText"/>
      </w:pPr>
    </w:p>
    <w:p w14:paraId="0F2D055B" w14:textId="77777777" w:rsidR="0084489F" w:rsidRDefault="00110FE6">
      <w:pPr>
        <w:pStyle w:val="Heading2"/>
      </w:pPr>
      <w:bookmarkStart w:id="428" w:name="_Toc176864594"/>
      <w:bookmarkStart w:id="429" w:name="p95-a-fonde-(a-ete-fonde-par)"/>
      <w:bookmarkEnd w:id="427"/>
      <w:r>
        <w:t>P95 a fondé (a été fondé par)</w:t>
      </w:r>
      <w:bookmarkEnd w:id="428"/>
    </w:p>
    <w:p w14:paraId="4D332570" w14:textId="77777777" w:rsidR="0084489F" w:rsidRDefault="00110FE6">
      <w:pPr>
        <w:pStyle w:val="FirstParagraph"/>
      </w:pPr>
      <w:r>
        <w:rPr>
          <w:b/>
          <w:bCs/>
        </w:rPr>
        <w:t>Domaine</w:t>
      </w:r>
    </w:p>
    <w:p w14:paraId="3E300810" w14:textId="77777777" w:rsidR="0084489F" w:rsidRDefault="00110FE6">
      <w:pPr>
        <w:pStyle w:val="BodyText"/>
      </w:pPr>
      <w:r>
        <w:rPr>
          <w:rStyle w:val="VerbatimChar"/>
        </w:rPr>
        <w:t>E66_Formation</w:t>
      </w:r>
    </w:p>
    <w:p w14:paraId="53B22780" w14:textId="77777777" w:rsidR="0084489F" w:rsidRDefault="00110FE6">
      <w:pPr>
        <w:pStyle w:val="BodyText"/>
      </w:pPr>
      <w:r>
        <w:rPr>
          <w:b/>
          <w:bCs/>
        </w:rPr>
        <w:t>Portée</w:t>
      </w:r>
    </w:p>
    <w:p w14:paraId="74A24398" w14:textId="77777777" w:rsidR="0084489F" w:rsidRDefault="00110FE6">
      <w:pPr>
        <w:pStyle w:val="BodyText"/>
      </w:pPr>
      <w:r>
        <w:rPr>
          <w:rStyle w:val="VerbatimChar"/>
        </w:rPr>
        <w:t>E74_Groupe</w:t>
      </w:r>
    </w:p>
    <w:p w14:paraId="10082638" w14:textId="77777777" w:rsidR="0084489F" w:rsidRDefault="00110FE6">
      <w:pPr>
        <w:pStyle w:val="BodyText"/>
      </w:pPr>
      <w:r>
        <w:rPr>
          <w:b/>
          <w:bCs/>
        </w:rPr>
        <w:t>Sous-propriété de</w:t>
      </w:r>
    </w:p>
    <w:p w14:paraId="23AED989" w14:textId="77777777" w:rsidR="0084489F" w:rsidRDefault="00110FE6">
      <w:pPr>
        <w:pStyle w:val="BodyText"/>
      </w:pPr>
      <w:r w:rsidRPr="1B9E7434">
        <w:rPr>
          <w:rStyle w:val="VerbatimChar"/>
          <w:lang w:val="fr-FR"/>
        </w:rPr>
        <w:t>E63_Début_d’existence</w:t>
      </w:r>
      <w:r w:rsidRPr="1B9E7434">
        <w:rPr>
          <w:lang w:val="fr-FR"/>
        </w:rPr>
        <w:t xml:space="preserve">. </w:t>
      </w:r>
      <w:r w:rsidRPr="1B9E7434">
        <w:rPr>
          <w:rStyle w:val="VerbatimChar"/>
          <w:lang w:val="fr-FR"/>
        </w:rPr>
        <w:t>P92_a_fait_exister (a_commencé_à_exister_par)</w:t>
      </w:r>
      <w:r w:rsidRPr="1B9E7434">
        <w:rPr>
          <w:lang w:val="fr-FR"/>
        </w:rPr>
        <w:t xml:space="preserve"> : </w:t>
      </w:r>
      <w:r w:rsidRPr="1B9E7434">
        <w:rPr>
          <w:rStyle w:val="VerbatimChar"/>
          <w:lang w:val="fr-FR"/>
        </w:rPr>
        <w:t>E77_Entité_persistante</w:t>
      </w:r>
    </w:p>
    <w:p w14:paraId="05DC102D" w14:textId="77777777" w:rsidR="0084489F" w:rsidRDefault="00110FE6">
      <w:pPr>
        <w:pStyle w:val="BodyText"/>
      </w:pPr>
      <w:r>
        <w:rPr>
          <w:b/>
          <w:bCs/>
        </w:rPr>
        <w:t>Super-propriété de</w:t>
      </w:r>
    </w:p>
    <w:p w14:paraId="666532B0" w14:textId="77777777" w:rsidR="0084489F" w:rsidRDefault="00110FE6">
      <w:pPr>
        <w:pStyle w:val="BodyText"/>
      </w:pPr>
      <w:r>
        <w:rPr>
          <w:b/>
          <w:bCs/>
        </w:rPr>
        <w:t>Quantification</w:t>
      </w:r>
    </w:p>
    <w:p w14:paraId="53566772" w14:textId="77777777" w:rsidR="0084489F" w:rsidRDefault="00110FE6">
      <w:pPr>
        <w:pStyle w:val="BodyText"/>
      </w:pPr>
      <w:r w:rsidRPr="1B9E7434">
        <w:rPr>
          <w:lang w:val="fr-FR"/>
        </w:rPr>
        <w:t>un à plusieurs, nécessaire, dépendant (1,n:1,1)</w:t>
      </w:r>
    </w:p>
    <w:p w14:paraId="34CB74A1" w14:textId="77777777" w:rsidR="0084489F" w:rsidRDefault="00110FE6">
      <w:pPr>
        <w:pStyle w:val="BodyText"/>
      </w:pPr>
      <w:r>
        <w:rPr>
          <w:b/>
          <w:bCs/>
        </w:rPr>
        <w:t>Note d’application</w:t>
      </w:r>
    </w:p>
    <w:p w14:paraId="7C4613C2" w14:textId="77777777" w:rsidR="0084489F" w:rsidRDefault="00110FE6">
      <w:pPr>
        <w:pStyle w:val="BodyText"/>
      </w:pPr>
      <w:r w:rsidRPr="1B9E7434">
        <w:rPr>
          <w:lang w:val="fr-FR"/>
        </w:rPr>
        <w:t xml:space="preserve">Cette propriété lie une instance de </w:t>
      </w:r>
      <w:r w:rsidRPr="1B9E7434">
        <w:rPr>
          <w:rStyle w:val="VerbatimChar"/>
          <w:lang w:val="fr-FR"/>
        </w:rPr>
        <w:t>E66_Formation</w:t>
      </w:r>
      <w:r w:rsidRPr="1B9E7434">
        <w:rPr>
          <w:lang w:val="fr-FR"/>
        </w:rPr>
        <w:t xml:space="preserve"> à l’instance de </w:t>
      </w:r>
      <w:r w:rsidRPr="1B9E7434">
        <w:rPr>
          <w:rStyle w:val="VerbatimChar"/>
          <w:lang w:val="fr-FR"/>
        </w:rPr>
        <w:t>E74_Groupe</w:t>
      </w:r>
      <w:r w:rsidRPr="1B9E7434">
        <w:rPr>
          <w:lang w:val="fr-FR"/>
        </w:rPr>
        <w:t xml:space="preserve"> qu’elle a fondée.</w:t>
      </w:r>
    </w:p>
    <w:p w14:paraId="2771006D" w14:textId="77777777" w:rsidR="0084489F" w:rsidRDefault="00110FE6">
      <w:pPr>
        <w:pStyle w:val="BodyText"/>
      </w:pPr>
      <w:r>
        <w:rPr>
          <w:b/>
          <w:bCs/>
        </w:rPr>
        <w:t>Exemples</w:t>
      </w:r>
    </w:p>
    <w:p w14:paraId="352A0E52" w14:textId="77777777" w:rsidR="0084489F" w:rsidRDefault="00110FE6" w:rsidP="00806324">
      <w:pPr>
        <w:numPr>
          <w:ilvl w:val="0"/>
          <w:numId w:val="214"/>
        </w:numPr>
      </w:pPr>
      <w:r>
        <w:t>La formation du Groupe d’intérêt spécial CRM lors de la réunion du conseil d’administration du CIDOC en août 2000 (</w:t>
      </w:r>
      <w:r>
        <w:rPr>
          <w:rStyle w:val="VerbatimChar"/>
        </w:rPr>
        <w:t>E66_Formation</w:t>
      </w:r>
      <w:r>
        <w:t>) a fondé (</w:t>
      </w:r>
      <w:r>
        <w:rPr>
          <w:rStyle w:val="VerbatimChar"/>
        </w:rPr>
        <w:t>P95_a_fondé</w:t>
      </w:r>
      <w:r>
        <w:t>) le Groupe d’intérêt spécial CRM (</w:t>
      </w:r>
      <w:r>
        <w:rPr>
          <w:rStyle w:val="VerbatimChar"/>
        </w:rPr>
        <w:t>E74_Groupe</w:t>
      </w:r>
      <w:r>
        <w:t>)</w:t>
      </w:r>
    </w:p>
    <w:p w14:paraId="29742686" w14:textId="77777777" w:rsidR="0084489F" w:rsidRDefault="00110FE6">
      <w:pPr>
        <w:pStyle w:val="FirstParagraph"/>
      </w:pPr>
      <w:r>
        <w:rPr>
          <w:b/>
          <w:bCs/>
        </w:rPr>
        <w:t>Logique</w:t>
      </w:r>
    </w:p>
    <w:p w14:paraId="67F6A823" w14:textId="77777777" w:rsidR="0084489F" w:rsidRDefault="00110FE6">
      <w:pPr>
        <w:pStyle w:val="BodyText"/>
      </w:pPr>
      <w:r w:rsidRPr="1B9E7434">
        <w:rPr>
          <w:lang w:val="fr-FR"/>
        </w:rPr>
        <w:t>P95(x,y) ⇒ E66(x)</w:t>
      </w:r>
    </w:p>
    <w:p w14:paraId="7C9D2F29" w14:textId="77777777" w:rsidR="0084489F" w:rsidRDefault="00110FE6">
      <w:pPr>
        <w:pStyle w:val="BodyText"/>
      </w:pPr>
      <w:r w:rsidRPr="1B9E7434">
        <w:rPr>
          <w:lang w:val="fr-FR"/>
        </w:rPr>
        <w:t>P95(x,y) ⇒ E74(y)</w:t>
      </w:r>
    </w:p>
    <w:p w14:paraId="3527400A" w14:textId="77777777" w:rsidR="0084489F" w:rsidRDefault="00110FE6">
      <w:pPr>
        <w:pStyle w:val="BodyText"/>
      </w:pPr>
      <w:r w:rsidRPr="1B9E7434">
        <w:rPr>
          <w:lang w:val="fr-FR"/>
        </w:rPr>
        <w:t>P95(x,y) ⇒ P92(x,y)</w:t>
      </w:r>
    </w:p>
    <w:p w14:paraId="3DD09B1F" w14:textId="77777777" w:rsidR="0084489F" w:rsidRDefault="00110FE6">
      <w:pPr>
        <w:pStyle w:val="BodyText"/>
      </w:pPr>
      <w:r>
        <w:rPr>
          <w:b/>
          <w:bCs/>
        </w:rPr>
        <w:t>Propriétés</w:t>
      </w:r>
    </w:p>
    <w:p w14:paraId="06DBC5CA" w14:textId="77777777" w:rsidR="0084489F" w:rsidRDefault="00110FE6">
      <w:pPr>
        <w:pStyle w:val="BlockText"/>
      </w:pPr>
      <w:r>
        <w:rPr>
          <w:b/>
          <w:bCs/>
          <w:i/>
          <w:iCs/>
        </w:rPr>
        <w:t>Note de traduction</w:t>
      </w:r>
    </w:p>
    <w:p w14:paraId="383F7B79" w14:textId="77777777" w:rsidR="0084489F" w:rsidRDefault="00110FE6">
      <w:pPr>
        <w:pStyle w:val="BlockText"/>
      </w:pPr>
      <w:r>
        <w:t>L'acronyme « SIG » a été remplacé par l'appellation complète « Groupe d'intérêt spécial » aux fins de cohérence avec la mention plus loin dans l'exemple.</w:t>
      </w:r>
    </w:p>
    <w:p w14:paraId="7670A76C" w14:textId="77777777" w:rsidR="0084489F" w:rsidRDefault="00110FE6">
      <w:pPr>
        <w:pStyle w:val="BlockText"/>
      </w:pPr>
      <w:r>
        <w:rPr>
          <w:b/>
          <w:bCs/>
          <w:i/>
          <w:iCs/>
        </w:rPr>
        <w:t>Références</w:t>
      </w:r>
    </w:p>
    <w:p w14:paraId="5AD3CB99" w14:textId="77777777" w:rsidR="0084489F" w:rsidRDefault="0084489F">
      <w:pPr>
        <w:pStyle w:val="BlockText"/>
      </w:pPr>
    </w:p>
    <w:p w14:paraId="0A36A60B" w14:textId="77777777" w:rsidR="0084489F" w:rsidRDefault="00110FE6">
      <w:pPr>
        <w:pStyle w:val="Heading2"/>
      </w:pPr>
      <w:bookmarkStart w:id="430" w:name="_Toc176864595"/>
      <w:bookmarkStart w:id="431" w:name="p96-de-mere-(a-donne-naissance-a)"/>
      <w:bookmarkEnd w:id="429"/>
      <w:r>
        <w:lastRenderedPageBreak/>
        <w:t>P96 de mère (a donné naissance à)</w:t>
      </w:r>
      <w:bookmarkEnd w:id="430"/>
    </w:p>
    <w:p w14:paraId="6D8CB854" w14:textId="77777777" w:rsidR="0084489F" w:rsidRDefault="00110FE6">
      <w:pPr>
        <w:pStyle w:val="FirstParagraph"/>
      </w:pPr>
      <w:r>
        <w:rPr>
          <w:b/>
          <w:bCs/>
        </w:rPr>
        <w:t>Domaine</w:t>
      </w:r>
    </w:p>
    <w:p w14:paraId="4A886188" w14:textId="77777777" w:rsidR="0084489F" w:rsidRDefault="00110FE6">
      <w:pPr>
        <w:pStyle w:val="BodyText"/>
      </w:pPr>
      <w:r>
        <w:rPr>
          <w:rStyle w:val="VerbatimChar"/>
        </w:rPr>
        <w:t>E67_Naissance</w:t>
      </w:r>
    </w:p>
    <w:p w14:paraId="6D127159" w14:textId="77777777" w:rsidR="0084489F" w:rsidRDefault="00110FE6">
      <w:pPr>
        <w:pStyle w:val="BodyText"/>
      </w:pPr>
      <w:r>
        <w:rPr>
          <w:b/>
          <w:bCs/>
        </w:rPr>
        <w:t>Portée</w:t>
      </w:r>
    </w:p>
    <w:p w14:paraId="77936674" w14:textId="77777777" w:rsidR="0084489F" w:rsidRDefault="00110FE6">
      <w:pPr>
        <w:pStyle w:val="BodyText"/>
      </w:pPr>
      <w:r>
        <w:rPr>
          <w:rStyle w:val="VerbatimChar"/>
        </w:rPr>
        <w:t>E21_Personne</w:t>
      </w:r>
    </w:p>
    <w:p w14:paraId="6CCE6B8C" w14:textId="77777777" w:rsidR="0084489F" w:rsidRDefault="00110FE6">
      <w:pPr>
        <w:pStyle w:val="BodyText"/>
      </w:pPr>
      <w:r>
        <w:rPr>
          <w:b/>
          <w:bCs/>
        </w:rPr>
        <w:t>Sous-propriété de</w:t>
      </w:r>
    </w:p>
    <w:p w14:paraId="4600B9FE"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P11_a_eu_pour_actant_participant (a_participé_à)</w:t>
      </w:r>
      <w:r w:rsidRPr="1B9E7434">
        <w:rPr>
          <w:lang w:val="fr-FR"/>
        </w:rPr>
        <w:t xml:space="preserve"> : </w:t>
      </w:r>
      <w:r w:rsidRPr="1B9E7434">
        <w:rPr>
          <w:rStyle w:val="VerbatimChar"/>
          <w:lang w:val="fr-FR"/>
        </w:rPr>
        <w:t>E39_Actant</w:t>
      </w:r>
    </w:p>
    <w:p w14:paraId="24EC20EA" w14:textId="77777777" w:rsidR="0084489F" w:rsidRDefault="00110FE6">
      <w:pPr>
        <w:pStyle w:val="BodyText"/>
      </w:pPr>
      <w:r>
        <w:rPr>
          <w:b/>
          <w:bCs/>
        </w:rPr>
        <w:t>Super-propriété de</w:t>
      </w:r>
    </w:p>
    <w:p w14:paraId="11B76A1B" w14:textId="77777777" w:rsidR="0084489F" w:rsidRDefault="00110FE6">
      <w:pPr>
        <w:pStyle w:val="BodyText"/>
      </w:pPr>
      <w:r>
        <w:rPr>
          <w:b/>
          <w:bCs/>
        </w:rPr>
        <w:t>Quantification</w:t>
      </w:r>
    </w:p>
    <w:p w14:paraId="446E5105" w14:textId="77777777" w:rsidR="0084489F" w:rsidRDefault="00110FE6">
      <w:pPr>
        <w:pStyle w:val="BodyText"/>
      </w:pPr>
      <w:r w:rsidRPr="1B9E7434">
        <w:rPr>
          <w:lang w:val="fr-FR"/>
        </w:rPr>
        <w:t>plusieurs à un, nécessaire (1,1:0,n)</w:t>
      </w:r>
    </w:p>
    <w:p w14:paraId="57270408" w14:textId="77777777" w:rsidR="0084489F" w:rsidRDefault="00110FE6">
      <w:pPr>
        <w:pStyle w:val="BodyText"/>
      </w:pPr>
      <w:r>
        <w:rPr>
          <w:b/>
          <w:bCs/>
        </w:rPr>
        <w:t>Note d’application</w:t>
      </w:r>
    </w:p>
    <w:p w14:paraId="0ED2913C" w14:textId="77777777" w:rsidR="0084489F" w:rsidRDefault="00110FE6">
      <w:pPr>
        <w:pStyle w:val="BodyText"/>
      </w:pPr>
      <w:r>
        <w:t xml:space="preserve">Cette propriété lie une instance de </w:t>
      </w:r>
      <w:r>
        <w:rPr>
          <w:rStyle w:val="VerbatimChar"/>
        </w:rPr>
        <w:t>E67_Naissance</w:t>
      </w:r>
      <w:r>
        <w:t xml:space="preserve"> à une instance de </w:t>
      </w:r>
      <w:r>
        <w:rPr>
          <w:rStyle w:val="VerbatimChar"/>
        </w:rPr>
        <w:t>E21_Personne</w:t>
      </w:r>
      <w:r>
        <w:t xml:space="preserve"> dans le rôle de la mère donnant naissance.</w:t>
      </w:r>
    </w:p>
    <w:p w14:paraId="3F1A549B" w14:textId="77777777" w:rsidR="0084489F" w:rsidRDefault="00110FE6">
      <w:pPr>
        <w:pStyle w:val="BodyText"/>
      </w:pPr>
      <w:r w:rsidRPr="1B9E7434">
        <w:rPr>
          <w:lang w:val="fr-FR"/>
        </w:rPr>
        <w:t xml:space="preserve">À noter que les pères biologiques ne sont pas nécessairement des participants à la naissance (voir </w:t>
      </w:r>
      <w:r w:rsidRPr="1B9E7434">
        <w:rPr>
          <w:rStyle w:val="VerbatimChar"/>
          <w:lang w:val="fr-FR"/>
        </w:rPr>
        <w:t>P97_de_père (a_été_le_père_pour)</w:t>
      </w:r>
      <w:r w:rsidRPr="1B9E7434">
        <w:rPr>
          <w:lang w:val="fr-FR"/>
        </w:rPr>
        <w:t xml:space="preserve">). L'instance de </w:t>
      </w:r>
      <w:r w:rsidRPr="1B9E7434">
        <w:rPr>
          <w:rStyle w:val="VerbatimChar"/>
          <w:lang w:val="fr-FR"/>
        </w:rPr>
        <w:t>E21_Personne</w:t>
      </w:r>
      <w:r w:rsidRPr="1B9E7434">
        <w:rPr>
          <w:lang w:val="fr-FR"/>
        </w:rPr>
        <w:t xml:space="preserve"> en train de naître est liée à l'instance de </w:t>
      </w:r>
      <w:r w:rsidRPr="1B9E7434">
        <w:rPr>
          <w:rStyle w:val="VerbatimChar"/>
          <w:lang w:val="fr-FR"/>
        </w:rPr>
        <w:t>E67_Naissance</w:t>
      </w:r>
      <w:r w:rsidRPr="1B9E7434">
        <w:rPr>
          <w:lang w:val="fr-FR"/>
        </w:rPr>
        <w:t xml:space="preserve"> par la propriété </w:t>
      </w:r>
      <w:r w:rsidRPr="1B9E7434">
        <w:rPr>
          <w:rStyle w:val="VerbatimChar"/>
          <w:lang w:val="fr-FR"/>
        </w:rPr>
        <w:t>P98_a_donné_vie_à (est_né)</w:t>
      </w:r>
      <w:r w:rsidRPr="1B9E7434">
        <w:rPr>
          <w:lang w:val="fr-FR"/>
        </w:rPr>
        <w:t>.</w:t>
      </w:r>
    </w:p>
    <w:p w14:paraId="702CA5C8" w14:textId="77777777" w:rsidR="0084489F" w:rsidRDefault="00110FE6">
      <w:pPr>
        <w:pStyle w:val="BodyText"/>
      </w:pPr>
      <w:r w:rsidRPr="1B9E7434">
        <w:rPr>
          <w:lang w:val="fr-FR"/>
        </w:rPr>
        <w:t>[n.d.t. La propriété P96_de_mère (a_donné_naissance_à)] n’est pas destinée à être utilisée dans le contexte de l’histoire naturelle à l’exception des personnes. Il n’y a pas de méthode explicite pour modéliser la conception et la gestation à moins d’utiliser des extensions.</w:t>
      </w:r>
    </w:p>
    <w:p w14:paraId="7BE0E3F0" w14:textId="77777777" w:rsidR="0084489F" w:rsidRDefault="00110FE6">
      <w:pPr>
        <w:pStyle w:val="BodyText"/>
      </w:pPr>
      <w:r>
        <w:rPr>
          <w:b/>
          <w:bCs/>
        </w:rPr>
        <w:t>Exemples</w:t>
      </w:r>
    </w:p>
    <w:p w14:paraId="7D9558CF" w14:textId="77777777" w:rsidR="0084489F" w:rsidRDefault="00110FE6" w:rsidP="00806324">
      <w:pPr>
        <w:numPr>
          <w:ilvl w:val="0"/>
          <w:numId w:val="215"/>
        </w:numPr>
      </w:pPr>
      <w:r>
        <w:t>La naissance de la reine Elizabeth II (</w:t>
      </w:r>
      <w:r>
        <w:rPr>
          <w:rStyle w:val="VerbatimChar"/>
        </w:rPr>
        <w:t>E67_Naissance</w:t>
      </w:r>
      <w:r>
        <w:t>) par sa mère (</w:t>
      </w:r>
      <w:r>
        <w:rPr>
          <w:rStyle w:val="VerbatimChar"/>
        </w:rPr>
        <w:t>P96_de_mère</w:t>
      </w:r>
      <w:r>
        <w:t>) Sa Majesté la reine Elizabeth, la Reine Mère (</w:t>
      </w:r>
      <w:r>
        <w:rPr>
          <w:rStyle w:val="VerbatimChar"/>
        </w:rPr>
        <w:t>E21_Personne</w:t>
      </w:r>
      <w:r>
        <w:t>) (Parker, 2002)</w:t>
      </w:r>
    </w:p>
    <w:p w14:paraId="657CE952" w14:textId="77777777" w:rsidR="0084489F" w:rsidRDefault="00110FE6">
      <w:pPr>
        <w:pStyle w:val="FirstParagraph"/>
      </w:pPr>
      <w:r>
        <w:rPr>
          <w:b/>
          <w:bCs/>
        </w:rPr>
        <w:t>Logique</w:t>
      </w:r>
    </w:p>
    <w:p w14:paraId="040FCCD4" w14:textId="77777777" w:rsidR="0084489F" w:rsidRDefault="00110FE6">
      <w:pPr>
        <w:pStyle w:val="BodyText"/>
      </w:pPr>
      <w:r w:rsidRPr="1B9E7434">
        <w:rPr>
          <w:lang w:val="fr-FR"/>
        </w:rPr>
        <w:t>P96(x,y) ⇒ E67(x)</w:t>
      </w:r>
    </w:p>
    <w:p w14:paraId="6D3192EA" w14:textId="77777777" w:rsidR="0084489F" w:rsidRDefault="00110FE6">
      <w:pPr>
        <w:pStyle w:val="BodyText"/>
      </w:pPr>
      <w:r w:rsidRPr="1B9E7434">
        <w:rPr>
          <w:lang w:val="fr-FR"/>
        </w:rPr>
        <w:t>P96(x,y) ⇒ E21(y)</w:t>
      </w:r>
    </w:p>
    <w:p w14:paraId="21DE1A2A" w14:textId="77777777" w:rsidR="0084489F" w:rsidRDefault="00110FE6">
      <w:pPr>
        <w:pStyle w:val="BodyText"/>
      </w:pPr>
      <w:r w:rsidRPr="1B9E7434">
        <w:rPr>
          <w:lang w:val="fr-FR"/>
        </w:rPr>
        <w:t>P96(x,y) ⇒ P11(x,y)</w:t>
      </w:r>
    </w:p>
    <w:p w14:paraId="609E7A2C" w14:textId="77777777" w:rsidR="0084489F" w:rsidRDefault="00110FE6">
      <w:pPr>
        <w:pStyle w:val="BodyText"/>
      </w:pPr>
      <w:r>
        <w:rPr>
          <w:b/>
          <w:bCs/>
        </w:rPr>
        <w:t>Propriétés</w:t>
      </w:r>
    </w:p>
    <w:p w14:paraId="3AC1DDAD" w14:textId="77777777" w:rsidR="0084489F" w:rsidRDefault="00110FE6">
      <w:pPr>
        <w:pStyle w:val="BlockText"/>
      </w:pPr>
      <w:r>
        <w:rPr>
          <w:b/>
          <w:bCs/>
          <w:i/>
          <w:iCs/>
        </w:rPr>
        <w:t>Note de traduction</w:t>
      </w:r>
    </w:p>
    <w:p w14:paraId="3A61FAB5" w14:textId="77777777" w:rsidR="0084489F" w:rsidRDefault="00110FE6">
      <w:pPr>
        <w:pStyle w:val="BlockText"/>
      </w:pPr>
      <w:r>
        <w:rPr>
          <w:b/>
          <w:bCs/>
          <w:i/>
          <w:iCs/>
        </w:rPr>
        <w:t>Références</w:t>
      </w:r>
    </w:p>
    <w:p w14:paraId="5BDBC8D2" w14:textId="77777777" w:rsidR="0084489F" w:rsidRDefault="0084489F">
      <w:pPr>
        <w:pStyle w:val="BlockText"/>
      </w:pPr>
    </w:p>
    <w:p w14:paraId="19B3FCAE" w14:textId="77777777" w:rsidR="0084489F" w:rsidRDefault="00110FE6">
      <w:pPr>
        <w:pStyle w:val="Heading2"/>
      </w:pPr>
      <w:bookmarkStart w:id="432" w:name="_Toc176864596"/>
      <w:bookmarkStart w:id="433" w:name="p97-de-pere-(a-ete-le-pere-pour)"/>
      <w:bookmarkEnd w:id="431"/>
      <w:r>
        <w:t>P97 de père (a été le père pour)</w:t>
      </w:r>
      <w:bookmarkEnd w:id="432"/>
    </w:p>
    <w:p w14:paraId="28F15144" w14:textId="77777777" w:rsidR="0084489F" w:rsidRDefault="00110FE6">
      <w:pPr>
        <w:pStyle w:val="FirstParagraph"/>
      </w:pPr>
      <w:r>
        <w:rPr>
          <w:b/>
          <w:bCs/>
        </w:rPr>
        <w:t>Domaine</w:t>
      </w:r>
    </w:p>
    <w:p w14:paraId="4CC75E11" w14:textId="77777777" w:rsidR="0084489F" w:rsidRDefault="00110FE6">
      <w:pPr>
        <w:pStyle w:val="BodyText"/>
      </w:pPr>
      <w:r>
        <w:rPr>
          <w:rStyle w:val="VerbatimChar"/>
        </w:rPr>
        <w:t>E67_Naissance</w:t>
      </w:r>
    </w:p>
    <w:p w14:paraId="17708D24" w14:textId="77777777" w:rsidR="0084489F" w:rsidRDefault="00110FE6" w:rsidP="00FA3C06">
      <w:pPr>
        <w:pStyle w:val="BodyText"/>
        <w:keepNext/>
      </w:pPr>
      <w:r>
        <w:rPr>
          <w:b/>
          <w:bCs/>
        </w:rPr>
        <w:lastRenderedPageBreak/>
        <w:t>Portée</w:t>
      </w:r>
    </w:p>
    <w:p w14:paraId="53E3652F" w14:textId="77777777" w:rsidR="0084489F" w:rsidRDefault="00110FE6" w:rsidP="00FA3C06">
      <w:pPr>
        <w:pStyle w:val="BodyText"/>
        <w:keepNext/>
      </w:pPr>
      <w:r>
        <w:rPr>
          <w:rStyle w:val="VerbatimChar"/>
        </w:rPr>
        <w:t>E21_Personne</w:t>
      </w:r>
    </w:p>
    <w:p w14:paraId="55ADA460" w14:textId="77777777" w:rsidR="0084489F" w:rsidRDefault="00110FE6">
      <w:pPr>
        <w:pStyle w:val="BodyText"/>
      </w:pPr>
      <w:r>
        <w:rPr>
          <w:b/>
          <w:bCs/>
        </w:rPr>
        <w:t>Sous-propriété de</w:t>
      </w:r>
    </w:p>
    <w:p w14:paraId="0187CAB9" w14:textId="77777777" w:rsidR="0084489F" w:rsidRDefault="00110FE6">
      <w:pPr>
        <w:pStyle w:val="BodyText"/>
      </w:pPr>
      <w:r>
        <w:rPr>
          <w:b/>
          <w:bCs/>
        </w:rPr>
        <w:t>Super-propriété de</w:t>
      </w:r>
    </w:p>
    <w:p w14:paraId="5178D87F" w14:textId="77777777" w:rsidR="0084489F" w:rsidRDefault="00110FE6">
      <w:pPr>
        <w:pStyle w:val="BodyText"/>
      </w:pPr>
      <w:r>
        <w:rPr>
          <w:b/>
          <w:bCs/>
        </w:rPr>
        <w:t>Quantification</w:t>
      </w:r>
    </w:p>
    <w:p w14:paraId="2416704F" w14:textId="77777777" w:rsidR="0084489F" w:rsidRDefault="00110FE6">
      <w:pPr>
        <w:pStyle w:val="BodyText"/>
      </w:pPr>
      <w:r w:rsidRPr="1B9E7434">
        <w:rPr>
          <w:lang w:val="fr-FR"/>
        </w:rPr>
        <w:t>plusieurs à un, nécessaire (1,1:0,n)</w:t>
      </w:r>
    </w:p>
    <w:p w14:paraId="0BDF426C" w14:textId="77777777" w:rsidR="0084489F" w:rsidRDefault="00110FE6" w:rsidP="008F22EC">
      <w:pPr>
        <w:pStyle w:val="BodyText"/>
        <w:keepNext/>
      </w:pPr>
      <w:r>
        <w:rPr>
          <w:b/>
          <w:bCs/>
        </w:rPr>
        <w:t>Note d’application</w:t>
      </w:r>
    </w:p>
    <w:p w14:paraId="0F03D3CC" w14:textId="77777777" w:rsidR="0084489F" w:rsidRDefault="00110FE6" w:rsidP="008F22EC">
      <w:pPr>
        <w:pStyle w:val="BodyText"/>
        <w:keepNext/>
      </w:pPr>
      <w:r>
        <w:t xml:space="preserve">Cette propriété lie une instance de </w:t>
      </w:r>
      <w:r>
        <w:rPr>
          <w:rStyle w:val="VerbatimChar"/>
        </w:rPr>
        <w:t>E67_Naissance</w:t>
      </w:r>
      <w:r>
        <w:t xml:space="preserve"> a une instance de </w:t>
      </w:r>
      <w:r>
        <w:rPr>
          <w:rStyle w:val="VerbatimChar"/>
        </w:rPr>
        <w:t>E21_Personne</w:t>
      </w:r>
      <w:r>
        <w:t xml:space="preserve"> dans le rôle du père biologique.</w:t>
      </w:r>
    </w:p>
    <w:p w14:paraId="20E0F32E" w14:textId="77777777" w:rsidR="0084489F" w:rsidRDefault="00110FE6">
      <w:pPr>
        <w:pStyle w:val="BodyText"/>
      </w:pPr>
      <w:r w:rsidRPr="1B9E7434">
        <w:rPr>
          <w:lang w:val="fr-FR"/>
        </w:rPr>
        <w:t>Les pères biologiques ne sont pas considérés comme des participants nécessaires à la naissance, alors que les mères qui accouchent le sont (voir</w:t>
      </w:r>
      <w:hyperlink w:anchor="P96">
        <w:r w:rsidRPr="1B9E7434">
          <w:rPr>
            <w:rStyle w:val="Hyperlink"/>
            <w:lang w:val="fr-FR"/>
          </w:rPr>
          <w:t xml:space="preserve"> </w:t>
        </w:r>
      </w:hyperlink>
      <w:r w:rsidRPr="1B9E7434">
        <w:rPr>
          <w:rStyle w:val="VerbatimChar"/>
          <w:lang w:val="fr-FR"/>
        </w:rPr>
        <w:t>P96_de_mère (a_donné_naissance_à)</w:t>
      </w:r>
      <w:r w:rsidRPr="1B9E7434">
        <w:rPr>
          <w:lang w:val="fr-FR"/>
        </w:rPr>
        <w:t xml:space="preserve">). L'instance de </w:t>
      </w:r>
      <w:r w:rsidRPr="1B9E7434">
        <w:rPr>
          <w:rStyle w:val="VerbatimChar"/>
          <w:lang w:val="fr-FR"/>
        </w:rPr>
        <w:t>E21_Personne</w:t>
      </w:r>
      <w:r w:rsidRPr="1B9E7434">
        <w:rPr>
          <w:lang w:val="fr-FR"/>
        </w:rPr>
        <w:t xml:space="preserve"> en train de naître est liée à l'instance de </w:t>
      </w:r>
      <w:r w:rsidRPr="1B9E7434">
        <w:rPr>
          <w:rStyle w:val="VerbatimChar"/>
          <w:lang w:val="fr-FR"/>
        </w:rPr>
        <w:t>E67_Naissance</w:t>
      </w:r>
      <w:r w:rsidRPr="1B9E7434">
        <w:rPr>
          <w:lang w:val="fr-FR"/>
        </w:rPr>
        <w:t xml:space="preserve"> par la propriété </w:t>
      </w:r>
      <w:r w:rsidRPr="1B9E7434">
        <w:rPr>
          <w:rStyle w:val="VerbatimChar"/>
          <w:lang w:val="fr-FR"/>
        </w:rPr>
        <w:t>P98_a_donné_vie_à (est_né)</w:t>
      </w:r>
      <w:r w:rsidRPr="1B9E7434">
        <w:rPr>
          <w:lang w:val="fr-FR"/>
        </w:rPr>
        <w:t>.</w:t>
      </w:r>
    </w:p>
    <w:p w14:paraId="70DDFCC8" w14:textId="77777777" w:rsidR="0084489F" w:rsidRDefault="00110FE6">
      <w:pPr>
        <w:pStyle w:val="BodyText"/>
      </w:pPr>
      <w:r w:rsidRPr="1B9E7434">
        <w:rPr>
          <w:lang w:val="fr-FR"/>
        </w:rPr>
        <w:t xml:space="preserve">[n.d.t La propriété </w:t>
      </w:r>
      <w:r w:rsidRPr="1B9E7434">
        <w:rPr>
          <w:rStyle w:val="VerbatimChar"/>
          <w:lang w:val="fr-FR"/>
        </w:rPr>
        <w:t>P97_de_père (a_été_le_père_pour)</w:t>
      </w:r>
      <w:r w:rsidRPr="1B9E7434">
        <w:rPr>
          <w:lang w:val="fr-FR"/>
        </w:rPr>
        <w:t>] n’est pas destinée à être utilisée dans le contexte de l’histoire naturelle à l’exception des personnes. Il n’y a pas de méthode explicite pour modéliser la conception et la gestation à moins d’utiliser des extensions.</w:t>
      </w:r>
    </w:p>
    <w:p w14:paraId="0F377307" w14:textId="77777777" w:rsidR="0084489F" w:rsidRDefault="00110FE6">
      <w:pPr>
        <w:pStyle w:val="BodyText"/>
      </w:pPr>
      <w:r>
        <w:t xml:space="preserve">Une instance de </w:t>
      </w:r>
      <w:r>
        <w:rPr>
          <w:rStyle w:val="VerbatimChar"/>
        </w:rPr>
        <w:t>E67_Naissance</w:t>
      </w:r>
      <w:r>
        <w:t xml:space="preserve"> est normalement (mais pas toujours) associée à un seul père biologique.</w:t>
      </w:r>
    </w:p>
    <w:p w14:paraId="5D449C72" w14:textId="77777777" w:rsidR="0084489F" w:rsidRDefault="00110FE6">
      <w:pPr>
        <w:pStyle w:val="BodyText"/>
      </w:pPr>
      <w:r>
        <w:rPr>
          <w:b/>
          <w:bCs/>
        </w:rPr>
        <w:t>Exemples</w:t>
      </w:r>
    </w:p>
    <w:p w14:paraId="2C32B781" w14:textId="77777777" w:rsidR="0084489F" w:rsidRDefault="00110FE6" w:rsidP="00806324">
      <w:pPr>
        <w:numPr>
          <w:ilvl w:val="0"/>
          <w:numId w:val="216"/>
        </w:numPr>
      </w:pPr>
      <w:r>
        <w:t>Le roi George VI (</w:t>
      </w:r>
      <w:r>
        <w:rPr>
          <w:rStyle w:val="VerbatimChar"/>
        </w:rPr>
        <w:t>E21_Personne</w:t>
      </w:r>
      <w:r>
        <w:t>) a été le père pour (</w:t>
      </w:r>
      <w:r>
        <w:rPr>
          <w:rStyle w:val="VerbatimChar"/>
        </w:rPr>
        <w:t>P97i_a_été_le_père_pour</w:t>
      </w:r>
      <w:r>
        <w:t>) la naissance de la reine Élizabeth II (</w:t>
      </w:r>
      <w:r>
        <w:rPr>
          <w:rStyle w:val="VerbatimChar"/>
        </w:rPr>
        <w:t>E67_Naissance</w:t>
      </w:r>
      <w:r>
        <w:t>) (Parker, 2002)</w:t>
      </w:r>
    </w:p>
    <w:p w14:paraId="30B68D88" w14:textId="77777777" w:rsidR="0084489F" w:rsidRDefault="00110FE6">
      <w:pPr>
        <w:pStyle w:val="FirstParagraph"/>
      </w:pPr>
      <w:r>
        <w:rPr>
          <w:b/>
          <w:bCs/>
        </w:rPr>
        <w:t>Logique</w:t>
      </w:r>
    </w:p>
    <w:p w14:paraId="666060B0" w14:textId="77777777" w:rsidR="0084489F" w:rsidRDefault="00110FE6">
      <w:pPr>
        <w:pStyle w:val="BodyText"/>
      </w:pPr>
      <w:r w:rsidRPr="1B9E7434">
        <w:rPr>
          <w:lang w:val="fr-FR"/>
        </w:rPr>
        <w:t>P97(x,y) ⇒ E67(x)</w:t>
      </w:r>
    </w:p>
    <w:p w14:paraId="1A6A2851" w14:textId="77777777" w:rsidR="0084489F" w:rsidRDefault="00110FE6">
      <w:pPr>
        <w:pStyle w:val="BodyText"/>
      </w:pPr>
      <w:r w:rsidRPr="1B9E7434">
        <w:rPr>
          <w:lang w:val="fr-FR"/>
        </w:rPr>
        <w:t>P97(x,y) ⇒ E21(y)</w:t>
      </w:r>
    </w:p>
    <w:p w14:paraId="75995FDF" w14:textId="77777777" w:rsidR="0084489F" w:rsidRDefault="00110FE6">
      <w:pPr>
        <w:pStyle w:val="BodyText"/>
      </w:pPr>
      <w:r>
        <w:rPr>
          <w:b/>
          <w:bCs/>
        </w:rPr>
        <w:t>Propriétés</w:t>
      </w:r>
    </w:p>
    <w:p w14:paraId="17FFF3E9" w14:textId="77777777" w:rsidR="0084489F" w:rsidRDefault="00110FE6">
      <w:pPr>
        <w:pStyle w:val="BlockText"/>
      </w:pPr>
      <w:r>
        <w:rPr>
          <w:b/>
          <w:bCs/>
          <w:i/>
          <w:iCs/>
        </w:rPr>
        <w:t>Note de traduction</w:t>
      </w:r>
    </w:p>
    <w:p w14:paraId="513CFBE6" w14:textId="77777777" w:rsidR="0084489F" w:rsidRDefault="00110FE6">
      <w:pPr>
        <w:pStyle w:val="BlockText"/>
      </w:pPr>
      <w:r>
        <w:rPr>
          <w:b/>
          <w:bCs/>
          <w:i/>
          <w:iCs/>
        </w:rPr>
        <w:t>Références</w:t>
      </w:r>
    </w:p>
    <w:p w14:paraId="2B98809F" w14:textId="77777777" w:rsidR="0084489F" w:rsidRDefault="0084489F">
      <w:pPr>
        <w:pStyle w:val="BlockText"/>
      </w:pPr>
    </w:p>
    <w:p w14:paraId="148B13FA" w14:textId="77777777" w:rsidR="0084489F" w:rsidRDefault="00110FE6">
      <w:pPr>
        <w:pStyle w:val="Heading2"/>
      </w:pPr>
      <w:bookmarkStart w:id="434" w:name="_Toc176864597"/>
      <w:bookmarkStart w:id="435" w:name="p98-a-donne-vie-a-(est-ne)"/>
      <w:bookmarkEnd w:id="433"/>
      <w:r>
        <w:t>P98 a donné vie à (est né)</w:t>
      </w:r>
      <w:bookmarkEnd w:id="434"/>
    </w:p>
    <w:p w14:paraId="368A2AD9" w14:textId="77777777" w:rsidR="0084489F" w:rsidRDefault="00110FE6">
      <w:pPr>
        <w:pStyle w:val="FirstParagraph"/>
      </w:pPr>
      <w:r>
        <w:rPr>
          <w:b/>
          <w:bCs/>
        </w:rPr>
        <w:t>Domaine</w:t>
      </w:r>
    </w:p>
    <w:p w14:paraId="6D9A962E" w14:textId="77777777" w:rsidR="0084489F" w:rsidRDefault="00110FE6">
      <w:pPr>
        <w:pStyle w:val="BodyText"/>
      </w:pPr>
      <w:r>
        <w:rPr>
          <w:rStyle w:val="VerbatimChar"/>
        </w:rPr>
        <w:t>E67_Naissance</w:t>
      </w:r>
    </w:p>
    <w:p w14:paraId="5E804A43" w14:textId="77777777" w:rsidR="0084489F" w:rsidRDefault="00110FE6">
      <w:pPr>
        <w:pStyle w:val="BodyText"/>
      </w:pPr>
      <w:r>
        <w:rPr>
          <w:b/>
          <w:bCs/>
        </w:rPr>
        <w:t>Portée</w:t>
      </w:r>
    </w:p>
    <w:p w14:paraId="7AADC760" w14:textId="77777777" w:rsidR="0084489F" w:rsidRDefault="00110FE6">
      <w:pPr>
        <w:pStyle w:val="BodyText"/>
      </w:pPr>
      <w:r>
        <w:rPr>
          <w:rStyle w:val="VerbatimChar"/>
        </w:rPr>
        <w:t>E21_Personne</w:t>
      </w:r>
    </w:p>
    <w:p w14:paraId="77C6A24F" w14:textId="77777777" w:rsidR="0084489F" w:rsidRDefault="00110FE6">
      <w:pPr>
        <w:pStyle w:val="BodyText"/>
      </w:pPr>
      <w:r>
        <w:rPr>
          <w:b/>
          <w:bCs/>
        </w:rPr>
        <w:t>Sous-propriété de</w:t>
      </w:r>
    </w:p>
    <w:p w14:paraId="1A4DBB65" w14:textId="77777777" w:rsidR="0084489F" w:rsidRDefault="00110FE6">
      <w:pPr>
        <w:pStyle w:val="BodyText"/>
      </w:pPr>
      <w:r w:rsidRPr="1B9E7434">
        <w:rPr>
          <w:rStyle w:val="VerbatimChar"/>
          <w:lang w:val="fr-FR"/>
        </w:rPr>
        <w:t>E63_Début_d’existence</w:t>
      </w:r>
      <w:r w:rsidRPr="1B9E7434">
        <w:rPr>
          <w:lang w:val="fr-FR"/>
        </w:rPr>
        <w:t xml:space="preserve">. </w:t>
      </w:r>
      <w:r w:rsidRPr="1B9E7434">
        <w:rPr>
          <w:rStyle w:val="VerbatimChar"/>
          <w:lang w:val="fr-FR"/>
        </w:rPr>
        <w:t>P92_a_fait_exister (a_commencé_à_exister_par)</w:t>
      </w:r>
      <w:r w:rsidRPr="1B9E7434">
        <w:rPr>
          <w:lang w:val="fr-FR"/>
        </w:rPr>
        <w:t xml:space="preserve"> : </w:t>
      </w:r>
      <w:r w:rsidRPr="1B9E7434">
        <w:rPr>
          <w:rStyle w:val="VerbatimChar"/>
          <w:lang w:val="fr-FR"/>
        </w:rPr>
        <w:t>E77_Entité_persistante</w:t>
      </w:r>
    </w:p>
    <w:p w14:paraId="331ACD8F" w14:textId="77777777" w:rsidR="0084489F" w:rsidRDefault="00110FE6">
      <w:pPr>
        <w:pStyle w:val="BodyText"/>
      </w:pPr>
      <w:r>
        <w:rPr>
          <w:b/>
          <w:bCs/>
        </w:rPr>
        <w:lastRenderedPageBreak/>
        <w:t>Super-propriété de</w:t>
      </w:r>
    </w:p>
    <w:p w14:paraId="264CC5CF" w14:textId="77777777" w:rsidR="0084489F" w:rsidRDefault="00110FE6">
      <w:pPr>
        <w:pStyle w:val="BodyText"/>
      </w:pPr>
      <w:r>
        <w:rPr>
          <w:b/>
          <w:bCs/>
        </w:rPr>
        <w:t>Quantification</w:t>
      </w:r>
    </w:p>
    <w:p w14:paraId="6A4D6E63" w14:textId="77777777" w:rsidR="0084489F" w:rsidRDefault="00110FE6">
      <w:pPr>
        <w:pStyle w:val="BodyText"/>
      </w:pPr>
      <w:r w:rsidRPr="1B9E7434">
        <w:rPr>
          <w:lang w:val="fr-FR"/>
        </w:rPr>
        <w:t>un à plusieurs, dépendant (0,n:1,1)</w:t>
      </w:r>
    </w:p>
    <w:p w14:paraId="3790C427" w14:textId="77777777" w:rsidR="0084489F" w:rsidRDefault="00110FE6">
      <w:pPr>
        <w:pStyle w:val="BodyText"/>
      </w:pPr>
      <w:r>
        <w:rPr>
          <w:b/>
          <w:bCs/>
        </w:rPr>
        <w:t>Note d’application</w:t>
      </w:r>
    </w:p>
    <w:p w14:paraId="47C1CD21" w14:textId="77777777" w:rsidR="0084489F" w:rsidRDefault="00110FE6">
      <w:pPr>
        <w:pStyle w:val="BodyText"/>
      </w:pPr>
      <w:r>
        <w:t xml:space="preserve">Cette propriété lie une instance de </w:t>
      </w:r>
      <w:r>
        <w:rPr>
          <w:rStyle w:val="VerbatimChar"/>
        </w:rPr>
        <w:t>E67_Naissance</w:t>
      </w:r>
      <w:r>
        <w:t xml:space="preserve"> à une instance de </w:t>
      </w:r>
      <w:r>
        <w:rPr>
          <w:rStyle w:val="VerbatimChar"/>
        </w:rPr>
        <w:t>E21_Personne</w:t>
      </w:r>
      <w:r>
        <w:t xml:space="preserve"> dans le rôle de progéniture.</w:t>
      </w:r>
    </w:p>
    <w:p w14:paraId="70E75755" w14:textId="77777777" w:rsidR="0084489F" w:rsidRDefault="00110FE6">
      <w:pPr>
        <w:pStyle w:val="BodyText"/>
      </w:pPr>
      <w:r>
        <w:t xml:space="preserve">C’est une même instance de </w:t>
      </w:r>
      <w:r>
        <w:rPr>
          <w:rStyle w:val="VerbatimChar"/>
        </w:rPr>
        <w:t>E67_Naissance</w:t>
      </w:r>
      <w:r>
        <w:t xml:space="preserve"> qui donne vie à des jumeaux, triplés, etc.</w:t>
      </w:r>
    </w:p>
    <w:p w14:paraId="760E4ABE" w14:textId="77777777" w:rsidR="0084489F" w:rsidRDefault="00110FE6">
      <w:pPr>
        <w:pStyle w:val="BodyText"/>
      </w:pPr>
      <w:r w:rsidRPr="1B9E7434">
        <w:rPr>
          <w:lang w:val="fr-FR"/>
        </w:rPr>
        <w:t xml:space="preserve">[n.d.t La propriété </w:t>
      </w:r>
      <w:r w:rsidRPr="1B9E7434">
        <w:rPr>
          <w:rStyle w:val="VerbatimChar"/>
          <w:lang w:val="fr-FR"/>
        </w:rPr>
        <w:t>P98_a_donné_vie_à (est_né)</w:t>
      </w:r>
      <w:r w:rsidRPr="1B9E7434">
        <w:rPr>
          <w:lang w:val="fr-FR"/>
        </w:rPr>
        <w:t>] n’est pas destinée à être utilisée dans le contexte de l’histoire naturelle à l’exception des personnes. Il n’y a pas de méthode explicite pour modéliser la conception et la gestation à moins d’utiliser des extensions.</w:t>
      </w:r>
    </w:p>
    <w:p w14:paraId="1D564666" w14:textId="77777777" w:rsidR="0084489F" w:rsidRDefault="00110FE6">
      <w:pPr>
        <w:pStyle w:val="BodyText"/>
      </w:pPr>
      <w:r>
        <w:rPr>
          <w:b/>
          <w:bCs/>
        </w:rPr>
        <w:t>Exemples</w:t>
      </w:r>
    </w:p>
    <w:p w14:paraId="11D775C6" w14:textId="77777777" w:rsidR="0084489F" w:rsidRDefault="00110FE6" w:rsidP="00806324">
      <w:pPr>
        <w:numPr>
          <w:ilvl w:val="0"/>
          <w:numId w:val="217"/>
        </w:numPr>
      </w:pPr>
      <w:r>
        <w:t>La naissance de la reine Elizabeth II (</w:t>
      </w:r>
      <w:r>
        <w:rPr>
          <w:rStyle w:val="VerbatimChar"/>
        </w:rPr>
        <w:t>E67_Naissance</w:t>
      </w:r>
      <w:r>
        <w:t>) a donné vie à (</w:t>
      </w:r>
      <w:r>
        <w:rPr>
          <w:rStyle w:val="VerbatimChar"/>
        </w:rPr>
        <w:t>P98_a_donné_vie_à</w:t>
      </w:r>
      <w:r>
        <w:t>) la reine Elizabeth II (</w:t>
      </w:r>
      <w:r>
        <w:rPr>
          <w:rStyle w:val="VerbatimChar"/>
        </w:rPr>
        <w:t>E21_Personne</w:t>
      </w:r>
      <w:r>
        <w:t>) (Parker, 2002)</w:t>
      </w:r>
    </w:p>
    <w:p w14:paraId="11CDE1AF" w14:textId="77777777" w:rsidR="0084489F" w:rsidRDefault="00110FE6">
      <w:pPr>
        <w:pStyle w:val="FirstParagraph"/>
      </w:pPr>
      <w:r>
        <w:rPr>
          <w:b/>
          <w:bCs/>
        </w:rPr>
        <w:t>Logique</w:t>
      </w:r>
    </w:p>
    <w:p w14:paraId="2257A542" w14:textId="77777777" w:rsidR="0084489F" w:rsidRDefault="00110FE6">
      <w:pPr>
        <w:pStyle w:val="BodyText"/>
      </w:pPr>
      <w:r w:rsidRPr="1B9E7434">
        <w:rPr>
          <w:lang w:val="fr-FR"/>
        </w:rPr>
        <w:t>P98(x,y) ⇒ E67(x)</w:t>
      </w:r>
    </w:p>
    <w:p w14:paraId="176B8EAD" w14:textId="77777777" w:rsidR="0084489F" w:rsidRDefault="00110FE6">
      <w:pPr>
        <w:pStyle w:val="BodyText"/>
      </w:pPr>
      <w:r w:rsidRPr="1B9E7434">
        <w:rPr>
          <w:lang w:val="fr-FR"/>
        </w:rPr>
        <w:t>P98(x,y) ⇒ E21(y)</w:t>
      </w:r>
    </w:p>
    <w:p w14:paraId="144D3115" w14:textId="77777777" w:rsidR="0084489F" w:rsidRDefault="00110FE6">
      <w:pPr>
        <w:pStyle w:val="BodyText"/>
      </w:pPr>
      <w:r w:rsidRPr="1B9E7434">
        <w:rPr>
          <w:lang w:val="fr-FR"/>
        </w:rPr>
        <w:t>P98(x,y) ⇒ P92(x,y)</w:t>
      </w:r>
    </w:p>
    <w:p w14:paraId="7060A8E0" w14:textId="77777777" w:rsidR="0084489F" w:rsidRDefault="00110FE6">
      <w:pPr>
        <w:pStyle w:val="BodyText"/>
      </w:pPr>
      <w:r>
        <w:rPr>
          <w:b/>
          <w:bCs/>
        </w:rPr>
        <w:t>Propriétés</w:t>
      </w:r>
    </w:p>
    <w:p w14:paraId="473B86B2" w14:textId="77777777" w:rsidR="0084489F" w:rsidRDefault="00110FE6">
      <w:pPr>
        <w:pStyle w:val="BlockText"/>
      </w:pPr>
      <w:r>
        <w:rPr>
          <w:b/>
          <w:bCs/>
          <w:i/>
          <w:iCs/>
        </w:rPr>
        <w:t>Note de traduction</w:t>
      </w:r>
    </w:p>
    <w:p w14:paraId="51AB351A" w14:textId="77777777" w:rsidR="0084489F" w:rsidRDefault="00110FE6">
      <w:pPr>
        <w:pStyle w:val="BlockText"/>
      </w:pPr>
      <w:r>
        <w:rPr>
          <w:b/>
          <w:bCs/>
          <w:i/>
          <w:iCs/>
        </w:rPr>
        <w:t>Références</w:t>
      </w:r>
    </w:p>
    <w:p w14:paraId="30210980" w14:textId="77777777" w:rsidR="0084489F" w:rsidRDefault="0084489F">
      <w:pPr>
        <w:pStyle w:val="BlockText"/>
      </w:pPr>
    </w:p>
    <w:p w14:paraId="7E765248" w14:textId="77777777" w:rsidR="0084489F" w:rsidRDefault="00110FE6">
      <w:pPr>
        <w:pStyle w:val="Heading2"/>
      </w:pPr>
      <w:bookmarkStart w:id="436" w:name="_Toc176864598"/>
      <w:bookmarkStart w:id="437" w:name="p99-a-dissous-(a-ete-dissous-par)"/>
      <w:bookmarkEnd w:id="435"/>
      <w:r>
        <w:t>P99 a dissous (a été dissous par)</w:t>
      </w:r>
      <w:bookmarkEnd w:id="436"/>
    </w:p>
    <w:p w14:paraId="1C3F8BBF" w14:textId="77777777" w:rsidR="0084489F" w:rsidRDefault="00110FE6">
      <w:pPr>
        <w:pStyle w:val="FirstParagraph"/>
      </w:pPr>
      <w:r>
        <w:rPr>
          <w:b/>
          <w:bCs/>
        </w:rPr>
        <w:t>Domaine</w:t>
      </w:r>
    </w:p>
    <w:p w14:paraId="4CE0CDF7" w14:textId="77777777" w:rsidR="0084489F" w:rsidRDefault="00110FE6">
      <w:pPr>
        <w:pStyle w:val="BodyText"/>
      </w:pPr>
      <w:r>
        <w:rPr>
          <w:rStyle w:val="VerbatimChar"/>
        </w:rPr>
        <w:t>E68_Dissolution</w:t>
      </w:r>
    </w:p>
    <w:p w14:paraId="674A63AE" w14:textId="77777777" w:rsidR="0084489F" w:rsidRDefault="00110FE6">
      <w:pPr>
        <w:pStyle w:val="BodyText"/>
      </w:pPr>
      <w:r>
        <w:rPr>
          <w:b/>
          <w:bCs/>
        </w:rPr>
        <w:t>Portée</w:t>
      </w:r>
    </w:p>
    <w:p w14:paraId="2BDEFA15" w14:textId="77777777" w:rsidR="0084489F" w:rsidRDefault="00110FE6">
      <w:pPr>
        <w:pStyle w:val="BodyText"/>
      </w:pPr>
      <w:r>
        <w:rPr>
          <w:rStyle w:val="VerbatimChar"/>
        </w:rPr>
        <w:t>E74_Groupe</w:t>
      </w:r>
    </w:p>
    <w:p w14:paraId="242CB260" w14:textId="77777777" w:rsidR="0084489F" w:rsidRDefault="00110FE6">
      <w:pPr>
        <w:pStyle w:val="BodyText"/>
      </w:pPr>
      <w:r>
        <w:rPr>
          <w:b/>
          <w:bCs/>
        </w:rPr>
        <w:t>Sous-propriété de</w:t>
      </w:r>
    </w:p>
    <w:p w14:paraId="61C3CFEF"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P11_a_eu_pour_actant_participant (a_participé_à)</w:t>
      </w:r>
      <w:r w:rsidRPr="1B9E7434">
        <w:rPr>
          <w:lang w:val="fr-FR"/>
        </w:rPr>
        <w:t xml:space="preserve"> : </w:t>
      </w:r>
      <w:r w:rsidRPr="1B9E7434">
        <w:rPr>
          <w:rStyle w:val="VerbatimChar"/>
          <w:lang w:val="fr-FR"/>
        </w:rPr>
        <w:t>E39_Actant</w:t>
      </w:r>
    </w:p>
    <w:p w14:paraId="300CF378" w14:textId="77777777" w:rsidR="0084489F" w:rsidRDefault="00110FE6">
      <w:pPr>
        <w:pStyle w:val="BodyText"/>
      </w:pPr>
      <w:r w:rsidRPr="1B9E7434">
        <w:rPr>
          <w:rStyle w:val="VerbatimChar"/>
          <w:lang w:val="fr-FR"/>
        </w:rPr>
        <w:t>E64_Fin_d’existence</w:t>
      </w:r>
      <w:r w:rsidRPr="1B9E7434">
        <w:rPr>
          <w:lang w:val="fr-FR"/>
        </w:rPr>
        <w:t xml:space="preserve">. </w:t>
      </w:r>
      <w:r w:rsidRPr="1B9E7434">
        <w:rPr>
          <w:rStyle w:val="VerbatimChar"/>
          <w:lang w:val="fr-FR"/>
        </w:rPr>
        <w:t>P93_a_mis_fin_à_l’existence_de (a_cessé_d’exister_par)</w:t>
      </w:r>
      <w:r w:rsidRPr="1B9E7434">
        <w:rPr>
          <w:lang w:val="fr-FR"/>
        </w:rPr>
        <w:t xml:space="preserve"> : </w:t>
      </w:r>
      <w:r w:rsidRPr="1B9E7434">
        <w:rPr>
          <w:rStyle w:val="VerbatimChar"/>
          <w:lang w:val="fr-FR"/>
        </w:rPr>
        <w:t>E77_Entité_persistante</w:t>
      </w:r>
    </w:p>
    <w:p w14:paraId="7BE50ECB" w14:textId="77777777" w:rsidR="0084489F" w:rsidRDefault="00110FE6">
      <w:pPr>
        <w:pStyle w:val="BodyText"/>
      </w:pPr>
      <w:r>
        <w:rPr>
          <w:b/>
          <w:bCs/>
        </w:rPr>
        <w:t>Super-propriété de</w:t>
      </w:r>
    </w:p>
    <w:p w14:paraId="3E778AED" w14:textId="77777777" w:rsidR="0084489F" w:rsidRDefault="00110FE6">
      <w:pPr>
        <w:pStyle w:val="BodyText"/>
      </w:pPr>
      <w:r>
        <w:rPr>
          <w:b/>
          <w:bCs/>
        </w:rPr>
        <w:t>Quantification</w:t>
      </w:r>
    </w:p>
    <w:p w14:paraId="0B197CDE" w14:textId="77777777" w:rsidR="0084489F" w:rsidRDefault="00110FE6">
      <w:pPr>
        <w:pStyle w:val="BodyText"/>
      </w:pPr>
      <w:r w:rsidRPr="1B9E7434">
        <w:rPr>
          <w:lang w:val="fr-FR"/>
        </w:rPr>
        <w:t>un à plusieurs, nécessaire (1,n:0,1)</w:t>
      </w:r>
    </w:p>
    <w:p w14:paraId="6BD81129" w14:textId="77777777" w:rsidR="0084489F" w:rsidRDefault="00110FE6">
      <w:pPr>
        <w:pStyle w:val="BodyText"/>
      </w:pPr>
      <w:r>
        <w:rPr>
          <w:b/>
          <w:bCs/>
        </w:rPr>
        <w:lastRenderedPageBreak/>
        <w:t>Note d’application</w:t>
      </w:r>
    </w:p>
    <w:p w14:paraId="5B173ACB" w14:textId="77777777" w:rsidR="0084489F" w:rsidRDefault="00110FE6">
      <w:pPr>
        <w:pStyle w:val="BodyText"/>
      </w:pPr>
      <w:r w:rsidRPr="1B9E7434">
        <w:rPr>
          <w:lang w:val="fr-FR"/>
        </w:rPr>
        <w:t xml:space="preserve">Cette propriété lie une instance de </w:t>
      </w:r>
      <w:r w:rsidRPr="1B9E7434">
        <w:rPr>
          <w:rStyle w:val="VerbatimChar"/>
          <w:lang w:val="fr-FR"/>
        </w:rPr>
        <w:t>E68_Dissolution</w:t>
      </w:r>
      <w:r w:rsidRPr="1B9E7434">
        <w:rPr>
          <w:lang w:val="fr-FR"/>
        </w:rPr>
        <w:t xml:space="preserve"> à l’instance de </w:t>
      </w:r>
      <w:r w:rsidRPr="1B9E7434">
        <w:rPr>
          <w:rStyle w:val="VerbatimChar"/>
          <w:lang w:val="fr-FR"/>
        </w:rPr>
        <w:t>E74_Groupe</w:t>
      </w:r>
      <w:r w:rsidRPr="1B9E7434">
        <w:rPr>
          <w:lang w:val="fr-FR"/>
        </w:rPr>
        <w:t xml:space="preserve"> qu’elle a dissoute.</w:t>
      </w:r>
    </w:p>
    <w:p w14:paraId="253762FA" w14:textId="77777777" w:rsidR="0084489F" w:rsidRDefault="00110FE6">
      <w:pPr>
        <w:pStyle w:val="BodyText"/>
      </w:pPr>
      <w:r>
        <w:rPr>
          <w:b/>
          <w:bCs/>
        </w:rPr>
        <w:t>Exemples</w:t>
      </w:r>
    </w:p>
    <w:p w14:paraId="58DCD381" w14:textId="77777777" w:rsidR="0084489F" w:rsidRDefault="00110FE6" w:rsidP="00806324">
      <w:pPr>
        <w:numPr>
          <w:ilvl w:val="0"/>
          <w:numId w:val="218"/>
        </w:numPr>
      </w:pPr>
      <w:r>
        <w:t>La fin du Gang de Hole-in-the-Wall (</w:t>
      </w:r>
      <w:r>
        <w:rPr>
          <w:rStyle w:val="VerbatimChar"/>
        </w:rPr>
        <w:t>E68_Dissolution</w:t>
      </w:r>
      <w:r>
        <w:t>) a dissous (</w:t>
      </w:r>
      <w:r>
        <w:rPr>
          <w:rStyle w:val="VerbatimChar"/>
        </w:rPr>
        <w:t>P99_a_dissous</w:t>
      </w:r>
      <w:r>
        <w:t>) le Gang de Hole-in-the-Wall (</w:t>
      </w:r>
      <w:r>
        <w:rPr>
          <w:rStyle w:val="VerbatimChar"/>
        </w:rPr>
        <w:t>E74_Groupe</w:t>
      </w:r>
      <w:r>
        <w:t>) (Patterson, 1998)</w:t>
      </w:r>
    </w:p>
    <w:p w14:paraId="2AAAEF08" w14:textId="77777777" w:rsidR="0084489F" w:rsidRDefault="00110FE6">
      <w:pPr>
        <w:pStyle w:val="FirstParagraph"/>
      </w:pPr>
      <w:r>
        <w:rPr>
          <w:b/>
          <w:bCs/>
        </w:rPr>
        <w:t>Logique</w:t>
      </w:r>
    </w:p>
    <w:p w14:paraId="7AA0C059" w14:textId="77777777" w:rsidR="0084489F" w:rsidRDefault="00110FE6">
      <w:pPr>
        <w:pStyle w:val="BodyText"/>
      </w:pPr>
      <w:r w:rsidRPr="1B9E7434">
        <w:rPr>
          <w:lang w:val="fr-FR"/>
        </w:rPr>
        <w:t>P99(x,y) ⇒ E68(x)</w:t>
      </w:r>
    </w:p>
    <w:p w14:paraId="04000A40" w14:textId="77777777" w:rsidR="0084489F" w:rsidRDefault="00110FE6">
      <w:pPr>
        <w:pStyle w:val="BodyText"/>
      </w:pPr>
      <w:r w:rsidRPr="1B9E7434">
        <w:rPr>
          <w:lang w:val="fr-FR"/>
        </w:rPr>
        <w:t>P99(x,y) ⇒ E74(y)</w:t>
      </w:r>
    </w:p>
    <w:p w14:paraId="1095ECBB" w14:textId="77777777" w:rsidR="0084489F" w:rsidRDefault="00110FE6">
      <w:pPr>
        <w:pStyle w:val="BodyText"/>
      </w:pPr>
      <w:r w:rsidRPr="1B9E7434">
        <w:rPr>
          <w:lang w:val="fr-FR"/>
        </w:rPr>
        <w:t>P99(x,y) ⇒ P11(x,y)</w:t>
      </w:r>
    </w:p>
    <w:p w14:paraId="62A76D3E" w14:textId="77777777" w:rsidR="0084489F" w:rsidRDefault="00110FE6">
      <w:pPr>
        <w:pStyle w:val="BodyText"/>
      </w:pPr>
      <w:r w:rsidRPr="1B9E7434">
        <w:rPr>
          <w:lang w:val="fr-FR"/>
        </w:rPr>
        <w:t>P99(x,y) ⇒ P93(x,y)</w:t>
      </w:r>
    </w:p>
    <w:p w14:paraId="4C16BCEA" w14:textId="77777777" w:rsidR="0084489F" w:rsidRDefault="00110FE6">
      <w:pPr>
        <w:pStyle w:val="BodyText"/>
      </w:pPr>
      <w:r>
        <w:rPr>
          <w:b/>
          <w:bCs/>
        </w:rPr>
        <w:t>Propriétés</w:t>
      </w:r>
    </w:p>
    <w:p w14:paraId="1F5A2B3C" w14:textId="77777777" w:rsidR="0084489F" w:rsidRDefault="00110FE6">
      <w:pPr>
        <w:pStyle w:val="BlockText"/>
      </w:pPr>
      <w:r>
        <w:rPr>
          <w:b/>
          <w:bCs/>
          <w:i/>
          <w:iCs/>
        </w:rPr>
        <w:t>Note de traduction</w:t>
      </w:r>
    </w:p>
    <w:p w14:paraId="6139688C" w14:textId="77777777" w:rsidR="0084489F" w:rsidRDefault="00110FE6">
      <w:pPr>
        <w:pStyle w:val="BlockText"/>
      </w:pPr>
      <w:r w:rsidRPr="1B9E7434">
        <w:rPr>
          <w:lang w:val="fr-FR"/>
        </w:rPr>
        <w:t>« one to many, necessary (1,n:0,n) » indiqué dans le texte original, modifié en « un à plusieurs, nécessaire (1,n:0,1) » dans la traduction.</w:t>
      </w:r>
    </w:p>
    <w:p w14:paraId="726CB532" w14:textId="77777777" w:rsidR="0084489F" w:rsidRDefault="00110FE6">
      <w:pPr>
        <w:pStyle w:val="BlockText"/>
      </w:pPr>
      <w:r>
        <w:rPr>
          <w:b/>
          <w:bCs/>
          <w:i/>
          <w:iCs/>
        </w:rPr>
        <w:t>Références</w:t>
      </w:r>
    </w:p>
    <w:p w14:paraId="4F704669" w14:textId="77777777" w:rsidR="0084489F" w:rsidRDefault="0084489F">
      <w:pPr>
        <w:pStyle w:val="BlockText"/>
      </w:pPr>
    </w:p>
    <w:p w14:paraId="2149FEBE" w14:textId="77777777" w:rsidR="0084489F" w:rsidRDefault="00110FE6">
      <w:pPr>
        <w:pStyle w:val="Heading2"/>
      </w:pPr>
      <w:bookmarkStart w:id="438" w:name="_Toc176864599"/>
      <w:bookmarkStart w:id="439" w:name="p100-a-ete-la-mort-de-(est-mort-par)"/>
      <w:bookmarkEnd w:id="437"/>
      <w:r>
        <w:t>P100 a été la mort de (est mort par)</w:t>
      </w:r>
      <w:bookmarkEnd w:id="438"/>
    </w:p>
    <w:p w14:paraId="2EBE7546" w14:textId="77777777" w:rsidR="0084489F" w:rsidRDefault="00110FE6">
      <w:pPr>
        <w:pStyle w:val="FirstParagraph"/>
      </w:pPr>
      <w:r>
        <w:rPr>
          <w:b/>
          <w:bCs/>
        </w:rPr>
        <w:t>Domaine</w:t>
      </w:r>
    </w:p>
    <w:p w14:paraId="5BA5C563" w14:textId="77777777" w:rsidR="0084489F" w:rsidRDefault="00110FE6">
      <w:pPr>
        <w:pStyle w:val="BodyText"/>
      </w:pPr>
      <w:r>
        <w:rPr>
          <w:rStyle w:val="VerbatimChar"/>
        </w:rPr>
        <w:t>E69_Mort</w:t>
      </w:r>
    </w:p>
    <w:p w14:paraId="01924155" w14:textId="77777777" w:rsidR="0084489F" w:rsidRDefault="00110FE6">
      <w:pPr>
        <w:pStyle w:val="BodyText"/>
      </w:pPr>
      <w:r>
        <w:rPr>
          <w:b/>
          <w:bCs/>
        </w:rPr>
        <w:t>Portée</w:t>
      </w:r>
    </w:p>
    <w:p w14:paraId="62E10F9A" w14:textId="77777777" w:rsidR="0084489F" w:rsidRDefault="00110FE6">
      <w:pPr>
        <w:pStyle w:val="BodyText"/>
      </w:pPr>
      <w:r>
        <w:rPr>
          <w:rStyle w:val="VerbatimChar"/>
        </w:rPr>
        <w:t>E21_Personne</w:t>
      </w:r>
    </w:p>
    <w:p w14:paraId="6F2069D9" w14:textId="77777777" w:rsidR="0084489F" w:rsidRDefault="00110FE6">
      <w:pPr>
        <w:pStyle w:val="BodyText"/>
      </w:pPr>
      <w:r>
        <w:rPr>
          <w:b/>
          <w:bCs/>
        </w:rPr>
        <w:t>Sous-propriété de</w:t>
      </w:r>
    </w:p>
    <w:p w14:paraId="4989AC82" w14:textId="77777777" w:rsidR="0084489F" w:rsidRDefault="00110FE6">
      <w:pPr>
        <w:pStyle w:val="BodyText"/>
      </w:pPr>
      <w:r w:rsidRPr="1B9E7434">
        <w:rPr>
          <w:rStyle w:val="VerbatimChar"/>
          <w:lang w:val="fr-FR"/>
        </w:rPr>
        <w:t>E64_Fin_d’existence</w:t>
      </w:r>
      <w:r w:rsidRPr="1B9E7434">
        <w:rPr>
          <w:lang w:val="fr-FR"/>
        </w:rPr>
        <w:t xml:space="preserve">. </w:t>
      </w:r>
      <w:r w:rsidRPr="1B9E7434">
        <w:rPr>
          <w:rStyle w:val="VerbatimChar"/>
          <w:lang w:val="fr-FR"/>
        </w:rPr>
        <w:t>P93_a_mis_fin_à_l’existence_de (a_cessé_d’exister_par)</w:t>
      </w:r>
      <w:r w:rsidRPr="1B9E7434">
        <w:rPr>
          <w:lang w:val="fr-FR"/>
        </w:rPr>
        <w:t xml:space="preserve"> : </w:t>
      </w:r>
      <w:r w:rsidRPr="1B9E7434">
        <w:rPr>
          <w:rStyle w:val="VerbatimChar"/>
          <w:lang w:val="fr-FR"/>
        </w:rPr>
        <w:t>E77_Entité_persistante</w:t>
      </w:r>
    </w:p>
    <w:p w14:paraId="41ABC8AD" w14:textId="77777777" w:rsidR="0084489F" w:rsidRDefault="00110FE6">
      <w:pPr>
        <w:pStyle w:val="BodyText"/>
      </w:pPr>
      <w:r>
        <w:rPr>
          <w:b/>
          <w:bCs/>
        </w:rPr>
        <w:t>Super-propriété de</w:t>
      </w:r>
    </w:p>
    <w:p w14:paraId="763E5954" w14:textId="77777777" w:rsidR="0084489F" w:rsidRDefault="00110FE6">
      <w:pPr>
        <w:pStyle w:val="BodyText"/>
      </w:pPr>
      <w:r>
        <w:rPr>
          <w:b/>
          <w:bCs/>
        </w:rPr>
        <w:t>Quantification</w:t>
      </w:r>
    </w:p>
    <w:p w14:paraId="50F5EC77" w14:textId="77777777" w:rsidR="0084489F" w:rsidRDefault="00110FE6">
      <w:pPr>
        <w:pStyle w:val="BodyText"/>
      </w:pPr>
      <w:r w:rsidRPr="1B9E7434">
        <w:rPr>
          <w:lang w:val="fr-FR"/>
        </w:rPr>
        <w:t>un à plusieurs, nécessaire (1,n:0,1)</w:t>
      </w:r>
    </w:p>
    <w:p w14:paraId="057D824D" w14:textId="77777777" w:rsidR="0084489F" w:rsidRDefault="00110FE6">
      <w:pPr>
        <w:pStyle w:val="BodyText"/>
      </w:pPr>
      <w:r>
        <w:rPr>
          <w:b/>
          <w:bCs/>
        </w:rPr>
        <w:t>Note d’application</w:t>
      </w:r>
    </w:p>
    <w:p w14:paraId="3AFC7B1F" w14:textId="77777777" w:rsidR="0084489F" w:rsidRDefault="00110FE6">
      <w:pPr>
        <w:pStyle w:val="BodyText"/>
      </w:pPr>
      <w:r>
        <w:t xml:space="preserve">Cette propriété lie une instance de </w:t>
      </w:r>
      <w:r>
        <w:rPr>
          <w:rStyle w:val="VerbatimChar"/>
        </w:rPr>
        <w:t>E69_Mort</w:t>
      </w:r>
      <w:r>
        <w:t xml:space="preserve"> à une instance de </w:t>
      </w:r>
      <w:r>
        <w:rPr>
          <w:rStyle w:val="VerbatimChar"/>
        </w:rPr>
        <w:t>E21_Personne</w:t>
      </w:r>
      <w:r>
        <w:t xml:space="preserve"> qui est décédée.</w:t>
      </w:r>
    </w:p>
    <w:p w14:paraId="030C221E" w14:textId="77777777" w:rsidR="0084489F" w:rsidRDefault="00110FE6">
      <w:pPr>
        <w:pStyle w:val="BodyText"/>
      </w:pPr>
      <w:r>
        <w:t xml:space="preserve">Une instance de </w:t>
      </w:r>
      <w:r>
        <w:rPr>
          <w:rStyle w:val="VerbatimChar"/>
        </w:rPr>
        <w:t>E69_Mort</w:t>
      </w:r>
      <w:r>
        <w:t xml:space="preserve"> peut impliquer plusieurs personnes, par exemple dans le cas d’une bataille ou d’une catastrophe.</w:t>
      </w:r>
    </w:p>
    <w:p w14:paraId="038581D0" w14:textId="77777777" w:rsidR="0084489F" w:rsidRDefault="00110FE6">
      <w:pPr>
        <w:pStyle w:val="BodyText"/>
      </w:pPr>
      <w:r w:rsidRPr="1B9E7434">
        <w:rPr>
          <w:lang w:val="fr-FR"/>
        </w:rPr>
        <w:t xml:space="preserve">[n.d.t La propriété </w:t>
      </w:r>
      <w:r w:rsidRPr="1B9E7434">
        <w:rPr>
          <w:rStyle w:val="VerbatimChar"/>
          <w:lang w:val="fr-FR"/>
        </w:rPr>
        <w:t>P100_a_été_la_mort_de (est_mort_par)</w:t>
      </w:r>
      <w:r w:rsidRPr="1B9E7434">
        <w:rPr>
          <w:lang w:val="fr-FR"/>
        </w:rPr>
        <w:t>] n’est pas destinée à être utilisée dans le contexte de l’histoire naturelle à l’exception des personnes.</w:t>
      </w:r>
    </w:p>
    <w:p w14:paraId="33D1C2C9" w14:textId="77777777" w:rsidR="0084489F" w:rsidRDefault="00110FE6" w:rsidP="00FA3C06">
      <w:pPr>
        <w:pStyle w:val="BodyText"/>
        <w:keepNext/>
      </w:pPr>
      <w:r>
        <w:rPr>
          <w:b/>
          <w:bCs/>
        </w:rPr>
        <w:lastRenderedPageBreak/>
        <w:t>Exemples</w:t>
      </w:r>
    </w:p>
    <w:p w14:paraId="112A68AA" w14:textId="77777777" w:rsidR="0084489F" w:rsidRDefault="00110FE6" w:rsidP="00806324">
      <w:pPr>
        <w:keepNext/>
        <w:numPr>
          <w:ilvl w:val="0"/>
          <w:numId w:val="219"/>
        </w:numPr>
      </w:pPr>
      <w:r>
        <w:t>La mort de Mozart (</w:t>
      </w:r>
      <w:r>
        <w:rPr>
          <w:rStyle w:val="VerbatimChar"/>
        </w:rPr>
        <w:t>E69_Mort</w:t>
      </w:r>
      <w:r>
        <w:t>) a été la mort de (</w:t>
      </w:r>
      <w:r>
        <w:rPr>
          <w:rStyle w:val="VerbatimChar"/>
        </w:rPr>
        <w:t>P100_a_été_la_mort_de</w:t>
      </w:r>
      <w:r>
        <w:t>) Mozart (</w:t>
      </w:r>
      <w:r>
        <w:rPr>
          <w:rStyle w:val="VerbatimChar"/>
        </w:rPr>
        <w:t>E21_Personne</w:t>
      </w:r>
      <w:r>
        <w:t>) (Sitwell, 2017)</w:t>
      </w:r>
    </w:p>
    <w:p w14:paraId="22FDE936" w14:textId="77777777" w:rsidR="0084489F" w:rsidRDefault="00110FE6">
      <w:pPr>
        <w:pStyle w:val="FirstParagraph"/>
      </w:pPr>
      <w:r>
        <w:rPr>
          <w:b/>
          <w:bCs/>
        </w:rPr>
        <w:t>Logique</w:t>
      </w:r>
    </w:p>
    <w:p w14:paraId="01E8753B" w14:textId="77777777" w:rsidR="0084489F" w:rsidRDefault="00110FE6">
      <w:pPr>
        <w:pStyle w:val="BodyText"/>
      </w:pPr>
      <w:r w:rsidRPr="1B9E7434">
        <w:rPr>
          <w:lang w:val="fr-FR"/>
        </w:rPr>
        <w:t>P100(x,y) ⇒ E69(x)</w:t>
      </w:r>
    </w:p>
    <w:p w14:paraId="4DE60188" w14:textId="77777777" w:rsidR="0084489F" w:rsidRDefault="00110FE6">
      <w:pPr>
        <w:pStyle w:val="BodyText"/>
      </w:pPr>
      <w:r w:rsidRPr="1B9E7434">
        <w:rPr>
          <w:lang w:val="fr-FR"/>
        </w:rPr>
        <w:t>P100(x,y) ⇒ E21(y)</w:t>
      </w:r>
    </w:p>
    <w:p w14:paraId="0BD59D3C" w14:textId="77777777" w:rsidR="0084489F" w:rsidRDefault="00110FE6">
      <w:pPr>
        <w:pStyle w:val="BodyText"/>
      </w:pPr>
      <w:r w:rsidRPr="1B9E7434">
        <w:rPr>
          <w:lang w:val="fr-FR"/>
        </w:rPr>
        <w:t>P100(x,y) ⇒ P93(x,y)</w:t>
      </w:r>
    </w:p>
    <w:p w14:paraId="1CFDB8ED" w14:textId="77777777" w:rsidR="0084489F" w:rsidRDefault="00110FE6">
      <w:pPr>
        <w:pStyle w:val="BodyText"/>
      </w:pPr>
      <w:r>
        <w:rPr>
          <w:b/>
          <w:bCs/>
        </w:rPr>
        <w:t>Propriétés</w:t>
      </w:r>
    </w:p>
    <w:p w14:paraId="4CAC236E" w14:textId="77777777" w:rsidR="0084489F" w:rsidRDefault="00110FE6">
      <w:pPr>
        <w:pStyle w:val="BlockText"/>
      </w:pPr>
      <w:r>
        <w:rPr>
          <w:b/>
          <w:bCs/>
          <w:i/>
          <w:iCs/>
        </w:rPr>
        <w:t>Note de traduction</w:t>
      </w:r>
    </w:p>
    <w:p w14:paraId="02D809CF" w14:textId="77777777" w:rsidR="0084489F" w:rsidRDefault="00110FE6">
      <w:pPr>
        <w:pStyle w:val="BlockText"/>
      </w:pPr>
      <w:r>
        <w:rPr>
          <w:b/>
          <w:bCs/>
          <w:i/>
          <w:iCs/>
        </w:rPr>
        <w:t>Références</w:t>
      </w:r>
    </w:p>
    <w:p w14:paraId="34FCEB52" w14:textId="77777777" w:rsidR="0084489F" w:rsidRDefault="0084489F">
      <w:pPr>
        <w:pStyle w:val="BlockText"/>
      </w:pPr>
    </w:p>
    <w:p w14:paraId="65DC6734" w14:textId="77777777" w:rsidR="0084489F" w:rsidRDefault="00110FE6">
      <w:pPr>
        <w:pStyle w:val="Heading2"/>
      </w:pPr>
      <w:bookmarkStart w:id="440" w:name="_Toc176864600"/>
      <w:bookmarkStart w:id="441" w:name="X45cc61a574a76add16be639126e36963d01eca5"/>
      <w:bookmarkEnd w:id="439"/>
      <w:r>
        <w:t>P101 a eu pour usage général (a été l'usage général de)</w:t>
      </w:r>
      <w:bookmarkEnd w:id="440"/>
    </w:p>
    <w:p w14:paraId="5370327F" w14:textId="77777777" w:rsidR="0084489F" w:rsidRDefault="00110FE6">
      <w:pPr>
        <w:pStyle w:val="FirstParagraph"/>
      </w:pPr>
      <w:r>
        <w:rPr>
          <w:b/>
          <w:bCs/>
        </w:rPr>
        <w:t>Domaine</w:t>
      </w:r>
    </w:p>
    <w:p w14:paraId="124E0E9A" w14:textId="77777777" w:rsidR="0084489F" w:rsidRDefault="00110FE6">
      <w:pPr>
        <w:pStyle w:val="BodyText"/>
      </w:pPr>
      <w:r>
        <w:rPr>
          <w:rStyle w:val="VerbatimChar"/>
        </w:rPr>
        <w:t>E70_Chose</w:t>
      </w:r>
    </w:p>
    <w:p w14:paraId="5792E2F7" w14:textId="77777777" w:rsidR="0084489F" w:rsidRDefault="00110FE6">
      <w:pPr>
        <w:pStyle w:val="BodyText"/>
      </w:pPr>
      <w:r>
        <w:rPr>
          <w:b/>
          <w:bCs/>
        </w:rPr>
        <w:t>Portée</w:t>
      </w:r>
    </w:p>
    <w:p w14:paraId="391A0056" w14:textId="77777777" w:rsidR="0084489F" w:rsidRDefault="00110FE6">
      <w:pPr>
        <w:pStyle w:val="BodyText"/>
      </w:pPr>
      <w:r>
        <w:rPr>
          <w:rStyle w:val="VerbatimChar"/>
        </w:rPr>
        <w:t>E55_Type</w:t>
      </w:r>
    </w:p>
    <w:p w14:paraId="358BBE95" w14:textId="77777777" w:rsidR="0084489F" w:rsidRDefault="00110FE6">
      <w:pPr>
        <w:pStyle w:val="BodyText"/>
      </w:pPr>
      <w:r>
        <w:rPr>
          <w:b/>
          <w:bCs/>
        </w:rPr>
        <w:t>Sous-propriété de</w:t>
      </w:r>
    </w:p>
    <w:p w14:paraId="4D1B1DB7" w14:textId="77777777" w:rsidR="0084489F" w:rsidRDefault="00110FE6">
      <w:pPr>
        <w:pStyle w:val="BodyText"/>
      </w:pPr>
      <w:r>
        <w:rPr>
          <w:b/>
          <w:bCs/>
        </w:rPr>
        <w:t>Super-propriété de</w:t>
      </w:r>
    </w:p>
    <w:p w14:paraId="244FC92D" w14:textId="77777777" w:rsidR="0084489F" w:rsidRDefault="00110FE6">
      <w:pPr>
        <w:pStyle w:val="BodyText"/>
      </w:pPr>
      <w:r>
        <w:rPr>
          <w:b/>
          <w:bCs/>
        </w:rPr>
        <w:t>Quantification</w:t>
      </w:r>
    </w:p>
    <w:p w14:paraId="23E59911" w14:textId="77777777" w:rsidR="0084489F" w:rsidRDefault="00110FE6">
      <w:pPr>
        <w:pStyle w:val="BodyText"/>
      </w:pPr>
      <w:r w:rsidRPr="1B9E7434">
        <w:rPr>
          <w:lang w:val="fr-FR"/>
        </w:rPr>
        <w:t>plusieurs à plusieurs (0,n:0,n)</w:t>
      </w:r>
    </w:p>
    <w:p w14:paraId="3A2DF339" w14:textId="77777777" w:rsidR="0084489F" w:rsidRDefault="00110FE6">
      <w:pPr>
        <w:pStyle w:val="BodyText"/>
      </w:pPr>
      <w:r>
        <w:rPr>
          <w:b/>
          <w:bCs/>
        </w:rPr>
        <w:t>Note d’application</w:t>
      </w:r>
    </w:p>
    <w:p w14:paraId="0FD8A794" w14:textId="77777777" w:rsidR="0084489F" w:rsidRDefault="00110FE6">
      <w:pPr>
        <w:pStyle w:val="BodyText"/>
      </w:pPr>
      <w:r>
        <w:t xml:space="preserve">Cette propriété associe une instance de </w:t>
      </w:r>
      <w:r>
        <w:rPr>
          <w:rStyle w:val="VerbatimChar"/>
        </w:rPr>
        <w:t>E70_Chose</w:t>
      </w:r>
      <w:r>
        <w:t xml:space="preserve"> à une instance de </w:t>
      </w:r>
      <w:r>
        <w:rPr>
          <w:rStyle w:val="VerbatimChar"/>
        </w:rPr>
        <w:t>E55_Type</w:t>
      </w:r>
      <w:r>
        <w:t xml:space="preserve"> qui décrit le type d'usage pour lequel elle a réellement été utilisée.</w:t>
      </w:r>
    </w:p>
    <w:p w14:paraId="05A19264" w14:textId="77777777" w:rsidR="0084489F" w:rsidRDefault="00110FE6">
      <w:pPr>
        <w:pStyle w:val="BodyText"/>
      </w:pPr>
      <w:r w:rsidRPr="1B9E7434">
        <w:rPr>
          <w:lang w:val="fr-FR"/>
        </w:rPr>
        <w:t xml:space="preserve">Cette propriété permet de documenter la relation entre des choses particulières, tant physiques qu'immatérielles, ainsi que les méthodes et les techniques générales d'usage réel. Cela peut bien être différent de l'utilité fonctionnelle prévue de l'instance de </w:t>
      </w:r>
      <w:r w:rsidRPr="1B9E7434">
        <w:rPr>
          <w:rStyle w:val="VerbatimChar"/>
          <w:lang w:val="fr-FR"/>
        </w:rPr>
        <w:t>E70_Chose</w:t>
      </w:r>
      <w:r w:rsidRPr="1B9E7434">
        <w:rPr>
          <w:lang w:val="fr-FR"/>
        </w:rPr>
        <w:t xml:space="preserve"> (qui peut être documentée avec </w:t>
      </w:r>
      <w:r w:rsidRPr="1B9E7434">
        <w:rPr>
          <w:rStyle w:val="VerbatimChar"/>
          <w:lang w:val="fr-FR"/>
        </w:rPr>
        <w:t>P103_a_eu_pour_raison_d’être (a_été_la_raison_d’être_de)</w:t>
      </w:r>
      <w:r w:rsidRPr="1B9E7434">
        <w:rPr>
          <w:lang w:val="fr-FR"/>
        </w:rPr>
        <w:t>). Par exemple, il pourrait être enregistré qu'une caisse en bois particulière avait pour usage général de servir comme support à étagère sur un étal de marché même si elle avait été initialement destinée à transporter des légumes.</w:t>
      </w:r>
    </w:p>
    <w:p w14:paraId="2279AD98" w14:textId="77777777" w:rsidR="0084489F" w:rsidRDefault="00110FE6">
      <w:pPr>
        <w:pStyle w:val="BodyText"/>
      </w:pPr>
      <w:r>
        <w:t>L'application de cette propriété est destinée à permettre la documentation des modèles d'utilisation attestés dans les enregistrements historiques ou par le biais de recherches scientifiques (par exemple l'analyse des résidus sur une céramique). Elle ne doit pas être utilisée pour documenter l'usage prévu, et donc supposé, d'un objet.</w:t>
      </w:r>
    </w:p>
    <w:p w14:paraId="31055A97" w14:textId="77777777" w:rsidR="0084489F" w:rsidRDefault="00110FE6">
      <w:pPr>
        <w:pStyle w:val="BodyText"/>
      </w:pPr>
      <w:r>
        <w:rPr>
          <w:b/>
          <w:bCs/>
        </w:rPr>
        <w:t>Exemples</w:t>
      </w:r>
    </w:p>
    <w:p w14:paraId="35711970" w14:textId="77777777" w:rsidR="0084489F" w:rsidRDefault="00110FE6" w:rsidP="00806324">
      <w:pPr>
        <w:numPr>
          <w:ilvl w:val="0"/>
          <w:numId w:val="220"/>
        </w:numPr>
      </w:pPr>
      <w:r>
        <w:t>La Ford Mustang de Tony Gill (</w:t>
      </w:r>
      <w:r>
        <w:rPr>
          <w:rStyle w:val="VerbatimChar"/>
        </w:rPr>
        <w:t>E22_Objet_élaboré_par_l’humain</w:t>
      </w:r>
      <w:r>
        <w:t>) a eu pour usage général (</w:t>
      </w:r>
      <w:r>
        <w:rPr>
          <w:rStyle w:val="VerbatimChar"/>
        </w:rPr>
        <w:t>P101_a_eu_pour_usage_général</w:t>
      </w:r>
      <w:r>
        <w:t>) le transport (</w:t>
      </w:r>
      <w:r>
        <w:rPr>
          <w:rStyle w:val="VerbatimChar"/>
        </w:rPr>
        <w:t>E55_Type</w:t>
      </w:r>
      <w:r>
        <w:t>)</w:t>
      </w:r>
    </w:p>
    <w:p w14:paraId="4EE9BB92" w14:textId="77777777" w:rsidR="0084489F" w:rsidRDefault="00110FE6" w:rsidP="00806324">
      <w:pPr>
        <w:numPr>
          <w:ilvl w:val="0"/>
          <w:numId w:val="220"/>
        </w:numPr>
      </w:pPr>
      <w:r>
        <w:lastRenderedPageBreak/>
        <w:t>Le récipient égyptien non émaillé utilisé dans l'étude de 2003 de Barnard &amp; al (</w:t>
      </w:r>
      <w:r>
        <w:rPr>
          <w:rStyle w:val="VerbatimChar"/>
        </w:rPr>
        <w:t>E22_Objet_élaboré_par_l’humain</w:t>
      </w:r>
      <w:r>
        <w:t>) a eu pour usage général (</w:t>
      </w:r>
      <w:r>
        <w:rPr>
          <w:rStyle w:val="VerbatimChar"/>
        </w:rPr>
        <w:t>P101_a_eu_pour_usage_général</w:t>
      </w:r>
      <w:r>
        <w:t>) la préparation du lait de chamelle (</w:t>
      </w:r>
      <w:r>
        <w:rPr>
          <w:rStyle w:val="VerbatimChar"/>
        </w:rPr>
        <w:t>E55_Type</w:t>
      </w:r>
      <w:r>
        <w:t>) (Barnard &amp; al, 2007)</w:t>
      </w:r>
    </w:p>
    <w:p w14:paraId="77CDC0BA" w14:textId="77777777" w:rsidR="0084489F" w:rsidRDefault="00110FE6">
      <w:pPr>
        <w:pStyle w:val="FirstParagraph"/>
      </w:pPr>
      <w:r>
        <w:rPr>
          <w:b/>
          <w:bCs/>
        </w:rPr>
        <w:t>Logique</w:t>
      </w:r>
    </w:p>
    <w:p w14:paraId="2B67A6F8" w14:textId="77777777" w:rsidR="0084489F" w:rsidRDefault="00110FE6">
      <w:pPr>
        <w:pStyle w:val="BodyText"/>
      </w:pPr>
      <w:r w:rsidRPr="1B9E7434">
        <w:rPr>
          <w:lang w:val="fr-FR"/>
        </w:rPr>
        <w:t>P101(x,y) ⇒ E70(x)</w:t>
      </w:r>
    </w:p>
    <w:p w14:paraId="427D3443" w14:textId="77777777" w:rsidR="0084489F" w:rsidRDefault="00110FE6">
      <w:pPr>
        <w:pStyle w:val="BodyText"/>
      </w:pPr>
      <w:r w:rsidRPr="1B9E7434">
        <w:rPr>
          <w:lang w:val="fr-FR"/>
        </w:rPr>
        <w:t>P101(x,y) ⇒ E55(y)</w:t>
      </w:r>
    </w:p>
    <w:p w14:paraId="584AC2B5" w14:textId="77777777" w:rsidR="0084489F" w:rsidRDefault="00110FE6">
      <w:pPr>
        <w:pStyle w:val="BodyText"/>
      </w:pPr>
      <w:r w:rsidRPr="1B9E7434">
        <w:rPr>
          <w:lang w:val="fr-FR"/>
        </w:rPr>
        <w:t>P101(x,y) ⇒ (∃z)[E7(z) ∧ P16i(,x,z) ∧ P2(z,y)]</w:t>
      </w:r>
    </w:p>
    <w:p w14:paraId="471C87D3" w14:textId="77777777" w:rsidR="0084489F" w:rsidRDefault="00110FE6">
      <w:pPr>
        <w:pStyle w:val="BodyText"/>
      </w:pPr>
      <w:r>
        <w:rPr>
          <w:b/>
          <w:bCs/>
        </w:rPr>
        <w:t>Propriétés</w:t>
      </w:r>
    </w:p>
    <w:p w14:paraId="2C937CF9" w14:textId="77777777" w:rsidR="0084489F" w:rsidRDefault="00110FE6">
      <w:pPr>
        <w:pStyle w:val="BlockText"/>
      </w:pPr>
      <w:r>
        <w:rPr>
          <w:b/>
          <w:bCs/>
          <w:i/>
          <w:iCs/>
        </w:rPr>
        <w:t>Note de traduction</w:t>
      </w:r>
    </w:p>
    <w:p w14:paraId="312E35B3" w14:textId="77777777" w:rsidR="0084489F" w:rsidRDefault="00110FE6">
      <w:pPr>
        <w:pStyle w:val="BlockText"/>
      </w:pPr>
      <w:r>
        <w:rPr>
          <w:b/>
          <w:bCs/>
          <w:i/>
          <w:iCs/>
        </w:rPr>
        <w:t>Références</w:t>
      </w:r>
    </w:p>
    <w:p w14:paraId="54CED451" w14:textId="77777777" w:rsidR="0084489F" w:rsidRDefault="0084489F">
      <w:pPr>
        <w:pStyle w:val="BlockText"/>
      </w:pPr>
    </w:p>
    <w:p w14:paraId="1DB3FB6C" w14:textId="77777777" w:rsidR="0084489F" w:rsidRDefault="00110FE6">
      <w:pPr>
        <w:pStyle w:val="Heading2"/>
      </w:pPr>
      <w:bookmarkStart w:id="442" w:name="_Toc176864601"/>
      <w:bookmarkStart w:id="443" w:name="p102-a-pour-titre-(est-le-titre-de)"/>
      <w:bookmarkEnd w:id="441"/>
      <w:r>
        <w:t>P102 a pour titre (est le titre de)</w:t>
      </w:r>
      <w:bookmarkEnd w:id="442"/>
    </w:p>
    <w:p w14:paraId="1CC12977" w14:textId="77777777" w:rsidR="0084489F" w:rsidRDefault="00110FE6">
      <w:pPr>
        <w:pStyle w:val="FirstParagraph"/>
      </w:pPr>
      <w:r>
        <w:rPr>
          <w:b/>
          <w:bCs/>
        </w:rPr>
        <w:t>Domaine</w:t>
      </w:r>
    </w:p>
    <w:p w14:paraId="39607BCB" w14:textId="77777777" w:rsidR="0084489F" w:rsidRDefault="00110FE6">
      <w:pPr>
        <w:pStyle w:val="BodyText"/>
      </w:pPr>
      <w:r>
        <w:rPr>
          <w:rStyle w:val="VerbatimChar"/>
        </w:rPr>
        <w:t>E71_Chose_élaborée_par_l’humain</w:t>
      </w:r>
    </w:p>
    <w:p w14:paraId="4579F21D" w14:textId="77777777" w:rsidR="0084489F" w:rsidRDefault="00110FE6">
      <w:pPr>
        <w:pStyle w:val="BodyText"/>
      </w:pPr>
      <w:r>
        <w:rPr>
          <w:b/>
          <w:bCs/>
        </w:rPr>
        <w:t>Portée</w:t>
      </w:r>
    </w:p>
    <w:p w14:paraId="724A146E" w14:textId="77777777" w:rsidR="0084489F" w:rsidRDefault="00110FE6">
      <w:pPr>
        <w:pStyle w:val="BodyText"/>
      </w:pPr>
      <w:r>
        <w:rPr>
          <w:rStyle w:val="VerbatimChar"/>
        </w:rPr>
        <w:t>E35_Titre</w:t>
      </w:r>
    </w:p>
    <w:p w14:paraId="1EFEAE42" w14:textId="77777777" w:rsidR="0084489F" w:rsidRDefault="00110FE6">
      <w:pPr>
        <w:pStyle w:val="BodyText"/>
      </w:pPr>
      <w:r>
        <w:rPr>
          <w:b/>
          <w:bCs/>
        </w:rPr>
        <w:t>Sous-propriété de</w:t>
      </w:r>
    </w:p>
    <w:p w14:paraId="2B6FDBD7" w14:textId="77777777" w:rsidR="0084489F" w:rsidRDefault="00110FE6">
      <w:pPr>
        <w:pStyle w:val="BodyText"/>
      </w:pPr>
      <w:r>
        <w:rPr>
          <w:rStyle w:val="VerbatimChar"/>
        </w:rPr>
        <w:t>E1_Entité_CRM</w:t>
      </w:r>
      <w:r>
        <w:t xml:space="preserve">. </w:t>
      </w:r>
      <w:r>
        <w:rPr>
          <w:rStyle w:val="VerbatimChar"/>
        </w:rPr>
        <w:t>P1_est_identifié_par (identifie)</w:t>
      </w:r>
      <w:r>
        <w:t xml:space="preserve"> : </w:t>
      </w:r>
      <w:r>
        <w:rPr>
          <w:rStyle w:val="VerbatimChar"/>
        </w:rPr>
        <w:t>E41_Appellation</w:t>
      </w:r>
    </w:p>
    <w:p w14:paraId="7D5193FA" w14:textId="77777777" w:rsidR="0084489F" w:rsidRDefault="00110FE6">
      <w:pPr>
        <w:pStyle w:val="BodyText"/>
      </w:pPr>
      <w:r>
        <w:rPr>
          <w:b/>
          <w:bCs/>
        </w:rPr>
        <w:t>Super-propriété de</w:t>
      </w:r>
    </w:p>
    <w:p w14:paraId="3DA6EBF6" w14:textId="77777777" w:rsidR="0084489F" w:rsidRDefault="00110FE6">
      <w:pPr>
        <w:pStyle w:val="BodyText"/>
      </w:pPr>
      <w:r>
        <w:rPr>
          <w:b/>
          <w:bCs/>
        </w:rPr>
        <w:t>Quantification</w:t>
      </w:r>
    </w:p>
    <w:p w14:paraId="47B705DF" w14:textId="77777777" w:rsidR="0084489F" w:rsidRDefault="00110FE6">
      <w:pPr>
        <w:pStyle w:val="BodyText"/>
      </w:pPr>
      <w:r w:rsidRPr="1B9E7434">
        <w:rPr>
          <w:lang w:val="fr-FR"/>
        </w:rPr>
        <w:t>plusieurs à plusieurs (0,n:0,n)</w:t>
      </w:r>
    </w:p>
    <w:p w14:paraId="53691D1E" w14:textId="77777777" w:rsidR="0084489F" w:rsidRDefault="00110FE6">
      <w:pPr>
        <w:pStyle w:val="BodyText"/>
      </w:pPr>
      <w:r>
        <w:rPr>
          <w:b/>
          <w:bCs/>
        </w:rPr>
        <w:t>Note d’application</w:t>
      </w:r>
    </w:p>
    <w:p w14:paraId="028EF154" w14:textId="77777777" w:rsidR="0084489F" w:rsidRDefault="00110FE6">
      <w:pPr>
        <w:pStyle w:val="BodyText"/>
      </w:pPr>
      <w:r>
        <w:t xml:space="preserve">Cette propriété associe une instance de </w:t>
      </w:r>
      <w:r>
        <w:rPr>
          <w:rStyle w:val="VerbatimChar"/>
        </w:rPr>
        <w:t>E35_Titre</w:t>
      </w:r>
      <w:r>
        <w:t xml:space="preserve"> à une instance de </w:t>
      </w:r>
      <w:r>
        <w:rPr>
          <w:rStyle w:val="VerbatimChar"/>
        </w:rPr>
        <w:t>E71_Chose_élaborée_par_l’humain</w:t>
      </w:r>
      <w:r>
        <w:t xml:space="preserve"> à laquelle elle s'applique.</w:t>
      </w:r>
    </w:p>
    <w:p w14:paraId="40CCC66F" w14:textId="77777777" w:rsidR="0084489F" w:rsidRDefault="00110FE6">
      <w:pPr>
        <w:pStyle w:val="BodyText"/>
      </w:pPr>
      <w:r w:rsidRPr="1B9E7434">
        <w:rPr>
          <w:lang w:val="fr-FR"/>
        </w:rPr>
        <w:t xml:space="preserve">La propriété </w:t>
      </w:r>
      <w:r w:rsidRPr="1B9E7434">
        <w:rPr>
          <w:rStyle w:val="VerbatimChar"/>
          <w:lang w:val="fr-FR"/>
        </w:rPr>
        <w:t>P102.1_a_pour_type</w:t>
      </w:r>
      <w:r w:rsidRPr="1B9E7434">
        <w:rPr>
          <w:lang w:val="fr-FR"/>
        </w:rPr>
        <w:t xml:space="preserve"> de la propriété </w:t>
      </w:r>
      <w:r w:rsidRPr="1B9E7434">
        <w:rPr>
          <w:rStyle w:val="VerbatimChar"/>
          <w:lang w:val="fr-FR"/>
        </w:rPr>
        <w:t>P102_a_pour_titre (est_le_titre_de)</w:t>
      </w:r>
      <w:r w:rsidRPr="1B9E7434">
        <w:rPr>
          <w:lang w:val="fr-FR"/>
        </w:rPr>
        <w:t xml:space="preserve"> permet de clarifier la relation entre le titre et la chose, par exemple, s'il s'agit d'un titre donné, d'un titre attribué, etc.</w:t>
      </w:r>
    </w:p>
    <w:p w14:paraId="0AE55C88" w14:textId="77777777" w:rsidR="0084489F" w:rsidRDefault="00110FE6">
      <w:pPr>
        <w:pStyle w:val="BodyText"/>
      </w:pPr>
      <w:r w:rsidRPr="1B9E7434">
        <w:rPr>
          <w:rStyle w:val="VerbatimChar"/>
          <w:lang w:val="fr-FR"/>
        </w:rPr>
        <w:t>P102_a_pour_titre (est_le_titre_de)</w:t>
      </w:r>
      <w:r w:rsidRPr="1B9E7434">
        <w:rPr>
          <w:lang w:val="fr-FR"/>
        </w:rPr>
        <w:t xml:space="preserve"> permet d'attribuer un titre à toute chose matérielle ou immatérielle élaborée par l'humain. Il est possible d'imaginer qu'un titre soit créé sans un objet spécifique en tête.</w:t>
      </w:r>
    </w:p>
    <w:p w14:paraId="1C1B8D79" w14:textId="77777777" w:rsidR="0084489F" w:rsidRDefault="00110FE6">
      <w:pPr>
        <w:pStyle w:val="BodyText"/>
      </w:pPr>
      <w:r>
        <w:rPr>
          <w:b/>
          <w:bCs/>
        </w:rPr>
        <w:t>Exemples</w:t>
      </w:r>
    </w:p>
    <w:p w14:paraId="680F1A0B" w14:textId="020CC29C" w:rsidR="0084489F" w:rsidRDefault="00110FE6" w:rsidP="00806324">
      <w:pPr>
        <w:numPr>
          <w:ilvl w:val="0"/>
          <w:numId w:val="221"/>
        </w:numPr>
      </w:pPr>
      <w:r w:rsidRPr="1B9E7434">
        <w:rPr>
          <w:lang w:val="fr-FR"/>
        </w:rPr>
        <w:t>Le premier livre de l'Ancien Testament (</w:t>
      </w:r>
      <w:r w:rsidRPr="1B9E7434">
        <w:rPr>
          <w:rStyle w:val="VerbatimChar"/>
          <w:lang w:val="fr-FR"/>
        </w:rPr>
        <w:t>E33_Objet_linguistique</w:t>
      </w:r>
      <w:r w:rsidRPr="1B9E7434">
        <w:rPr>
          <w:lang w:val="fr-FR"/>
        </w:rPr>
        <w:t>) a pour titre (</w:t>
      </w:r>
      <w:r w:rsidRPr="1B9E7434">
        <w:rPr>
          <w:rStyle w:val="VerbatimChar"/>
          <w:lang w:val="fr-FR"/>
        </w:rPr>
        <w:t>P102_a_pour_titre</w:t>
      </w:r>
      <w:r w:rsidRPr="1B9E7434">
        <w:rPr>
          <w:lang w:val="fr-FR"/>
        </w:rPr>
        <w:t xml:space="preserve">) </w:t>
      </w:r>
      <w:r w:rsidRPr="1B9E7434">
        <w:rPr>
          <w:i/>
          <w:iCs/>
          <w:lang w:val="fr-FR"/>
        </w:rPr>
        <w:t>Genèse</w:t>
      </w:r>
      <w:r w:rsidRPr="1B9E7434">
        <w:rPr>
          <w:lang w:val="fr-FR"/>
        </w:rPr>
        <w:t xml:space="preserve"> (</w:t>
      </w:r>
      <w:r w:rsidRPr="1B9E7434">
        <w:rPr>
          <w:rStyle w:val="VerbatimChar"/>
          <w:lang w:val="fr-FR"/>
        </w:rPr>
        <w:t>E35_Titre</w:t>
      </w:r>
      <w:r w:rsidRPr="1B9E7434">
        <w:rPr>
          <w:lang w:val="fr-FR"/>
        </w:rPr>
        <w:t>), qui a pour type (</w:t>
      </w:r>
      <w:r w:rsidRPr="1B9E7434">
        <w:rPr>
          <w:rStyle w:val="VerbatimChar"/>
          <w:lang w:val="fr-FR"/>
        </w:rPr>
        <w:t>P102.1_a_pour_type</w:t>
      </w:r>
      <w:r w:rsidRPr="1B9E7434">
        <w:rPr>
          <w:lang w:val="fr-FR"/>
        </w:rPr>
        <w:t>) « titre traduit » (</w:t>
      </w:r>
      <w:r w:rsidRPr="1B9E7434">
        <w:rPr>
          <w:rStyle w:val="VerbatimChar"/>
          <w:lang w:val="fr-FR"/>
        </w:rPr>
        <w:t>E55_Type</w:t>
      </w:r>
      <w:r w:rsidRPr="1B9E7434">
        <w:rPr>
          <w:lang w:val="fr-FR"/>
        </w:rPr>
        <w:t>) (Brueggemann, 1982)</w:t>
      </w:r>
    </w:p>
    <w:p w14:paraId="266715F4" w14:textId="77777777" w:rsidR="0084489F" w:rsidRDefault="00110FE6" w:rsidP="00806324">
      <w:pPr>
        <w:numPr>
          <w:ilvl w:val="0"/>
          <w:numId w:val="221"/>
        </w:numPr>
      </w:pPr>
      <w:r>
        <w:lastRenderedPageBreak/>
        <w:t>Le tableau de Monet de 1868-1869 conservé au musée d'Orsay, à Paris, sous le numéro d'inventaire RF 1984 164 (</w:t>
      </w:r>
      <w:r>
        <w:rPr>
          <w:rStyle w:val="VerbatimChar"/>
        </w:rPr>
        <w:t>E22_Objet_élaboré_par_l’humain</w:t>
      </w:r>
      <w:r>
        <w:t>) a pour titre (</w:t>
      </w:r>
      <w:r>
        <w:rPr>
          <w:rStyle w:val="VerbatimChar"/>
        </w:rPr>
        <w:t>P102_a_pour_titre</w:t>
      </w:r>
      <w:r>
        <w:t xml:space="preserve">) </w:t>
      </w:r>
      <w:r>
        <w:rPr>
          <w:i/>
          <w:iCs/>
        </w:rPr>
        <w:t>La Pie</w:t>
      </w:r>
      <w:r>
        <w:t xml:space="preserve"> (</w:t>
      </w:r>
      <w:r>
        <w:rPr>
          <w:rStyle w:val="VerbatimChar"/>
        </w:rPr>
        <w:t>E35_Titre</w:t>
      </w:r>
      <w:r>
        <w:t>), qui a pour type (</w:t>
      </w:r>
      <w:r>
        <w:rPr>
          <w:rStyle w:val="VerbatimChar"/>
        </w:rPr>
        <w:t>P102.1_a_pour_type</w:t>
      </w:r>
      <w:r>
        <w:t>) « titre du créateur » (</w:t>
      </w:r>
      <w:r>
        <w:rPr>
          <w:rStyle w:val="VerbatimChar"/>
        </w:rPr>
        <w:t>E55_Type</w:t>
      </w:r>
      <w:r>
        <w:t>) (Musée d'Orsay, 2020)</w:t>
      </w:r>
    </w:p>
    <w:p w14:paraId="5BC1F214" w14:textId="44FF3CA1" w:rsidR="0084489F" w:rsidRDefault="00110FE6" w:rsidP="00806324">
      <w:pPr>
        <w:numPr>
          <w:ilvl w:val="0"/>
          <w:numId w:val="221"/>
        </w:numPr>
      </w:pPr>
      <w:r w:rsidRPr="1B9E7434">
        <w:rPr>
          <w:lang w:val="fr-FR"/>
        </w:rPr>
        <w:t>Le tableau de Monet de 1868-1869 conservé au musée d'Orsay, à Paris, sous le numéro d'inventaire RF 1984 164 (</w:t>
      </w:r>
      <w:r w:rsidRPr="1B9E7434">
        <w:rPr>
          <w:rStyle w:val="VerbatimChar"/>
          <w:lang w:val="fr-FR"/>
        </w:rPr>
        <w:t>E22_Objet_élaboré_par_l’humain</w:t>
      </w:r>
      <w:r w:rsidRPr="1B9E7434">
        <w:rPr>
          <w:lang w:val="fr-FR"/>
        </w:rPr>
        <w:t>) a pour titre (</w:t>
      </w:r>
      <w:r w:rsidRPr="1B9E7434">
        <w:rPr>
          <w:rStyle w:val="VerbatimChar"/>
          <w:lang w:val="fr-FR"/>
        </w:rPr>
        <w:t>P102_a_pour_titre</w:t>
      </w:r>
      <w:r w:rsidRPr="1B9E7434">
        <w:rPr>
          <w:lang w:val="fr-FR"/>
        </w:rPr>
        <w:t xml:space="preserve">) </w:t>
      </w:r>
      <w:r w:rsidRPr="1B9E7434">
        <w:rPr>
          <w:i/>
          <w:iCs/>
          <w:lang w:val="fr-FR"/>
        </w:rPr>
        <w:t>The Magpie</w:t>
      </w:r>
      <w:r w:rsidRPr="1B9E7434">
        <w:rPr>
          <w:lang w:val="fr-FR"/>
        </w:rPr>
        <w:t xml:space="preserve"> (</w:t>
      </w:r>
      <w:r w:rsidRPr="1B9E7434">
        <w:rPr>
          <w:rStyle w:val="VerbatimChar"/>
          <w:lang w:val="fr-FR"/>
        </w:rPr>
        <w:t>E35_Titre</w:t>
      </w:r>
      <w:r w:rsidRPr="1B9E7434">
        <w:rPr>
          <w:lang w:val="fr-FR"/>
        </w:rPr>
        <w:t>), qui a pour type (</w:t>
      </w:r>
      <w:r w:rsidRPr="1B9E7434">
        <w:rPr>
          <w:rStyle w:val="VerbatimChar"/>
          <w:lang w:val="fr-FR"/>
        </w:rPr>
        <w:t>P102.1_a_pour_type</w:t>
      </w:r>
      <w:r w:rsidRPr="1B9E7434">
        <w:rPr>
          <w:lang w:val="fr-FR"/>
        </w:rPr>
        <w:t>) « titre traduit » (</w:t>
      </w:r>
      <w:r w:rsidRPr="1B9E7434">
        <w:rPr>
          <w:rStyle w:val="VerbatimChar"/>
          <w:lang w:val="fr-FR"/>
        </w:rPr>
        <w:t>E55_Type</w:t>
      </w:r>
      <w:r w:rsidRPr="1B9E7434">
        <w:rPr>
          <w:lang w:val="fr-FR"/>
        </w:rPr>
        <w:t>) (Musée d'Orsay, 2020)</w:t>
      </w:r>
    </w:p>
    <w:p w14:paraId="3A70CB33" w14:textId="77777777" w:rsidR="0084489F" w:rsidRDefault="00110FE6">
      <w:pPr>
        <w:pStyle w:val="FirstParagraph"/>
      </w:pPr>
      <w:r>
        <w:rPr>
          <w:b/>
          <w:bCs/>
        </w:rPr>
        <w:t>Logique</w:t>
      </w:r>
    </w:p>
    <w:p w14:paraId="14302684" w14:textId="77777777" w:rsidR="0084489F" w:rsidRDefault="00110FE6">
      <w:pPr>
        <w:pStyle w:val="BodyText"/>
      </w:pPr>
      <w:r w:rsidRPr="1B9E7434">
        <w:rPr>
          <w:lang w:val="fr-FR"/>
        </w:rPr>
        <w:t>P102(x,y) ⇒ E71(x)</w:t>
      </w:r>
    </w:p>
    <w:p w14:paraId="16425844" w14:textId="77777777" w:rsidR="0084489F" w:rsidRDefault="00110FE6">
      <w:pPr>
        <w:pStyle w:val="BodyText"/>
      </w:pPr>
      <w:r w:rsidRPr="1B9E7434">
        <w:rPr>
          <w:lang w:val="fr-FR"/>
        </w:rPr>
        <w:t>P102(x,y) ⇒ E35(y)</w:t>
      </w:r>
    </w:p>
    <w:p w14:paraId="0A40F908" w14:textId="77777777" w:rsidR="0084489F" w:rsidRDefault="00110FE6">
      <w:pPr>
        <w:pStyle w:val="BodyText"/>
      </w:pPr>
      <w:r w:rsidRPr="1B9E7434">
        <w:rPr>
          <w:lang w:val="fr-FR"/>
        </w:rPr>
        <w:t>P102(x,y,z) ⇒ [P102(x,y) ∧ E55(z)]</w:t>
      </w:r>
    </w:p>
    <w:p w14:paraId="799E5097" w14:textId="77777777" w:rsidR="0084489F" w:rsidRDefault="00110FE6">
      <w:pPr>
        <w:pStyle w:val="BodyText"/>
      </w:pPr>
      <w:r w:rsidRPr="1B9E7434">
        <w:rPr>
          <w:lang w:val="fr-FR"/>
        </w:rPr>
        <w:t>P102(x,y) ⇒ P1(x,y)</w:t>
      </w:r>
    </w:p>
    <w:p w14:paraId="4986A2E5" w14:textId="77777777" w:rsidR="0084489F" w:rsidRDefault="00110FE6">
      <w:pPr>
        <w:pStyle w:val="BodyText"/>
      </w:pPr>
      <w:r>
        <w:rPr>
          <w:b/>
          <w:bCs/>
        </w:rPr>
        <w:t>Propriétés</w:t>
      </w:r>
    </w:p>
    <w:p w14:paraId="4D2416B7" w14:textId="77777777" w:rsidR="0084489F" w:rsidRDefault="00110FE6">
      <w:pPr>
        <w:pStyle w:val="BodyText"/>
      </w:pPr>
      <w:r>
        <w:rPr>
          <w:rStyle w:val="VerbatimChar"/>
        </w:rPr>
        <w:t>P102.1_a_pour_type</w:t>
      </w:r>
      <w:r>
        <w:t xml:space="preserve"> : </w:t>
      </w:r>
      <w:r>
        <w:rPr>
          <w:rStyle w:val="VerbatimChar"/>
        </w:rPr>
        <w:t>E55_Type</w:t>
      </w:r>
    </w:p>
    <w:p w14:paraId="7C88370E" w14:textId="77777777" w:rsidR="0084489F" w:rsidRDefault="00110FE6">
      <w:pPr>
        <w:pStyle w:val="BlockText"/>
      </w:pPr>
      <w:r>
        <w:rPr>
          <w:b/>
          <w:bCs/>
          <w:i/>
          <w:iCs/>
        </w:rPr>
        <w:t>Note de traduction</w:t>
      </w:r>
    </w:p>
    <w:p w14:paraId="10B5065B" w14:textId="77777777" w:rsidR="0084489F" w:rsidRDefault="00110FE6">
      <w:pPr>
        <w:pStyle w:val="BlockText"/>
      </w:pPr>
      <w:r>
        <w:rPr>
          <w:b/>
          <w:bCs/>
          <w:i/>
          <w:iCs/>
        </w:rPr>
        <w:t>Références</w:t>
      </w:r>
    </w:p>
    <w:p w14:paraId="0BC184B0" w14:textId="77777777" w:rsidR="0084489F" w:rsidRDefault="0084489F">
      <w:pPr>
        <w:pStyle w:val="BlockText"/>
      </w:pPr>
    </w:p>
    <w:p w14:paraId="1A0C0D2F" w14:textId="77777777" w:rsidR="0084489F" w:rsidRDefault="00110FE6">
      <w:pPr>
        <w:pStyle w:val="Heading2"/>
      </w:pPr>
      <w:bookmarkStart w:id="444" w:name="_Toc176864602"/>
      <w:bookmarkStart w:id="445" w:name="X371eeb48009f3103554339a6fdd46cad62ab854"/>
      <w:bookmarkEnd w:id="443"/>
      <w:r>
        <w:t>P103 a eu pour raison d'être (a été la raison d'être de)</w:t>
      </w:r>
      <w:bookmarkEnd w:id="444"/>
    </w:p>
    <w:p w14:paraId="5B629538" w14:textId="77777777" w:rsidR="0084489F" w:rsidRDefault="00110FE6">
      <w:pPr>
        <w:pStyle w:val="FirstParagraph"/>
      </w:pPr>
      <w:r>
        <w:rPr>
          <w:b/>
          <w:bCs/>
        </w:rPr>
        <w:t>Domaine</w:t>
      </w:r>
    </w:p>
    <w:p w14:paraId="70037AAE" w14:textId="77777777" w:rsidR="0084489F" w:rsidRDefault="00110FE6">
      <w:pPr>
        <w:pStyle w:val="BodyText"/>
      </w:pPr>
      <w:r>
        <w:rPr>
          <w:rStyle w:val="VerbatimChar"/>
        </w:rPr>
        <w:t>E71_Chose_élaborée_par_l’humain</w:t>
      </w:r>
    </w:p>
    <w:p w14:paraId="50865048" w14:textId="77777777" w:rsidR="0084489F" w:rsidRDefault="00110FE6">
      <w:pPr>
        <w:pStyle w:val="BodyText"/>
      </w:pPr>
      <w:r>
        <w:rPr>
          <w:b/>
          <w:bCs/>
        </w:rPr>
        <w:t>Portée</w:t>
      </w:r>
    </w:p>
    <w:p w14:paraId="4BC2C9B9" w14:textId="77777777" w:rsidR="0084489F" w:rsidRDefault="00110FE6">
      <w:pPr>
        <w:pStyle w:val="BodyText"/>
      </w:pPr>
      <w:r>
        <w:rPr>
          <w:rStyle w:val="VerbatimChar"/>
        </w:rPr>
        <w:t>E55_Type</w:t>
      </w:r>
    </w:p>
    <w:p w14:paraId="0AC1A9CF" w14:textId="77777777" w:rsidR="0084489F" w:rsidRDefault="00110FE6">
      <w:pPr>
        <w:pStyle w:val="BodyText"/>
      </w:pPr>
      <w:r>
        <w:rPr>
          <w:b/>
          <w:bCs/>
        </w:rPr>
        <w:t>Sous-propriété de</w:t>
      </w:r>
    </w:p>
    <w:p w14:paraId="429C1762" w14:textId="77777777" w:rsidR="0084489F" w:rsidRDefault="00110FE6">
      <w:pPr>
        <w:pStyle w:val="BodyText"/>
      </w:pPr>
      <w:r>
        <w:rPr>
          <w:b/>
          <w:bCs/>
        </w:rPr>
        <w:t>Super-propriété de</w:t>
      </w:r>
    </w:p>
    <w:p w14:paraId="7939D261" w14:textId="77777777" w:rsidR="0084489F" w:rsidRDefault="00110FE6">
      <w:pPr>
        <w:pStyle w:val="BodyText"/>
      </w:pPr>
      <w:r>
        <w:rPr>
          <w:b/>
          <w:bCs/>
        </w:rPr>
        <w:t>Quantification</w:t>
      </w:r>
    </w:p>
    <w:p w14:paraId="3A48D3E4" w14:textId="77777777" w:rsidR="0084489F" w:rsidRDefault="00110FE6">
      <w:pPr>
        <w:pStyle w:val="BodyText"/>
      </w:pPr>
      <w:r w:rsidRPr="1B9E7434">
        <w:rPr>
          <w:lang w:val="fr-FR"/>
        </w:rPr>
        <w:t>plusieurs à plusieurs (0,n:0,n)</w:t>
      </w:r>
    </w:p>
    <w:p w14:paraId="16F5A706" w14:textId="77777777" w:rsidR="0084489F" w:rsidRDefault="00110FE6">
      <w:pPr>
        <w:pStyle w:val="BodyText"/>
      </w:pPr>
      <w:r>
        <w:rPr>
          <w:b/>
          <w:bCs/>
        </w:rPr>
        <w:t>Note d’application</w:t>
      </w:r>
    </w:p>
    <w:p w14:paraId="691558CF" w14:textId="77777777" w:rsidR="0084489F" w:rsidRDefault="00110FE6">
      <w:pPr>
        <w:pStyle w:val="BodyText"/>
      </w:pPr>
      <w:r>
        <w:t xml:space="preserve">Cette propriété lie une instance de </w:t>
      </w:r>
      <w:r>
        <w:rPr>
          <w:rStyle w:val="VerbatimChar"/>
        </w:rPr>
        <w:t>E71_Chose_élaborée_par_l’humain</w:t>
      </w:r>
      <w:r>
        <w:t xml:space="preserve"> à une instance de </w:t>
      </w:r>
      <w:r>
        <w:rPr>
          <w:rStyle w:val="VerbatimChar"/>
        </w:rPr>
        <w:t>E55_Type</w:t>
      </w:r>
      <w:r>
        <w:t xml:space="preserve"> qui décrit son utilisation ou son audience.</w:t>
      </w:r>
    </w:p>
    <w:p w14:paraId="72FCEFE9" w14:textId="77777777" w:rsidR="0084489F" w:rsidRDefault="00110FE6">
      <w:pPr>
        <w:pStyle w:val="BodyText"/>
      </w:pPr>
      <w:r w:rsidRPr="1B9E7434">
        <w:rPr>
          <w:lang w:val="fr-FR"/>
        </w:rPr>
        <w:t xml:space="preserve">La propriété </w:t>
      </w:r>
      <w:r w:rsidRPr="1B9E7434">
        <w:rPr>
          <w:rStyle w:val="VerbatimChar"/>
          <w:lang w:val="fr-FR"/>
        </w:rPr>
        <w:t>P103_a_eu_pour_raison_d’être (a_été_la_raison_d’être_de)</w:t>
      </w:r>
      <w:r w:rsidRPr="1B9E7434">
        <w:rPr>
          <w:lang w:val="fr-FR"/>
        </w:rPr>
        <w:t xml:space="preserve"> crée une relation entre des choses matérielles ou immatérielles et une instance de </w:t>
      </w:r>
      <w:r w:rsidRPr="1B9E7434">
        <w:rPr>
          <w:rStyle w:val="VerbatimChar"/>
          <w:lang w:val="fr-FR"/>
        </w:rPr>
        <w:t>E55_Type</w:t>
      </w:r>
      <w:r w:rsidRPr="1B9E7434">
        <w:rPr>
          <w:lang w:val="fr-FR"/>
        </w:rPr>
        <w:t>. Elle peut être utilisée pour spécifier des méthodes ou techniques d'utilisation prévues, ou encore pour qualifier une audience anticipée en indiquant un type de caractéristique personnelle que tous les membres de cette audience possèdent.</w:t>
      </w:r>
    </w:p>
    <w:p w14:paraId="6C8CC15E" w14:textId="77777777" w:rsidR="0084489F" w:rsidRDefault="00110FE6">
      <w:pPr>
        <w:pStyle w:val="BodyText"/>
      </w:pPr>
      <w:r w:rsidRPr="1B9E7434">
        <w:rPr>
          <w:lang w:val="fr-FR"/>
        </w:rPr>
        <w:t xml:space="preserve">Note: le lien entre des choses spécifiques élaborées par l'humain et une activité d'utilisation spécifique devrait être exprimé en utilisant la propriété </w:t>
      </w:r>
      <w:r w:rsidRPr="1B9E7434">
        <w:rPr>
          <w:rStyle w:val="VerbatimChar"/>
          <w:lang w:val="fr-FR"/>
        </w:rPr>
        <w:t>P19_a_été_l’usage_prévu_de (a_été_élaboré_pour)</w:t>
      </w:r>
      <w:r w:rsidRPr="1B9E7434">
        <w:rPr>
          <w:lang w:val="fr-FR"/>
        </w:rPr>
        <w:t>.</w:t>
      </w:r>
    </w:p>
    <w:p w14:paraId="6EE31993" w14:textId="77777777" w:rsidR="0084489F" w:rsidRDefault="00110FE6">
      <w:pPr>
        <w:pStyle w:val="BodyText"/>
      </w:pPr>
      <w:r>
        <w:rPr>
          <w:b/>
          <w:bCs/>
        </w:rPr>
        <w:lastRenderedPageBreak/>
        <w:t>Exemples</w:t>
      </w:r>
    </w:p>
    <w:p w14:paraId="195901EF" w14:textId="77777777" w:rsidR="0084489F" w:rsidRDefault="00110FE6" w:rsidP="00806324">
      <w:pPr>
        <w:numPr>
          <w:ilvl w:val="0"/>
          <w:numId w:val="222"/>
        </w:numPr>
      </w:pPr>
      <w:r>
        <w:t>Ce plat (</w:t>
      </w:r>
      <w:r>
        <w:rPr>
          <w:rStyle w:val="VerbatimChar"/>
        </w:rPr>
        <w:t>E22_Objet_élaboré_par_l’humain</w:t>
      </w:r>
      <w:r>
        <w:t>) a eu pour raison d'être (</w:t>
      </w:r>
      <w:r>
        <w:rPr>
          <w:rStyle w:val="VerbatimChar"/>
        </w:rPr>
        <w:t>P103_a_eu_pour_raison_d’être</w:t>
      </w:r>
      <w:r>
        <w:t>) d'être détruit lors d'une réception de mariage (</w:t>
      </w:r>
      <w:r>
        <w:rPr>
          <w:rStyle w:val="VerbatimChar"/>
        </w:rPr>
        <w:t>E55_Type</w:t>
      </w:r>
      <w:r>
        <w:t>) (fictif)</w:t>
      </w:r>
    </w:p>
    <w:p w14:paraId="06ABE619" w14:textId="43FDC735" w:rsidR="0084489F" w:rsidRDefault="00110FE6" w:rsidP="00806324">
      <w:pPr>
        <w:numPr>
          <w:ilvl w:val="0"/>
          <w:numId w:val="222"/>
        </w:numPr>
      </w:pPr>
      <w:r w:rsidRPr="1B9E7434">
        <w:rPr>
          <w:i/>
          <w:iCs/>
          <w:lang w:val="fr-FR"/>
        </w:rPr>
        <w:t>Reading for life, a first book for adults and their tutors</w:t>
      </w:r>
      <w:r w:rsidRPr="1B9E7434">
        <w:rPr>
          <w:lang w:val="fr-FR"/>
        </w:rPr>
        <w:t xml:space="preserve"> (</w:t>
      </w:r>
      <w:r w:rsidRPr="1B9E7434">
        <w:rPr>
          <w:rStyle w:val="VerbatimChar"/>
          <w:lang w:val="fr-FR"/>
        </w:rPr>
        <w:t>E28_Objet_conceptuel</w:t>
      </w:r>
      <w:r w:rsidRPr="1B9E7434">
        <w:rPr>
          <w:lang w:val="fr-FR"/>
        </w:rPr>
        <w:t>) avait pour audience anticipée (</w:t>
      </w:r>
      <w:r w:rsidRPr="1B9E7434">
        <w:rPr>
          <w:rStyle w:val="VerbatimChar"/>
          <w:lang w:val="fr-FR"/>
        </w:rPr>
        <w:t>P103_a_eu_pour_raison_d’être</w:t>
      </w:r>
      <w:r w:rsidRPr="1B9E7434">
        <w:rPr>
          <w:lang w:val="fr-FR"/>
        </w:rPr>
        <w:t>) les adultes étudiant l'anglais (</w:t>
      </w:r>
      <w:r w:rsidRPr="1B9E7434">
        <w:rPr>
          <w:rStyle w:val="VerbatimChar"/>
          <w:lang w:val="fr-FR"/>
        </w:rPr>
        <w:t>E55_Type</w:t>
      </w:r>
      <w:r w:rsidRPr="1B9E7434">
        <w:rPr>
          <w:lang w:val="fr-FR"/>
        </w:rPr>
        <w:t>) (Allen, 1987)</w:t>
      </w:r>
    </w:p>
    <w:p w14:paraId="0BA7105F" w14:textId="361ADA13" w:rsidR="0084489F" w:rsidRDefault="00110FE6" w:rsidP="00806324">
      <w:pPr>
        <w:numPr>
          <w:ilvl w:val="0"/>
          <w:numId w:val="222"/>
        </w:numPr>
      </w:pPr>
      <w:r w:rsidRPr="1B9E7434">
        <w:rPr>
          <w:i/>
          <w:iCs/>
          <w:lang w:val="fr-FR"/>
        </w:rPr>
        <w:t>Piglet has a bath</w:t>
      </w:r>
      <w:r w:rsidRPr="1B9E7434">
        <w:rPr>
          <w:lang w:val="fr-FR"/>
        </w:rPr>
        <w:t xml:space="preserve"> publié sous forme de livre plastifié (</w:t>
      </w:r>
      <w:r w:rsidRPr="1B9E7434">
        <w:rPr>
          <w:rStyle w:val="VerbatimChar"/>
          <w:lang w:val="fr-FR"/>
        </w:rPr>
        <w:t>E28_Objet_conceptuel</w:t>
      </w:r>
      <w:r w:rsidRPr="1B9E7434">
        <w:rPr>
          <w:lang w:val="fr-FR"/>
        </w:rPr>
        <w:t>) avait pour audience anticipée (</w:t>
      </w:r>
      <w:r w:rsidRPr="1B9E7434">
        <w:rPr>
          <w:rStyle w:val="VerbatimChar"/>
          <w:lang w:val="fr-FR"/>
        </w:rPr>
        <w:t>P103_a_eu_pour_raison_d’être</w:t>
      </w:r>
      <w:r w:rsidRPr="1B9E7434">
        <w:rPr>
          <w:lang w:val="fr-FR"/>
        </w:rPr>
        <w:t>) de jeunes enfants prenant leur bain (</w:t>
      </w:r>
      <w:r w:rsidRPr="1B9E7434">
        <w:rPr>
          <w:rStyle w:val="VerbatimChar"/>
          <w:lang w:val="fr-FR"/>
        </w:rPr>
        <w:t>E55_Type</w:t>
      </w:r>
      <w:r w:rsidRPr="1B9E7434">
        <w:rPr>
          <w:lang w:val="fr-FR"/>
        </w:rPr>
        <w:t>) (Milne &amp; Shepard, 1998)</w:t>
      </w:r>
    </w:p>
    <w:p w14:paraId="232BC456" w14:textId="77777777" w:rsidR="0084489F" w:rsidRDefault="00110FE6">
      <w:pPr>
        <w:pStyle w:val="FirstParagraph"/>
      </w:pPr>
      <w:r>
        <w:rPr>
          <w:b/>
          <w:bCs/>
        </w:rPr>
        <w:t>Logique</w:t>
      </w:r>
    </w:p>
    <w:p w14:paraId="6117D714" w14:textId="77777777" w:rsidR="0084489F" w:rsidRDefault="00110FE6">
      <w:pPr>
        <w:pStyle w:val="BodyText"/>
      </w:pPr>
      <w:r w:rsidRPr="1B9E7434">
        <w:rPr>
          <w:lang w:val="fr-FR"/>
        </w:rPr>
        <w:t>P103(x,y) ⇒ E71(x)</w:t>
      </w:r>
    </w:p>
    <w:p w14:paraId="6AA3112D" w14:textId="77777777" w:rsidR="0084489F" w:rsidRDefault="00110FE6">
      <w:pPr>
        <w:pStyle w:val="BodyText"/>
      </w:pPr>
      <w:r w:rsidRPr="1B9E7434">
        <w:rPr>
          <w:lang w:val="fr-FR"/>
        </w:rPr>
        <w:t>P103(x,y) ⇒ E55(y)</w:t>
      </w:r>
    </w:p>
    <w:p w14:paraId="0CD6CF4E" w14:textId="77777777" w:rsidR="0084489F" w:rsidRDefault="00110FE6">
      <w:pPr>
        <w:pStyle w:val="BodyText"/>
      </w:pPr>
      <w:r>
        <w:rPr>
          <w:b/>
          <w:bCs/>
        </w:rPr>
        <w:t>Propriétés</w:t>
      </w:r>
    </w:p>
    <w:p w14:paraId="27DBA2A7" w14:textId="77777777" w:rsidR="0084489F" w:rsidRDefault="00110FE6">
      <w:pPr>
        <w:pStyle w:val="BlockText"/>
      </w:pPr>
      <w:r>
        <w:rPr>
          <w:b/>
          <w:bCs/>
          <w:i/>
          <w:iCs/>
        </w:rPr>
        <w:t>Note de traduction</w:t>
      </w:r>
    </w:p>
    <w:p w14:paraId="2FFBA6CD" w14:textId="77777777" w:rsidR="0084489F" w:rsidRDefault="00110FE6">
      <w:pPr>
        <w:pStyle w:val="BlockText"/>
      </w:pPr>
      <w:r>
        <w:rPr>
          <w:b/>
          <w:bCs/>
          <w:i/>
          <w:iCs/>
        </w:rPr>
        <w:t>Références</w:t>
      </w:r>
    </w:p>
    <w:p w14:paraId="643AE0E9" w14:textId="77777777" w:rsidR="0084489F" w:rsidRDefault="0084489F">
      <w:pPr>
        <w:pStyle w:val="BlockText"/>
      </w:pPr>
    </w:p>
    <w:p w14:paraId="41D32DB3" w14:textId="77777777" w:rsidR="0084489F" w:rsidRDefault="00110FE6">
      <w:pPr>
        <w:pStyle w:val="Heading2"/>
      </w:pPr>
      <w:bookmarkStart w:id="446" w:name="_Toc176864603"/>
      <w:bookmarkStart w:id="447" w:name="p104-est-soumis-a-(sapplique-a)"/>
      <w:bookmarkEnd w:id="445"/>
      <w:r>
        <w:t>P104 est soumis à (s’applique à)</w:t>
      </w:r>
      <w:bookmarkEnd w:id="446"/>
    </w:p>
    <w:p w14:paraId="5D8D0ACF" w14:textId="77777777" w:rsidR="0084489F" w:rsidRDefault="00110FE6">
      <w:pPr>
        <w:pStyle w:val="FirstParagraph"/>
      </w:pPr>
      <w:r>
        <w:rPr>
          <w:b/>
          <w:bCs/>
        </w:rPr>
        <w:t>Domaine</w:t>
      </w:r>
    </w:p>
    <w:p w14:paraId="06E49ECA" w14:textId="77777777" w:rsidR="0084489F" w:rsidRDefault="00110FE6">
      <w:pPr>
        <w:pStyle w:val="BodyText"/>
      </w:pPr>
      <w:r>
        <w:rPr>
          <w:rStyle w:val="VerbatimChar"/>
        </w:rPr>
        <w:t>E72_Objet_juridique</w:t>
      </w:r>
    </w:p>
    <w:p w14:paraId="0BAC5AF7" w14:textId="77777777" w:rsidR="0084489F" w:rsidRDefault="00110FE6">
      <w:pPr>
        <w:pStyle w:val="BodyText"/>
      </w:pPr>
      <w:r>
        <w:rPr>
          <w:b/>
          <w:bCs/>
        </w:rPr>
        <w:t>Portée</w:t>
      </w:r>
    </w:p>
    <w:p w14:paraId="6E2A7651" w14:textId="77777777" w:rsidR="0084489F" w:rsidRDefault="00110FE6">
      <w:pPr>
        <w:pStyle w:val="BodyText"/>
      </w:pPr>
      <w:r>
        <w:rPr>
          <w:rStyle w:val="VerbatimChar"/>
        </w:rPr>
        <w:t>E30_Droit</w:t>
      </w:r>
    </w:p>
    <w:p w14:paraId="6E09F14B" w14:textId="77777777" w:rsidR="0084489F" w:rsidRDefault="00110FE6">
      <w:pPr>
        <w:pStyle w:val="BodyText"/>
      </w:pPr>
      <w:r>
        <w:rPr>
          <w:b/>
          <w:bCs/>
        </w:rPr>
        <w:t>Sous-propriété de</w:t>
      </w:r>
    </w:p>
    <w:p w14:paraId="0E7AAB6E" w14:textId="77777777" w:rsidR="0084489F" w:rsidRDefault="00110FE6">
      <w:pPr>
        <w:pStyle w:val="BodyText"/>
      </w:pPr>
      <w:r>
        <w:rPr>
          <w:b/>
          <w:bCs/>
        </w:rPr>
        <w:t>Super-propriété de</w:t>
      </w:r>
    </w:p>
    <w:p w14:paraId="130F6511" w14:textId="77777777" w:rsidR="0084489F" w:rsidRDefault="00110FE6">
      <w:pPr>
        <w:pStyle w:val="BodyText"/>
      </w:pPr>
      <w:r>
        <w:rPr>
          <w:b/>
          <w:bCs/>
        </w:rPr>
        <w:t>Quantification</w:t>
      </w:r>
    </w:p>
    <w:p w14:paraId="50A5094D" w14:textId="77777777" w:rsidR="0084489F" w:rsidRDefault="00110FE6">
      <w:pPr>
        <w:pStyle w:val="BodyText"/>
      </w:pPr>
      <w:r w:rsidRPr="1B9E7434">
        <w:rPr>
          <w:lang w:val="fr-FR"/>
        </w:rPr>
        <w:t>plusieurs à plusieurs (0,n:0,n)</w:t>
      </w:r>
    </w:p>
    <w:p w14:paraId="6662BDCA" w14:textId="77777777" w:rsidR="0084489F" w:rsidRDefault="00110FE6">
      <w:pPr>
        <w:pStyle w:val="BodyText"/>
      </w:pPr>
      <w:r>
        <w:rPr>
          <w:b/>
          <w:bCs/>
        </w:rPr>
        <w:t>Note d’application</w:t>
      </w:r>
    </w:p>
    <w:p w14:paraId="7517E105" w14:textId="77777777" w:rsidR="0084489F" w:rsidRDefault="00110FE6">
      <w:pPr>
        <w:pStyle w:val="BodyText"/>
      </w:pPr>
      <w:r>
        <w:t xml:space="preserve">Cette propriété relie une instance de </w:t>
      </w:r>
      <w:r>
        <w:rPr>
          <w:rStyle w:val="VerbatimChar"/>
        </w:rPr>
        <w:t>E72_Objet_juridique</w:t>
      </w:r>
      <w:r>
        <w:t xml:space="preserve"> aux instances de </w:t>
      </w:r>
      <w:r>
        <w:rPr>
          <w:rStyle w:val="VerbatimChar"/>
        </w:rPr>
        <w:t>E30_Droit</w:t>
      </w:r>
      <w:r>
        <w:t xml:space="preserve"> auxquelles elle est soumise.</w:t>
      </w:r>
    </w:p>
    <w:p w14:paraId="30207993" w14:textId="77777777" w:rsidR="0084489F" w:rsidRDefault="00110FE6">
      <w:pPr>
        <w:pStyle w:val="BodyText"/>
      </w:pPr>
      <w:r w:rsidRPr="1B9E7434">
        <w:rPr>
          <w:lang w:val="fr-FR"/>
        </w:rPr>
        <w:t xml:space="preserve">L’instance de </w:t>
      </w:r>
      <w:r w:rsidRPr="1B9E7434">
        <w:rPr>
          <w:rStyle w:val="VerbatimChar"/>
          <w:lang w:val="fr-FR"/>
        </w:rPr>
        <w:t>E30_Droit</w:t>
      </w:r>
      <w:r w:rsidRPr="1B9E7434">
        <w:rPr>
          <w:lang w:val="fr-FR"/>
        </w:rPr>
        <w:t xml:space="preserve"> est détenue par une instance de </w:t>
      </w:r>
      <w:r w:rsidRPr="1B9E7434">
        <w:rPr>
          <w:rStyle w:val="VerbatimChar"/>
          <w:lang w:val="fr-FR"/>
        </w:rPr>
        <w:t>E39_Actant</w:t>
      </w:r>
      <w:r w:rsidRPr="1B9E7434">
        <w:rPr>
          <w:lang w:val="fr-FR"/>
        </w:rPr>
        <w:t xml:space="preserve"> tel que décrit par la propriété </w:t>
      </w:r>
      <w:r w:rsidRPr="1B9E7434">
        <w:rPr>
          <w:rStyle w:val="VerbatimChar"/>
          <w:lang w:val="fr-FR"/>
        </w:rPr>
        <w:t>P75_possède (est_possédé_par)</w:t>
      </w:r>
      <w:r w:rsidRPr="1B9E7434">
        <w:rPr>
          <w:lang w:val="fr-FR"/>
        </w:rPr>
        <w:t>.</w:t>
      </w:r>
    </w:p>
    <w:p w14:paraId="68E4C083" w14:textId="77777777" w:rsidR="0084489F" w:rsidRDefault="00110FE6">
      <w:pPr>
        <w:pStyle w:val="BodyText"/>
      </w:pPr>
      <w:r>
        <w:rPr>
          <w:b/>
          <w:bCs/>
        </w:rPr>
        <w:t>Exemples</w:t>
      </w:r>
    </w:p>
    <w:p w14:paraId="2ABA3FB4" w14:textId="77777777" w:rsidR="0084489F" w:rsidRDefault="00110FE6" w:rsidP="00806324">
      <w:pPr>
        <w:numPr>
          <w:ilvl w:val="0"/>
          <w:numId w:val="223"/>
        </w:numPr>
      </w:pPr>
      <w:r>
        <w:t>Le fond de catalogue des Beatles (</w:t>
      </w:r>
      <w:r>
        <w:rPr>
          <w:rStyle w:val="VerbatimChar"/>
        </w:rPr>
        <w:t>E89_Objet_propositionnel</w:t>
      </w:r>
      <w:r>
        <w:t>) est soumis à (</w:t>
      </w:r>
      <w:r>
        <w:rPr>
          <w:rStyle w:val="VerbatimChar"/>
        </w:rPr>
        <w:t>P104_est_soumis_à</w:t>
      </w:r>
      <w:r>
        <w:t>) des droits de reproduction sur le fond de catalogue des Beatles (</w:t>
      </w:r>
      <w:r>
        <w:rPr>
          <w:rStyle w:val="VerbatimChar"/>
        </w:rPr>
        <w:t>E30_Droit</w:t>
      </w:r>
      <w:r>
        <w:t>) (Raga, 2016)</w:t>
      </w:r>
    </w:p>
    <w:p w14:paraId="462A9543" w14:textId="77777777" w:rsidR="0084489F" w:rsidRDefault="00110FE6" w:rsidP="00FA3C06">
      <w:pPr>
        <w:pStyle w:val="FirstParagraph"/>
        <w:keepNext/>
      </w:pPr>
      <w:r>
        <w:rPr>
          <w:b/>
          <w:bCs/>
        </w:rPr>
        <w:lastRenderedPageBreak/>
        <w:t>Logique</w:t>
      </w:r>
    </w:p>
    <w:p w14:paraId="6AAD0002" w14:textId="77777777" w:rsidR="0084489F" w:rsidRDefault="00110FE6" w:rsidP="00FA3C06">
      <w:pPr>
        <w:pStyle w:val="BodyText"/>
        <w:keepNext/>
      </w:pPr>
      <w:r w:rsidRPr="1B9E7434">
        <w:rPr>
          <w:lang w:val="fr-FR"/>
        </w:rPr>
        <w:t>P104(x,y) ⇒E72(x)</w:t>
      </w:r>
    </w:p>
    <w:p w14:paraId="09E6304F" w14:textId="77777777" w:rsidR="0084489F" w:rsidRDefault="00110FE6">
      <w:pPr>
        <w:pStyle w:val="BodyText"/>
      </w:pPr>
      <w:r w:rsidRPr="1B9E7434">
        <w:rPr>
          <w:lang w:val="fr-FR"/>
        </w:rPr>
        <w:t>P104(x,y) ⇒E30(y)</w:t>
      </w:r>
    </w:p>
    <w:p w14:paraId="5ED80989" w14:textId="77777777" w:rsidR="0084489F" w:rsidRDefault="00110FE6">
      <w:pPr>
        <w:pStyle w:val="BodyText"/>
      </w:pPr>
      <w:r>
        <w:rPr>
          <w:b/>
          <w:bCs/>
        </w:rPr>
        <w:t>Propriétés</w:t>
      </w:r>
    </w:p>
    <w:p w14:paraId="20F2A783" w14:textId="77777777" w:rsidR="0084489F" w:rsidRDefault="00110FE6">
      <w:pPr>
        <w:pStyle w:val="BlockText"/>
      </w:pPr>
      <w:r>
        <w:rPr>
          <w:b/>
          <w:bCs/>
          <w:i/>
          <w:iCs/>
        </w:rPr>
        <w:t>Note de traduction</w:t>
      </w:r>
    </w:p>
    <w:p w14:paraId="1810FECB" w14:textId="77777777" w:rsidR="0084489F" w:rsidRDefault="00110FE6">
      <w:pPr>
        <w:pStyle w:val="BlockText"/>
      </w:pPr>
      <w:r w:rsidRPr="1B9E7434">
        <w:rPr>
          <w:lang w:val="fr-FR"/>
        </w:rPr>
        <w:t>Tel que suggéré par Termium Plus, la traduction la plus adéquate du terme « back catalogue » est « fond de catalogue ».</w:t>
      </w:r>
    </w:p>
    <w:p w14:paraId="5F0B800B" w14:textId="77777777" w:rsidR="0084489F" w:rsidRDefault="00110FE6">
      <w:pPr>
        <w:pStyle w:val="BlockText"/>
      </w:pPr>
      <w:r>
        <w:rPr>
          <w:b/>
          <w:bCs/>
          <w:i/>
          <w:iCs/>
        </w:rPr>
        <w:t>Références</w:t>
      </w:r>
    </w:p>
    <w:p w14:paraId="573C1F14" w14:textId="77777777" w:rsidR="0084489F" w:rsidRDefault="00110FE6">
      <w:pPr>
        <w:pStyle w:val="BlockText"/>
      </w:pPr>
      <w:r w:rsidRPr="1B9E7434">
        <w:rPr>
          <w:lang w:val="fr-FR"/>
        </w:rPr>
        <w:t xml:space="preserve">Termium. « back catalogue ». Dans </w:t>
      </w:r>
      <w:r w:rsidRPr="1B9E7434">
        <w:rPr>
          <w:i/>
          <w:iCs/>
          <w:lang w:val="fr-FR"/>
        </w:rPr>
        <w:t>Termium Plus</w:t>
      </w:r>
      <w:r w:rsidRPr="1B9E7434">
        <w:rPr>
          <w:lang w:val="fr-FR"/>
        </w:rPr>
        <w:t>. Ottawa, CA-ON: Gouvernement du Canada, 8 octobre 2009.</w:t>
      </w:r>
      <w:hyperlink r:id="rId268" w:anchor="resultrecs">
        <w:r w:rsidRPr="1B9E7434">
          <w:rPr>
            <w:rStyle w:val="Hyperlink"/>
            <w:lang w:val="fr-FR"/>
          </w:rPr>
          <w:t xml:space="preserve"> </w:t>
        </w:r>
      </w:hyperlink>
      <w:hyperlink r:id="rId269" w:anchor="resultrecs">
        <w:r w:rsidRPr="1B9E7434">
          <w:rPr>
            <w:rStyle w:val="Hyperlink"/>
            <w:lang w:val="fr-FR"/>
          </w:rPr>
          <w:t>https://www.btb.termiumplus.gc.ca/tpv2alpha/alpha-fra.html?lang=fra&amp;i=1&amp;srchtxt=back+catalogue&amp;index=alt&amp;codom2nd_wet=1#resultrecs</w:t>
        </w:r>
      </w:hyperlink>
      <w:r w:rsidRPr="1B9E7434">
        <w:rPr>
          <w:lang w:val="fr-FR"/>
        </w:rPr>
        <w:t>.</w:t>
      </w:r>
    </w:p>
    <w:p w14:paraId="1060CFE2" w14:textId="77777777" w:rsidR="008F22EC" w:rsidRPr="008F22EC" w:rsidRDefault="008F22EC" w:rsidP="008F22EC">
      <w:pPr>
        <w:pStyle w:val="BodyText"/>
      </w:pPr>
    </w:p>
    <w:p w14:paraId="3881307C" w14:textId="77777777" w:rsidR="0084489F" w:rsidRDefault="00110FE6">
      <w:pPr>
        <w:pStyle w:val="Heading2"/>
      </w:pPr>
      <w:bookmarkStart w:id="448" w:name="_Toc176864604"/>
      <w:bookmarkStart w:id="449" w:name="X07f47186e6eb323db920597183cec0e265a8f0a"/>
      <w:bookmarkEnd w:id="447"/>
      <w:r>
        <w:t>P105 droit détenu par (détient le droit sur)</w:t>
      </w:r>
      <w:bookmarkEnd w:id="448"/>
    </w:p>
    <w:p w14:paraId="4F2DE64E" w14:textId="77777777" w:rsidR="0084489F" w:rsidRDefault="00110FE6">
      <w:pPr>
        <w:pStyle w:val="FirstParagraph"/>
      </w:pPr>
      <w:r>
        <w:rPr>
          <w:b/>
          <w:bCs/>
        </w:rPr>
        <w:t>Domaine</w:t>
      </w:r>
    </w:p>
    <w:p w14:paraId="2EE90F56" w14:textId="77777777" w:rsidR="0084489F" w:rsidRDefault="00110FE6">
      <w:pPr>
        <w:pStyle w:val="BodyText"/>
      </w:pPr>
      <w:r>
        <w:rPr>
          <w:rStyle w:val="VerbatimChar"/>
        </w:rPr>
        <w:t>E72_Objet_juridique</w:t>
      </w:r>
    </w:p>
    <w:p w14:paraId="3DFE1748" w14:textId="77777777" w:rsidR="0084489F" w:rsidRDefault="00110FE6">
      <w:pPr>
        <w:pStyle w:val="BodyText"/>
      </w:pPr>
      <w:r>
        <w:rPr>
          <w:b/>
          <w:bCs/>
        </w:rPr>
        <w:t>Portée</w:t>
      </w:r>
    </w:p>
    <w:p w14:paraId="57CFF21B" w14:textId="77777777" w:rsidR="0084489F" w:rsidRDefault="00110FE6">
      <w:pPr>
        <w:pStyle w:val="BodyText"/>
      </w:pPr>
      <w:r>
        <w:rPr>
          <w:rStyle w:val="VerbatimChar"/>
        </w:rPr>
        <w:t>E39_Actant</w:t>
      </w:r>
    </w:p>
    <w:p w14:paraId="5F87E48D" w14:textId="77777777" w:rsidR="0084489F" w:rsidRDefault="00110FE6">
      <w:pPr>
        <w:pStyle w:val="BodyText"/>
      </w:pPr>
      <w:r>
        <w:rPr>
          <w:b/>
          <w:bCs/>
        </w:rPr>
        <w:t>Sous-propriété de</w:t>
      </w:r>
    </w:p>
    <w:p w14:paraId="7B57E0E4" w14:textId="77777777" w:rsidR="0084489F" w:rsidRDefault="00110FE6">
      <w:pPr>
        <w:pStyle w:val="BodyText"/>
      </w:pPr>
      <w:r>
        <w:rPr>
          <w:b/>
          <w:bCs/>
        </w:rPr>
        <w:t>Super-propriété de</w:t>
      </w:r>
    </w:p>
    <w:p w14:paraId="755B8BB4"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P52_a_pour_propriétaire_actuel (est_l’actant_propriétaire_actuel_de)</w:t>
      </w:r>
      <w:r w:rsidRPr="1B9E7434">
        <w:rPr>
          <w:lang w:val="fr-FR"/>
        </w:rPr>
        <w:t xml:space="preserve"> : </w:t>
      </w:r>
      <w:r w:rsidRPr="1B9E7434">
        <w:rPr>
          <w:rStyle w:val="VerbatimChar"/>
          <w:lang w:val="fr-FR"/>
        </w:rPr>
        <w:t>E39_Actant</w:t>
      </w:r>
    </w:p>
    <w:p w14:paraId="540B626A" w14:textId="77777777" w:rsidR="0084489F" w:rsidRDefault="00110FE6">
      <w:pPr>
        <w:pStyle w:val="BodyText"/>
      </w:pPr>
      <w:r>
        <w:rPr>
          <w:b/>
          <w:bCs/>
        </w:rPr>
        <w:t>Quantification</w:t>
      </w:r>
    </w:p>
    <w:p w14:paraId="53CB573F" w14:textId="77777777" w:rsidR="0084489F" w:rsidRDefault="00110FE6">
      <w:pPr>
        <w:pStyle w:val="BodyText"/>
      </w:pPr>
      <w:r w:rsidRPr="1B9E7434">
        <w:rPr>
          <w:lang w:val="fr-FR"/>
        </w:rPr>
        <w:t>plusieurs à plusieurs (0,n:0,n)</w:t>
      </w:r>
    </w:p>
    <w:p w14:paraId="3ADEE474" w14:textId="77777777" w:rsidR="0084489F" w:rsidRDefault="00110FE6">
      <w:pPr>
        <w:pStyle w:val="BodyText"/>
      </w:pPr>
      <w:r>
        <w:rPr>
          <w:b/>
          <w:bCs/>
        </w:rPr>
        <w:t>Note d’application</w:t>
      </w:r>
    </w:p>
    <w:p w14:paraId="13EF0472" w14:textId="77777777" w:rsidR="0084489F" w:rsidRDefault="00110FE6">
      <w:pPr>
        <w:pStyle w:val="BodyText"/>
      </w:pPr>
      <w:r>
        <w:t xml:space="preserve">Cette propriété identifie une instance de </w:t>
      </w:r>
      <w:r>
        <w:rPr>
          <w:rStyle w:val="VerbatimChar"/>
        </w:rPr>
        <w:t>E39_Actant</w:t>
      </w:r>
      <w:r>
        <w:t xml:space="preserve"> détenant des droits (</w:t>
      </w:r>
      <w:r>
        <w:rPr>
          <w:rStyle w:val="VerbatimChar"/>
        </w:rPr>
        <w:t>E30_Droit</w:t>
      </w:r>
      <w:r>
        <w:t xml:space="preserve">) sur une instance de </w:t>
      </w:r>
      <w:r>
        <w:rPr>
          <w:rStyle w:val="VerbatimChar"/>
        </w:rPr>
        <w:t>E72_Objet_juridique</w:t>
      </w:r>
      <w:r>
        <w:t>.</w:t>
      </w:r>
    </w:p>
    <w:p w14:paraId="538A35C5" w14:textId="77777777" w:rsidR="0084489F" w:rsidRDefault="00110FE6">
      <w:pPr>
        <w:pStyle w:val="BodyText"/>
      </w:pPr>
      <w:r w:rsidRPr="1B9E7434">
        <w:rPr>
          <w:rStyle w:val="VerbatimChar"/>
          <w:lang w:val="fr-FR"/>
        </w:rPr>
        <w:t>P105_droit_détenu_par (détient_le_droit_sur)</w:t>
      </w:r>
      <w:r w:rsidRPr="1B9E7434">
        <w:rPr>
          <w:lang w:val="fr-FR"/>
        </w:rPr>
        <w:t xml:space="preserve"> est une super-propriété de </w:t>
      </w:r>
      <w:r w:rsidRPr="1B9E7434">
        <w:rPr>
          <w:rStyle w:val="VerbatimChar"/>
          <w:lang w:val="fr-FR"/>
        </w:rPr>
        <w:t>P52_a_pour_propriétaire_actuel (est_l’actant_propriétaire_actuel_de)</w:t>
      </w:r>
      <w:r w:rsidRPr="1B9E7434">
        <w:rPr>
          <w:lang w:val="fr-FR"/>
        </w:rPr>
        <w:t>, car la propriété est un droit détenu sur l’objet possédé.</w:t>
      </w:r>
    </w:p>
    <w:p w14:paraId="783DB4C8" w14:textId="77777777" w:rsidR="0084489F" w:rsidRDefault="00110FE6">
      <w:pPr>
        <w:pStyle w:val="BodyText"/>
      </w:pPr>
      <w:r>
        <w:t xml:space="preserve">Cette propriété est un raccourci du chemin sémantique suivant : </w:t>
      </w:r>
      <w:r>
        <w:rPr>
          <w:rStyle w:val="VerbatimChar"/>
        </w:rPr>
        <w:t>E72_Objet_juridique</w:t>
      </w:r>
      <w:r>
        <w:t xml:space="preserve">, </w:t>
      </w:r>
      <w:r>
        <w:rPr>
          <w:rStyle w:val="VerbatimChar"/>
        </w:rPr>
        <w:t>P104_est_soumis_à</w:t>
      </w:r>
      <w:r>
        <w:t>,</w:t>
      </w:r>
      <w:r>
        <w:rPr>
          <w:rStyle w:val="VerbatimChar"/>
        </w:rPr>
        <w:t xml:space="preserve"> E30_Droit</w:t>
      </w:r>
      <w:r>
        <w:t xml:space="preserve">, </w:t>
      </w:r>
      <w:r>
        <w:rPr>
          <w:rStyle w:val="VerbatimChar"/>
        </w:rPr>
        <w:t>P75i_est_possédé_par</w:t>
      </w:r>
      <w:r>
        <w:t xml:space="preserve">, </w:t>
      </w:r>
      <w:r>
        <w:rPr>
          <w:rStyle w:val="VerbatimChar"/>
        </w:rPr>
        <w:t>E39_Actant</w:t>
      </w:r>
      <w:r>
        <w:t>.</w:t>
      </w:r>
    </w:p>
    <w:p w14:paraId="724D6446" w14:textId="77777777" w:rsidR="0084489F" w:rsidRDefault="00110FE6">
      <w:pPr>
        <w:pStyle w:val="BodyText"/>
      </w:pPr>
      <w:r>
        <w:rPr>
          <w:b/>
          <w:bCs/>
        </w:rPr>
        <w:t>Exemples</w:t>
      </w:r>
    </w:p>
    <w:p w14:paraId="1E0CC8F1" w14:textId="52211DBF" w:rsidR="0084489F" w:rsidRDefault="00110FE6" w:rsidP="00806324">
      <w:pPr>
        <w:numPr>
          <w:ilvl w:val="0"/>
          <w:numId w:val="224"/>
        </w:numPr>
      </w:pPr>
      <w:r w:rsidRPr="1B9E7434">
        <w:rPr>
          <w:lang w:val="fr-FR"/>
        </w:rPr>
        <w:t>Les droits du fond de catalogue des Beatles (</w:t>
      </w:r>
      <w:r w:rsidRPr="1B9E7434">
        <w:rPr>
          <w:rStyle w:val="VerbatimChar"/>
          <w:lang w:val="fr-FR"/>
        </w:rPr>
        <w:t>E73_Objet_informationnel</w:t>
      </w:r>
      <w:r w:rsidRPr="1B9E7434">
        <w:rPr>
          <w:lang w:val="fr-FR"/>
        </w:rPr>
        <w:t>) sont détenus par (</w:t>
      </w:r>
      <w:r w:rsidRPr="1B9E7434">
        <w:rPr>
          <w:rStyle w:val="VerbatimChar"/>
          <w:lang w:val="fr-FR"/>
        </w:rPr>
        <w:t>P105_droit_détenu_par</w:t>
      </w:r>
      <w:r w:rsidRPr="1B9E7434">
        <w:rPr>
          <w:lang w:val="fr-FR"/>
        </w:rPr>
        <w:t>) Michæl Jackson (</w:t>
      </w:r>
      <w:r w:rsidRPr="1B9E7434">
        <w:rPr>
          <w:rStyle w:val="VerbatimChar"/>
          <w:lang w:val="fr-FR"/>
        </w:rPr>
        <w:t>E21_Personne</w:t>
      </w:r>
      <w:r w:rsidRPr="1B9E7434">
        <w:rPr>
          <w:lang w:val="fr-FR"/>
        </w:rPr>
        <w:t>) (Raga, 2016)</w:t>
      </w:r>
    </w:p>
    <w:p w14:paraId="6B859499" w14:textId="77777777" w:rsidR="0084489F" w:rsidRDefault="00110FE6" w:rsidP="00FA3C06">
      <w:pPr>
        <w:pStyle w:val="FirstParagraph"/>
        <w:keepNext/>
      </w:pPr>
      <w:r>
        <w:rPr>
          <w:b/>
          <w:bCs/>
        </w:rPr>
        <w:lastRenderedPageBreak/>
        <w:t>Logique</w:t>
      </w:r>
    </w:p>
    <w:p w14:paraId="7EA2A39F" w14:textId="77777777" w:rsidR="0084489F" w:rsidRDefault="00110FE6" w:rsidP="00FA3C06">
      <w:pPr>
        <w:pStyle w:val="BodyText"/>
        <w:keepNext/>
      </w:pPr>
      <w:r w:rsidRPr="1B9E7434">
        <w:rPr>
          <w:lang w:val="fr-FR"/>
        </w:rPr>
        <w:t>P105(x,y) ⇒ E72(x)P105(x,y) ⇒ E39(y)P105(x,y) ⇐ (∃z) [E30(z) ˄ P104(x,z) ˄ P75i(z,y)]</w:t>
      </w:r>
    </w:p>
    <w:p w14:paraId="406BF649" w14:textId="77777777" w:rsidR="0084489F" w:rsidRDefault="00110FE6">
      <w:pPr>
        <w:pStyle w:val="BodyText"/>
      </w:pPr>
      <w:r>
        <w:rPr>
          <w:b/>
          <w:bCs/>
        </w:rPr>
        <w:t>Propriétés</w:t>
      </w:r>
    </w:p>
    <w:p w14:paraId="08D41B2D" w14:textId="77777777" w:rsidR="0084489F" w:rsidRDefault="00110FE6">
      <w:pPr>
        <w:pStyle w:val="BlockText"/>
      </w:pPr>
      <w:r>
        <w:rPr>
          <w:b/>
          <w:bCs/>
          <w:i/>
          <w:iCs/>
        </w:rPr>
        <w:t>Note de traduction</w:t>
      </w:r>
    </w:p>
    <w:p w14:paraId="4C2339DB" w14:textId="77777777" w:rsidR="0084489F" w:rsidRDefault="00110FE6">
      <w:pPr>
        <w:pStyle w:val="BlockText"/>
      </w:pPr>
      <w:r w:rsidRPr="1B9E7434">
        <w:rPr>
          <w:lang w:val="fr-FR"/>
        </w:rPr>
        <w:t>Tel que suggéré par Termium Plus, la traduction la plus adéquate du terme « back catalogue » est « fond de catalogue ».</w:t>
      </w:r>
    </w:p>
    <w:p w14:paraId="7E6F5C59" w14:textId="77777777" w:rsidR="0084489F" w:rsidRDefault="00110FE6">
      <w:pPr>
        <w:pStyle w:val="BlockText"/>
      </w:pPr>
      <w:r>
        <w:rPr>
          <w:b/>
          <w:bCs/>
          <w:i/>
          <w:iCs/>
        </w:rPr>
        <w:t>Références</w:t>
      </w:r>
    </w:p>
    <w:p w14:paraId="1136C1B7" w14:textId="77777777" w:rsidR="0084489F" w:rsidRDefault="00110FE6">
      <w:pPr>
        <w:pStyle w:val="BlockText"/>
      </w:pPr>
      <w:r w:rsidRPr="1B9E7434">
        <w:rPr>
          <w:lang w:val="fr-FR"/>
        </w:rPr>
        <w:t xml:space="preserve">Termium. « back catalogue ». Dans </w:t>
      </w:r>
      <w:r w:rsidRPr="1B9E7434">
        <w:rPr>
          <w:i/>
          <w:iCs/>
          <w:lang w:val="fr-FR"/>
        </w:rPr>
        <w:t>Termium Plus</w:t>
      </w:r>
      <w:r w:rsidRPr="1B9E7434">
        <w:rPr>
          <w:lang w:val="fr-FR"/>
        </w:rPr>
        <w:t>. Ottawa, CA-ON: Gouvernement du Canada, 8 octobre 2009.</w:t>
      </w:r>
      <w:hyperlink r:id="rId270" w:anchor="resultrecs">
        <w:r w:rsidRPr="1B9E7434">
          <w:rPr>
            <w:rStyle w:val="Hyperlink"/>
            <w:lang w:val="fr-FR"/>
          </w:rPr>
          <w:t xml:space="preserve"> </w:t>
        </w:r>
      </w:hyperlink>
      <w:hyperlink r:id="rId271" w:anchor="resultrecs">
        <w:r w:rsidRPr="1B9E7434">
          <w:rPr>
            <w:rStyle w:val="Hyperlink"/>
            <w:lang w:val="fr-FR"/>
          </w:rPr>
          <w:t>https://www.btb.termiumplus.gc.ca/tpv2alpha/alpha-fra.html?lang=fra&amp;i=1&amp;srchtxt=back+catalogue&amp;index=alt&amp;codom2nd_wet=1#resultrecs</w:t>
        </w:r>
      </w:hyperlink>
      <w:r w:rsidRPr="1B9E7434">
        <w:rPr>
          <w:lang w:val="fr-FR"/>
        </w:rPr>
        <w:t>.</w:t>
      </w:r>
    </w:p>
    <w:p w14:paraId="1661D639" w14:textId="77777777" w:rsidR="008F22EC" w:rsidRPr="008F22EC" w:rsidRDefault="008F22EC" w:rsidP="008F22EC">
      <w:pPr>
        <w:pStyle w:val="BodyText"/>
      </w:pPr>
    </w:p>
    <w:p w14:paraId="7CB234DC" w14:textId="77777777" w:rsidR="0084489F" w:rsidRDefault="00110FE6">
      <w:pPr>
        <w:pStyle w:val="Heading2"/>
      </w:pPr>
      <w:bookmarkStart w:id="450" w:name="_Toc176864605"/>
      <w:bookmarkStart w:id="451" w:name="p106-est-compose-de-(fait-partie-de)"/>
      <w:bookmarkEnd w:id="449"/>
      <w:r>
        <w:t>P106 est composé de (fait partie de)</w:t>
      </w:r>
      <w:bookmarkEnd w:id="450"/>
    </w:p>
    <w:p w14:paraId="5BA2E2A4" w14:textId="77777777" w:rsidR="0084489F" w:rsidRDefault="00110FE6">
      <w:pPr>
        <w:pStyle w:val="FirstParagraph"/>
      </w:pPr>
      <w:r>
        <w:rPr>
          <w:b/>
          <w:bCs/>
        </w:rPr>
        <w:t>Domaine</w:t>
      </w:r>
    </w:p>
    <w:p w14:paraId="12DD9E33" w14:textId="77777777" w:rsidR="0084489F" w:rsidRDefault="00110FE6">
      <w:pPr>
        <w:pStyle w:val="BodyText"/>
      </w:pPr>
      <w:r>
        <w:rPr>
          <w:rStyle w:val="VerbatimChar"/>
        </w:rPr>
        <w:t>E90_Objet_symbolique</w:t>
      </w:r>
    </w:p>
    <w:p w14:paraId="5B0ABE3A" w14:textId="77777777" w:rsidR="0084489F" w:rsidRDefault="00110FE6">
      <w:pPr>
        <w:pStyle w:val="BodyText"/>
      </w:pPr>
      <w:r>
        <w:rPr>
          <w:b/>
          <w:bCs/>
        </w:rPr>
        <w:t>Portée</w:t>
      </w:r>
    </w:p>
    <w:p w14:paraId="46309DA6" w14:textId="77777777" w:rsidR="0084489F" w:rsidRDefault="00110FE6">
      <w:pPr>
        <w:pStyle w:val="BodyText"/>
      </w:pPr>
      <w:r>
        <w:rPr>
          <w:rStyle w:val="VerbatimChar"/>
        </w:rPr>
        <w:t>E90_Objet_symbolique</w:t>
      </w:r>
    </w:p>
    <w:p w14:paraId="521CB655" w14:textId="77777777" w:rsidR="0084489F" w:rsidRDefault="00110FE6">
      <w:pPr>
        <w:pStyle w:val="BodyText"/>
      </w:pPr>
      <w:r>
        <w:rPr>
          <w:b/>
          <w:bCs/>
        </w:rPr>
        <w:t>Sous-propriété de</w:t>
      </w:r>
    </w:p>
    <w:p w14:paraId="328BAA3B" w14:textId="77777777" w:rsidR="0084489F" w:rsidRDefault="00110FE6">
      <w:pPr>
        <w:pStyle w:val="BodyText"/>
      </w:pPr>
      <w:r>
        <w:rPr>
          <w:b/>
          <w:bCs/>
        </w:rPr>
        <w:t>Super-propriété de</w:t>
      </w:r>
    </w:p>
    <w:p w14:paraId="330E5A9F" w14:textId="77777777" w:rsidR="0084489F" w:rsidRDefault="00110FE6">
      <w:pPr>
        <w:pStyle w:val="BodyText"/>
      </w:pPr>
      <w:r w:rsidRPr="1B9E7434">
        <w:rPr>
          <w:rStyle w:val="VerbatimChar"/>
          <w:lang w:val="fr-FR"/>
        </w:rPr>
        <w:t>E73_Objet_informationnel</w:t>
      </w:r>
      <w:r w:rsidRPr="1B9E7434">
        <w:rPr>
          <w:lang w:val="fr-FR"/>
        </w:rPr>
        <w:t xml:space="preserve">. </w:t>
      </w:r>
      <w:r w:rsidRPr="1B9E7434">
        <w:rPr>
          <w:rStyle w:val="VerbatimChar"/>
          <w:lang w:val="fr-FR"/>
        </w:rPr>
        <w:t>P165_inclut (est_inclus_dans)</w:t>
      </w:r>
      <w:r w:rsidRPr="1B9E7434">
        <w:rPr>
          <w:lang w:val="fr-FR"/>
        </w:rPr>
        <w:t xml:space="preserve"> : </w:t>
      </w:r>
      <w:r w:rsidRPr="1B9E7434">
        <w:rPr>
          <w:rStyle w:val="VerbatimChar"/>
          <w:lang w:val="fr-FR"/>
        </w:rPr>
        <w:t>E90_Objet_symbolique</w:t>
      </w:r>
    </w:p>
    <w:p w14:paraId="48B760A6" w14:textId="77777777" w:rsidR="0084489F" w:rsidRDefault="00110FE6">
      <w:pPr>
        <w:pStyle w:val="BodyText"/>
      </w:pPr>
      <w:r>
        <w:rPr>
          <w:b/>
          <w:bCs/>
        </w:rPr>
        <w:t>Quantification</w:t>
      </w:r>
    </w:p>
    <w:p w14:paraId="3E03A6CF" w14:textId="77777777" w:rsidR="0084489F" w:rsidRDefault="00110FE6">
      <w:pPr>
        <w:pStyle w:val="BodyText"/>
      </w:pPr>
      <w:r w:rsidRPr="1B9E7434">
        <w:rPr>
          <w:lang w:val="fr-FR"/>
        </w:rPr>
        <w:t>plusieurs à plusieurs (0,n:0,n)</w:t>
      </w:r>
    </w:p>
    <w:p w14:paraId="2D231942" w14:textId="77777777" w:rsidR="0084489F" w:rsidRDefault="00110FE6">
      <w:pPr>
        <w:pStyle w:val="BodyText"/>
      </w:pPr>
      <w:r>
        <w:rPr>
          <w:b/>
          <w:bCs/>
        </w:rPr>
        <w:t>Note d’application</w:t>
      </w:r>
    </w:p>
    <w:p w14:paraId="368CCC73" w14:textId="77777777" w:rsidR="0084489F" w:rsidRDefault="00110FE6">
      <w:pPr>
        <w:pStyle w:val="BodyText"/>
      </w:pPr>
      <w:r>
        <w:t xml:space="preserve">Cette propriété associe une instance de </w:t>
      </w:r>
      <w:r>
        <w:rPr>
          <w:rStyle w:val="VerbatimChar"/>
        </w:rPr>
        <w:t>E90_Objet_symbolique</w:t>
      </w:r>
      <w:r>
        <w:t xml:space="preserve"> avec l'une de ses parties qui est elle-même une instance de </w:t>
      </w:r>
      <w:r>
        <w:rPr>
          <w:rStyle w:val="VerbatimChar"/>
        </w:rPr>
        <w:t>E90_Objet_symbolique</w:t>
      </w:r>
      <w:r>
        <w:t xml:space="preserve"> par exemple de fragments d'un texte ou de coupures d'une image.</w:t>
      </w:r>
    </w:p>
    <w:p w14:paraId="528C1897" w14:textId="77777777" w:rsidR="0084489F" w:rsidRDefault="00110FE6">
      <w:pPr>
        <w:pStyle w:val="BodyText"/>
      </w:pPr>
      <w:r>
        <w:t>Cette propriété est transitive et asymétrique.</w:t>
      </w:r>
    </w:p>
    <w:p w14:paraId="63983743" w14:textId="77777777" w:rsidR="0084489F" w:rsidRDefault="00110FE6">
      <w:pPr>
        <w:pStyle w:val="BodyText"/>
      </w:pPr>
      <w:r>
        <w:rPr>
          <w:b/>
          <w:bCs/>
        </w:rPr>
        <w:t>Exemples</w:t>
      </w:r>
    </w:p>
    <w:p w14:paraId="618D0072" w14:textId="77777777" w:rsidR="0084489F" w:rsidRDefault="00110FE6" w:rsidP="00806324">
      <w:pPr>
        <w:numPr>
          <w:ilvl w:val="0"/>
          <w:numId w:val="225"/>
        </w:numPr>
      </w:pPr>
      <w:r>
        <w:t xml:space="preserve">Cette note d'application de la propriété </w:t>
      </w:r>
      <w:r>
        <w:rPr>
          <w:rStyle w:val="VerbatimChar"/>
        </w:rPr>
        <w:t>P106_est_composé_de</w:t>
      </w:r>
      <w:r>
        <w:t xml:space="preserve"> (</w:t>
      </w:r>
      <w:r>
        <w:rPr>
          <w:rStyle w:val="VerbatimChar"/>
        </w:rPr>
        <w:t>E33_Objet_linguistique</w:t>
      </w:r>
      <w:r>
        <w:t>) est composée de (</w:t>
      </w:r>
      <w:r>
        <w:rPr>
          <w:rStyle w:val="VerbatimChar"/>
        </w:rPr>
        <w:t>P106_est_composé_de</w:t>
      </w:r>
      <w:r>
        <w:t>) « fragments de textes » (</w:t>
      </w:r>
      <w:r>
        <w:rPr>
          <w:rStyle w:val="VerbatimChar"/>
        </w:rPr>
        <w:t>E33_Objet_linguistique</w:t>
      </w:r>
      <w:r>
        <w:t>)</w:t>
      </w:r>
    </w:p>
    <w:p w14:paraId="7956FFF5" w14:textId="1819D712" w:rsidR="0084489F" w:rsidRDefault="00110FE6" w:rsidP="00806324">
      <w:pPr>
        <w:numPr>
          <w:ilvl w:val="0"/>
          <w:numId w:val="225"/>
        </w:numPr>
      </w:pPr>
      <w:r w:rsidRPr="1B9E7434">
        <w:rPr>
          <w:lang w:val="fr-FR"/>
        </w:rPr>
        <w:t>Le terme « reconnaissable » (</w:t>
      </w:r>
      <w:r w:rsidRPr="1B9E7434">
        <w:rPr>
          <w:rStyle w:val="VerbatimChar"/>
          <w:lang w:val="fr-FR"/>
        </w:rPr>
        <w:t>E90_Objet_symbolique</w:t>
      </w:r>
      <w:r w:rsidRPr="1B9E7434">
        <w:rPr>
          <w:lang w:val="fr-FR"/>
        </w:rPr>
        <w:t>) est composé de (</w:t>
      </w:r>
      <w:r w:rsidRPr="1B9E7434">
        <w:rPr>
          <w:rStyle w:val="VerbatimChar"/>
          <w:lang w:val="fr-FR"/>
        </w:rPr>
        <w:t>P106_est_composé_de</w:t>
      </w:r>
      <w:r w:rsidRPr="1B9E7434">
        <w:rPr>
          <w:lang w:val="fr-FR"/>
        </w:rPr>
        <w:t>) « econnaissabl » (</w:t>
      </w:r>
      <w:r w:rsidRPr="1B9E7434">
        <w:rPr>
          <w:rStyle w:val="VerbatimChar"/>
          <w:lang w:val="fr-FR"/>
        </w:rPr>
        <w:t>E90_Objet_symbolique</w:t>
      </w:r>
      <w:r w:rsidRPr="1B9E7434">
        <w:rPr>
          <w:lang w:val="fr-FR"/>
        </w:rPr>
        <w:t>)</w:t>
      </w:r>
    </w:p>
    <w:p w14:paraId="19A66573" w14:textId="77777777" w:rsidR="0084489F" w:rsidRDefault="00110FE6">
      <w:pPr>
        <w:pStyle w:val="FirstParagraph"/>
      </w:pPr>
      <w:r>
        <w:rPr>
          <w:b/>
          <w:bCs/>
        </w:rPr>
        <w:t>Logique</w:t>
      </w:r>
    </w:p>
    <w:p w14:paraId="1F8EA19B" w14:textId="77777777" w:rsidR="0084489F" w:rsidRDefault="00110FE6">
      <w:pPr>
        <w:pStyle w:val="BodyText"/>
      </w:pPr>
      <w:r w:rsidRPr="1B9E7434">
        <w:rPr>
          <w:lang w:val="fr-FR"/>
        </w:rPr>
        <w:t>P106(x,y) ⇒ E90(x)</w:t>
      </w:r>
    </w:p>
    <w:p w14:paraId="3DDA6CF5" w14:textId="77777777" w:rsidR="0084489F" w:rsidRDefault="00110FE6">
      <w:pPr>
        <w:pStyle w:val="BodyText"/>
      </w:pPr>
      <w:r w:rsidRPr="1B9E7434">
        <w:rPr>
          <w:lang w:val="fr-FR"/>
        </w:rPr>
        <w:t>P106(x,y) ⇒ E90(y)</w:t>
      </w:r>
    </w:p>
    <w:p w14:paraId="7F92CEF0" w14:textId="77777777" w:rsidR="0084489F" w:rsidRDefault="00110FE6">
      <w:pPr>
        <w:pStyle w:val="BodyText"/>
      </w:pPr>
      <w:r w:rsidRPr="1B9E7434">
        <w:rPr>
          <w:lang w:val="fr-FR"/>
        </w:rPr>
        <w:lastRenderedPageBreak/>
        <w:t>[P106(x,y) ∧ P106(y,z)] ⇒ P106(x,z)</w:t>
      </w:r>
    </w:p>
    <w:p w14:paraId="3E19C885" w14:textId="77777777" w:rsidR="0084489F" w:rsidRDefault="00110FE6">
      <w:pPr>
        <w:pStyle w:val="BodyText"/>
      </w:pPr>
      <w:r w:rsidRPr="1B9E7434">
        <w:rPr>
          <w:lang w:val="fr-FR"/>
        </w:rPr>
        <w:t>P106(x,y) ⇒ ¬P106(y,x)</w:t>
      </w:r>
    </w:p>
    <w:p w14:paraId="7E2E6F8D" w14:textId="77777777" w:rsidR="0084489F" w:rsidRDefault="00110FE6">
      <w:pPr>
        <w:pStyle w:val="BodyText"/>
      </w:pPr>
      <w:r>
        <w:rPr>
          <w:b/>
          <w:bCs/>
        </w:rPr>
        <w:t>Propriétés</w:t>
      </w:r>
    </w:p>
    <w:p w14:paraId="567A813D" w14:textId="77777777" w:rsidR="0084489F" w:rsidRDefault="00110FE6">
      <w:pPr>
        <w:pStyle w:val="BlockText"/>
      </w:pPr>
      <w:r>
        <w:rPr>
          <w:b/>
          <w:bCs/>
          <w:i/>
          <w:iCs/>
        </w:rPr>
        <w:t>Note de traduction</w:t>
      </w:r>
    </w:p>
    <w:p w14:paraId="34BCD54E" w14:textId="77777777" w:rsidR="0084489F" w:rsidRDefault="00110FE6">
      <w:pPr>
        <w:pStyle w:val="BlockText"/>
      </w:pPr>
      <w:r>
        <w:rPr>
          <w:b/>
          <w:bCs/>
          <w:i/>
          <w:iCs/>
        </w:rPr>
        <w:t>Références</w:t>
      </w:r>
    </w:p>
    <w:p w14:paraId="4B4FEA80" w14:textId="77777777" w:rsidR="0084489F" w:rsidRDefault="0084489F">
      <w:pPr>
        <w:pStyle w:val="BlockText"/>
      </w:pPr>
    </w:p>
    <w:p w14:paraId="53E4102F" w14:textId="77777777" w:rsidR="0084489F" w:rsidRDefault="00110FE6">
      <w:pPr>
        <w:pStyle w:val="Heading2"/>
      </w:pPr>
      <w:bookmarkStart w:id="452" w:name="_Toc176864606"/>
      <w:bookmarkStart w:id="453" w:name="Xb29589042bcc5afc0b44c06ead31a05f9452519"/>
      <w:bookmarkEnd w:id="451"/>
      <w:r>
        <w:t>P107 a pour membre actuel ou antérieur (est le membre actuel ou antérieur de)</w:t>
      </w:r>
      <w:bookmarkEnd w:id="452"/>
    </w:p>
    <w:p w14:paraId="6F4DB330" w14:textId="77777777" w:rsidR="0084489F" w:rsidRDefault="00110FE6">
      <w:pPr>
        <w:pStyle w:val="FirstParagraph"/>
      </w:pPr>
      <w:r>
        <w:rPr>
          <w:b/>
          <w:bCs/>
        </w:rPr>
        <w:t>Domaine</w:t>
      </w:r>
    </w:p>
    <w:p w14:paraId="12E029A8" w14:textId="77777777" w:rsidR="0084489F" w:rsidRDefault="00110FE6">
      <w:pPr>
        <w:pStyle w:val="BodyText"/>
      </w:pPr>
      <w:r>
        <w:rPr>
          <w:rStyle w:val="VerbatimChar"/>
        </w:rPr>
        <w:t>E74_Groupe</w:t>
      </w:r>
    </w:p>
    <w:p w14:paraId="3CAAD731" w14:textId="77777777" w:rsidR="0084489F" w:rsidRDefault="00110FE6">
      <w:pPr>
        <w:pStyle w:val="BodyText"/>
      </w:pPr>
      <w:r>
        <w:rPr>
          <w:b/>
          <w:bCs/>
        </w:rPr>
        <w:t>Portée</w:t>
      </w:r>
    </w:p>
    <w:p w14:paraId="010E3F62" w14:textId="77777777" w:rsidR="0084489F" w:rsidRDefault="00110FE6">
      <w:pPr>
        <w:pStyle w:val="BodyText"/>
      </w:pPr>
      <w:r>
        <w:rPr>
          <w:rStyle w:val="VerbatimChar"/>
        </w:rPr>
        <w:t>E39_Actant</w:t>
      </w:r>
    </w:p>
    <w:p w14:paraId="1AA23825" w14:textId="77777777" w:rsidR="0084489F" w:rsidRDefault="00110FE6">
      <w:pPr>
        <w:pStyle w:val="BodyText"/>
      </w:pPr>
      <w:r>
        <w:rPr>
          <w:b/>
          <w:bCs/>
        </w:rPr>
        <w:t>Sous-propriété de</w:t>
      </w:r>
    </w:p>
    <w:p w14:paraId="5C5096FE" w14:textId="77777777" w:rsidR="0084489F" w:rsidRDefault="00110FE6">
      <w:pPr>
        <w:pStyle w:val="BodyText"/>
      </w:pPr>
      <w:r>
        <w:rPr>
          <w:b/>
          <w:bCs/>
        </w:rPr>
        <w:t>Super-propriété de</w:t>
      </w:r>
    </w:p>
    <w:p w14:paraId="1ABD726B" w14:textId="77777777" w:rsidR="0084489F" w:rsidRDefault="00110FE6">
      <w:pPr>
        <w:pStyle w:val="BodyText"/>
      </w:pPr>
      <w:r>
        <w:rPr>
          <w:b/>
          <w:bCs/>
        </w:rPr>
        <w:t>Quantification</w:t>
      </w:r>
    </w:p>
    <w:p w14:paraId="70DB3076" w14:textId="77777777" w:rsidR="0084489F" w:rsidRDefault="00110FE6">
      <w:pPr>
        <w:pStyle w:val="BodyText"/>
      </w:pPr>
      <w:r w:rsidRPr="1B9E7434">
        <w:rPr>
          <w:lang w:val="fr-FR"/>
        </w:rPr>
        <w:t>plusieurs à plusieurs (0,n:0,n)</w:t>
      </w:r>
    </w:p>
    <w:p w14:paraId="23DF048C" w14:textId="77777777" w:rsidR="0084489F" w:rsidRDefault="00110FE6">
      <w:pPr>
        <w:pStyle w:val="BodyText"/>
      </w:pPr>
      <w:r>
        <w:rPr>
          <w:b/>
          <w:bCs/>
        </w:rPr>
        <w:t>Note d’application</w:t>
      </w:r>
    </w:p>
    <w:p w14:paraId="3DBE3511" w14:textId="77777777" w:rsidR="0084489F" w:rsidRDefault="00110FE6">
      <w:pPr>
        <w:pStyle w:val="BodyText"/>
      </w:pPr>
      <w:r>
        <w:t xml:space="preserve">Cette propriété associe une instance de </w:t>
      </w:r>
      <w:r>
        <w:rPr>
          <w:rStyle w:val="VerbatimChar"/>
        </w:rPr>
        <w:t>E74_Groupe</w:t>
      </w:r>
      <w:r>
        <w:t xml:space="preserve"> à une instance de </w:t>
      </w:r>
      <w:r>
        <w:rPr>
          <w:rStyle w:val="VerbatimChar"/>
        </w:rPr>
        <w:t>E39_Actant</w:t>
      </w:r>
      <w:r>
        <w:t xml:space="preserve"> qui en est membre ou qui l'a été.</w:t>
      </w:r>
    </w:p>
    <w:p w14:paraId="4506AE95" w14:textId="77777777" w:rsidR="0084489F" w:rsidRDefault="00110FE6">
      <w:pPr>
        <w:pStyle w:val="BodyText"/>
      </w:pPr>
      <w:r w:rsidRPr="1B9E7434">
        <w:rPr>
          <w:lang w:val="fr-FR"/>
        </w:rPr>
        <w:t xml:space="preserve">Les instances de </w:t>
      </w:r>
      <w:r w:rsidRPr="1B9E7434">
        <w:rPr>
          <w:rStyle w:val="VerbatimChar"/>
          <w:lang w:val="fr-FR"/>
        </w:rPr>
        <w:t>E74_Groupe</w:t>
      </w:r>
      <w:r w:rsidRPr="1B9E7434">
        <w:rPr>
          <w:lang w:val="fr-FR"/>
        </w:rPr>
        <w:t xml:space="preserve"> et de </w:t>
      </w:r>
      <w:r w:rsidRPr="1B9E7434">
        <w:rPr>
          <w:rStyle w:val="VerbatimChar"/>
          <w:lang w:val="fr-FR"/>
        </w:rPr>
        <w:t>E21_Personne</w:t>
      </w:r>
      <w:r w:rsidRPr="1B9E7434">
        <w:rPr>
          <w:lang w:val="fr-FR"/>
        </w:rPr>
        <w:t xml:space="preserve"> peuvent toutes être membres d'instances de </w:t>
      </w:r>
      <w:r w:rsidRPr="1B9E7434">
        <w:rPr>
          <w:rStyle w:val="VerbatimChar"/>
          <w:lang w:val="fr-FR"/>
        </w:rPr>
        <w:t>E74_Groupe</w:t>
      </w:r>
      <w:r w:rsidRPr="1B9E7434">
        <w:rPr>
          <w:lang w:val="fr-FR"/>
        </w:rPr>
        <w:t xml:space="preserve">. Une instance de </w:t>
      </w:r>
      <w:r w:rsidRPr="1B9E7434">
        <w:rPr>
          <w:rStyle w:val="VerbatimChar"/>
          <w:lang w:val="fr-FR"/>
        </w:rPr>
        <w:t>E74_Groupe</w:t>
      </w:r>
      <w:r w:rsidRPr="1B9E7434">
        <w:rPr>
          <w:lang w:val="fr-FR"/>
        </w:rPr>
        <w:t xml:space="preserve"> peut initialement être fondée sans aucun membre.</w:t>
      </w:r>
    </w:p>
    <w:p w14:paraId="2C646911" w14:textId="77777777" w:rsidR="0084489F" w:rsidRDefault="00110FE6">
      <w:pPr>
        <w:pStyle w:val="BodyText"/>
      </w:pPr>
      <w:r w:rsidRPr="1B9E7434">
        <w:rPr>
          <w:rStyle w:val="VerbatimChar"/>
          <w:lang w:val="fr-FR"/>
        </w:rPr>
        <w:t>P107_a_pour_membre_actuel_ou_antérieur (est_le_membre_actuel_ou_antérieur_de)</w:t>
      </w:r>
      <w:r w:rsidRPr="1B9E7434">
        <w:rPr>
          <w:lang w:val="fr-FR"/>
        </w:rPr>
        <w:t xml:space="preserve"> est un raccourci du chemin sémantique suivant : </w:t>
      </w:r>
      <w:r w:rsidRPr="1B9E7434">
        <w:rPr>
          <w:rStyle w:val="VerbatimChar"/>
          <w:lang w:val="fr-FR"/>
        </w:rPr>
        <w:t>E74_Groupe</w:t>
      </w:r>
      <w:r w:rsidRPr="1B9E7434">
        <w:rPr>
          <w:lang w:val="fr-FR"/>
        </w:rPr>
        <w:t xml:space="preserve">, </w:t>
      </w:r>
      <w:r w:rsidRPr="1B9E7434">
        <w:rPr>
          <w:rStyle w:val="VerbatimChar"/>
          <w:lang w:val="fr-FR"/>
        </w:rPr>
        <w:t>P144i_a_accueilli_le_membre_par</w:t>
      </w:r>
      <w:r w:rsidRPr="1B9E7434">
        <w:rPr>
          <w:lang w:val="fr-FR"/>
        </w:rPr>
        <w:t xml:space="preserve">, </w:t>
      </w:r>
      <w:r w:rsidRPr="1B9E7434">
        <w:rPr>
          <w:rStyle w:val="VerbatimChar"/>
          <w:lang w:val="fr-FR"/>
        </w:rPr>
        <w:t>E85_Adhésion</w:t>
      </w:r>
      <w:r w:rsidRPr="1B9E7434">
        <w:rPr>
          <w:lang w:val="fr-FR"/>
        </w:rPr>
        <w:t xml:space="preserve">, </w:t>
      </w:r>
      <w:r w:rsidRPr="1B9E7434">
        <w:rPr>
          <w:rStyle w:val="VerbatimChar"/>
          <w:lang w:val="fr-FR"/>
        </w:rPr>
        <w:t>P143_a_fait_adhérer (a_adhéré_par)</w:t>
      </w:r>
      <w:r w:rsidRPr="1B9E7434">
        <w:rPr>
          <w:lang w:val="fr-FR"/>
        </w:rPr>
        <w:t xml:space="preserve">, </w:t>
      </w:r>
      <w:r w:rsidRPr="1B9E7434">
        <w:rPr>
          <w:rStyle w:val="VerbatimChar"/>
          <w:lang w:val="fr-FR"/>
        </w:rPr>
        <w:t>E39_Actant</w:t>
      </w:r>
      <w:r w:rsidRPr="1B9E7434">
        <w:rPr>
          <w:lang w:val="fr-FR"/>
        </w:rPr>
        <w:t>.</w:t>
      </w:r>
    </w:p>
    <w:p w14:paraId="231F69F9" w14:textId="77777777" w:rsidR="0084489F" w:rsidRDefault="00110FE6">
      <w:pPr>
        <w:pStyle w:val="BodyText"/>
      </w:pPr>
      <w:r>
        <w:t xml:space="preserve">La propriété </w:t>
      </w:r>
      <w:r>
        <w:rPr>
          <w:rStyle w:val="VerbatimChar"/>
        </w:rPr>
        <w:t>P107.1_sorte_de_membre</w:t>
      </w:r>
      <w:r>
        <w:t xml:space="preserve"> peut être utilisée pour spécifier le type d'appartenance au groupe ou le rôle du membre au sein de celui-ci.</w:t>
      </w:r>
    </w:p>
    <w:p w14:paraId="07314329" w14:textId="77777777" w:rsidR="0084489F" w:rsidRDefault="00110FE6">
      <w:pPr>
        <w:pStyle w:val="BodyText"/>
      </w:pPr>
      <w:r>
        <w:rPr>
          <w:b/>
          <w:bCs/>
        </w:rPr>
        <w:t>Exemples</w:t>
      </w:r>
    </w:p>
    <w:p w14:paraId="07EA3D3C" w14:textId="77777777" w:rsidR="0084489F" w:rsidRDefault="00110FE6" w:rsidP="00806324">
      <w:pPr>
        <w:numPr>
          <w:ilvl w:val="0"/>
          <w:numId w:val="226"/>
        </w:numPr>
      </w:pPr>
      <w:r>
        <w:t>László Moholy-Nagy (</w:t>
      </w:r>
      <w:r>
        <w:rPr>
          <w:rStyle w:val="VerbatimChar"/>
        </w:rPr>
        <w:t>E21_Personne</w:t>
      </w:r>
      <w:r>
        <w:t>) est le membre actuel ou antérieur du (</w:t>
      </w:r>
      <w:r>
        <w:rPr>
          <w:rStyle w:val="VerbatimChar"/>
        </w:rPr>
        <w:t>P107i_est_le_membre_actuel_ou_antérieur_de</w:t>
      </w:r>
      <w:r>
        <w:t>) Bauhaus (</w:t>
      </w:r>
      <w:r>
        <w:rPr>
          <w:rStyle w:val="VerbatimChar"/>
        </w:rPr>
        <w:t>E74_Groupe</w:t>
      </w:r>
      <w:r>
        <w:t>) (Moholy-Nagy, 2012)</w:t>
      </w:r>
    </w:p>
    <w:p w14:paraId="403BE942" w14:textId="08B441C4" w:rsidR="0084489F" w:rsidRDefault="00110FE6" w:rsidP="00806324">
      <w:pPr>
        <w:numPr>
          <w:ilvl w:val="0"/>
          <w:numId w:val="226"/>
        </w:numPr>
      </w:pPr>
      <w:r w:rsidRPr="1B9E7434">
        <w:rPr>
          <w:lang w:val="fr-FR"/>
        </w:rPr>
        <w:t>Le National Museum of Science and Industry (</w:t>
      </w:r>
      <w:r w:rsidRPr="1B9E7434">
        <w:rPr>
          <w:rStyle w:val="VerbatimChar"/>
          <w:lang w:val="fr-FR"/>
        </w:rPr>
        <w:t>E74_Groupe</w:t>
      </w:r>
      <w:r w:rsidRPr="1B9E7434">
        <w:rPr>
          <w:lang w:val="fr-FR"/>
        </w:rPr>
        <w:t>) a pour membre actuel ou antérieur (</w:t>
      </w:r>
      <w:r w:rsidRPr="1B9E7434">
        <w:rPr>
          <w:rStyle w:val="VerbatimChar"/>
          <w:lang w:val="fr-FR"/>
        </w:rPr>
        <w:t>P107_a_pour_membre_actuel_ou_antérieur</w:t>
      </w:r>
      <w:r w:rsidRPr="1B9E7434">
        <w:rPr>
          <w:lang w:val="fr-FR"/>
        </w:rPr>
        <w:t>) le National Railway Museum (</w:t>
      </w:r>
      <w:r w:rsidRPr="1B9E7434">
        <w:rPr>
          <w:rStyle w:val="VerbatimChar"/>
          <w:lang w:val="fr-FR"/>
        </w:rPr>
        <w:t>E74_Groupe</w:t>
      </w:r>
      <w:r w:rsidRPr="1B9E7434">
        <w:rPr>
          <w:lang w:val="fr-FR"/>
        </w:rPr>
        <w:t>) (Rolt, 1971)</w:t>
      </w:r>
    </w:p>
    <w:p w14:paraId="5570673C" w14:textId="4102321E" w:rsidR="0084489F" w:rsidRDefault="00110FE6" w:rsidP="00806324">
      <w:pPr>
        <w:numPr>
          <w:ilvl w:val="0"/>
          <w:numId w:val="226"/>
        </w:numPr>
      </w:pPr>
      <w:r w:rsidRPr="1B9E7434">
        <w:rPr>
          <w:lang w:val="fr-FR"/>
        </w:rPr>
        <w:t>Le couple marié formé de la reine Elizabeth II et du prince Phillip (</w:t>
      </w:r>
      <w:r w:rsidRPr="1B9E7434">
        <w:rPr>
          <w:rStyle w:val="VerbatimChar"/>
          <w:lang w:val="fr-FR"/>
        </w:rPr>
        <w:t>E74_Groupe</w:t>
      </w:r>
      <w:r w:rsidRPr="1B9E7434">
        <w:rPr>
          <w:lang w:val="fr-FR"/>
        </w:rPr>
        <w:t>) a pour membre actuel ou antérieur (</w:t>
      </w:r>
      <w:r w:rsidRPr="1B9E7434">
        <w:rPr>
          <w:rStyle w:val="VerbatimChar"/>
          <w:lang w:val="fr-FR"/>
        </w:rPr>
        <w:t>P107_a_pour_membre_actuel_ou_antérieur</w:t>
      </w:r>
      <w:r w:rsidRPr="1B9E7434">
        <w:rPr>
          <w:lang w:val="fr-FR"/>
        </w:rPr>
        <w:t>) le prince Phillip (</w:t>
      </w:r>
      <w:r w:rsidRPr="1B9E7434">
        <w:rPr>
          <w:rStyle w:val="VerbatimChar"/>
          <w:lang w:val="fr-FR"/>
        </w:rPr>
        <w:t>E21_Personne</w:t>
      </w:r>
      <w:r w:rsidRPr="1B9E7434">
        <w:rPr>
          <w:lang w:val="fr-FR"/>
        </w:rPr>
        <w:t>) en tant que (</w:t>
      </w:r>
      <w:r w:rsidRPr="1B9E7434">
        <w:rPr>
          <w:rStyle w:val="VerbatimChar"/>
          <w:lang w:val="fr-FR"/>
        </w:rPr>
        <w:t>P107.1_sorte_de_membre</w:t>
      </w:r>
      <w:r w:rsidRPr="1B9E7434">
        <w:rPr>
          <w:lang w:val="fr-FR"/>
        </w:rPr>
        <w:t>) mari (</w:t>
      </w:r>
      <w:r w:rsidRPr="1B9E7434">
        <w:rPr>
          <w:rStyle w:val="VerbatimChar"/>
          <w:lang w:val="fr-FR"/>
        </w:rPr>
        <w:t>E55_Type</w:t>
      </w:r>
      <w:r w:rsidRPr="1B9E7434">
        <w:rPr>
          <w:lang w:val="fr-FR"/>
        </w:rPr>
        <w:t>) (Brandreth, 2004)</w:t>
      </w:r>
    </w:p>
    <w:p w14:paraId="543555F7" w14:textId="77777777" w:rsidR="0084489F" w:rsidRDefault="00110FE6">
      <w:pPr>
        <w:pStyle w:val="FirstParagraph"/>
      </w:pPr>
      <w:r>
        <w:rPr>
          <w:b/>
          <w:bCs/>
        </w:rPr>
        <w:lastRenderedPageBreak/>
        <w:t>Logique</w:t>
      </w:r>
    </w:p>
    <w:p w14:paraId="1D2FD786" w14:textId="77777777" w:rsidR="0084489F" w:rsidRDefault="00110FE6">
      <w:pPr>
        <w:pStyle w:val="BodyText"/>
      </w:pPr>
      <w:r w:rsidRPr="1B9E7434">
        <w:rPr>
          <w:lang w:val="fr-FR"/>
        </w:rPr>
        <w:t>P107(x,y) ⇒ E74(x)</w:t>
      </w:r>
    </w:p>
    <w:p w14:paraId="4F6BEDA5" w14:textId="77777777" w:rsidR="0084489F" w:rsidRDefault="00110FE6">
      <w:pPr>
        <w:pStyle w:val="BodyText"/>
      </w:pPr>
      <w:r w:rsidRPr="1B9E7434">
        <w:rPr>
          <w:lang w:val="fr-FR"/>
        </w:rPr>
        <w:t>P107(x,y) ⇒ E39(y)</w:t>
      </w:r>
    </w:p>
    <w:p w14:paraId="7A88B518" w14:textId="77777777" w:rsidR="0084489F" w:rsidRDefault="00110FE6">
      <w:pPr>
        <w:pStyle w:val="BodyText"/>
      </w:pPr>
      <w:r w:rsidRPr="1B9E7434">
        <w:rPr>
          <w:lang w:val="fr-FR"/>
        </w:rPr>
        <w:t>P107(x,y,z) ⇒ [P107(x,y) ∧ E55(z)]</w:t>
      </w:r>
    </w:p>
    <w:p w14:paraId="699857F9" w14:textId="77777777" w:rsidR="0084489F" w:rsidRDefault="00110FE6">
      <w:pPr>
        <w:pStyle w:val="BodyText"/>
      </w:pPr>
      <w:r w:rsidRPr="1B9E7434">
        <w:rPr>
          <w:lang w:val="fr-FR"/>
        </w:rPr>
        <w:t>P107(x,y) ⇐ (∃z) [E85(z) ˄ P144i(x,z) ˄ P143(z,y)]</w:t>
      </w:r>
    </w:p>
    <w:p w14:paraId="1473C7D9" w14:textId="77777777" w:rsidR="0084489F" w:rsidRDefault="00110FE6" w:rsidP="008F22EC">
      <w:pPr>
        <w:pStyle w:val="BodyText"/>
        <w:keepNext/>
      </w:pPr>
      <w:r>
        <w:rPr>
          <w:b/>
          <w:bCs/>
        </w:rPr>
        <w:t>Propriétés</w:t>
      </w:r>
    </w:p>
    <w:p w14:paraId="38C681E3" w14:textId="77777777" w:rsidR="0084489F" w:rsidRDefault="00110FE6" w:rsidP="008F22EC">
      <w:pPr>
        <w:pStyle w:val="BodyText"/>
        <w:keepNext/>
      </w:pPr>
      <w:r>
        <w:rPr>
          <w:rStyle w:val="VerbatimChar"/>
        </w:rPr>
        <w:t>P107.1_sorte_de_membre</w:t>
      </w:r>
      <w:r>
        <w:t xml:space="preserve"> : </w:t>
      </w:r>
      <w:r>
        <w:rPr>
          <w:rStyle w:val="VerbatimChar"/>
        </w:rPr>
        <w:t>E55_Type</w:t>
      </w:r>
    </w:p>
    <w:p w14:paraId="3271A1D4" w14:textId="77777777" w:rsidR="0084489F" w:rsidRDefault="00110FE6">
      <w:pPr>
        <w:pStyle w:val="BlockText"/>
      </w:pPr>
      <w:r>
        <w:rPr>
          <w:b/>
          <w:bCs/>
          <w:i/>
          <w:iCs/>
        </w:rPr>
        <w:t>Note de traduction</w:t>
      </w:r>
    </w:p>
    <w:p w14:paraId="4C5A1CFA" w14:textId="77777777" w:rsidR="0084489F" w:rsidRDefault="00110FE6">
      <w:pPr>
        <w:pStyle w:val="BlockText"/>
      </w:pPr>
      <w:r>
        <w:t>En hongrois, on devrait écrire « Moholy-Nagy László » puisque le nom de famille précède le prénom, mais la forme inversée a été retenue pour suivre la norme des pays francophones soit « László Moholy-Nagy ».</w:t>
      </w:r>
    </w:p>
    <w:p w14:paraId="3816904B" w14:textId="77777777" w:rsidR="0084489F" w:rsidRDefault="00110FE6">
      <w:pPr>
        <w:pStyle w:val="BlockText"/>
      </w:pPr>
      <w:r>
        <w:rPr>
          <w:b/>
          <w:bCs/>
          <w:i/>
          <w:iCs/>
        </w:rPr>
        <w:t>Références</w:t>
      </w:r>
    </w:p>
    <w:p w14:paraId="54AA4F2F" w14:textId="77777777" w:rsidR="0084489F" w:rsidRDefault="00110FE6">
      <w:pPr>
        <w:pStyle w:val="BlockText"/>
      </w:pPr>
      <w:r>
        <w:t xml:space="preserve">Wikipédia. « László Moholy-Nagy ». Dans </w:t>
      </w:r>
      <w:r>
        <w:rPr>
          <w:i/>
          <w:iCs/>
        </w:rPr>
        <w:t>Wikipédia</w:t>
      </w:r>
      <w:r>
        <w:t xml:space="preserve">. </w:t>
      </w:r>
      <w:r w:rsidRPr="008C0D99">
        <w:rPr>
          <w:lang w:val="en-CA"/>
        </w:rPr>
        <w:t>San Francisco, US-CA: Wikipédia, 30 mars 2022.</w:t>
      </w:r>
      <w:hyperlink r:id="rId272">
        <w:r w:rsidRPr="008C0D99">
          <w:rPr>
            <w:rStyle w:val="Hyperlink"/>
            <w:lang w:val="en-CA"/>
          </w:rPr>
          <w:t xml:space="preserve"> </w:t>
        </w:r>
      </w:hyperlink>
      <w:hyperlink r:id="rId273">
        <w:r>
          <w:rPr>
            <w:rStyle w:val="Hyperlink"/>
          </w:rPr>
          <w:t>https://fr.wikipedia.org/w/index.php?title=L%C3%A1szl%C3%B3_Moholy-Nagy&amp;oldid=192385234</w:t>
        </w:r>
      </w:hyperlink>
      <w:r>
        <w:t>.</w:t>
      </w:r>
    </w:p>
    <w:p w14:paraId="4E0269D7" w14:textId="77777777" w:rsidR="008F22EC" w:rsidRPr="008F22EC" w:rsidRDefault="008F22EC" w:rsidP="008F22EC">
      <w:pPr>
        <w:pStyle w:val="BodyText"/>
      </w:pPr>
    </w:p>
    <w:p w14:paraId="24AC91EC" w14:textId="77777777" w:rsidR="0084489F" w:rsidRDefault="00110FE6">
      <w:pPr>
        <w:pStyle w:val="Heading2"/>
      </w:pPr>
      <w:bookmarkStart w:id="454" w:name="_Toc176864607"/>
      <w:bookmarkStart w:id="455" w:name="p108-a-produit-(a-ete-produit-par)"/>
      <w:bookmarkEnd w:id="453"/>
      <w:r>
        <w:t>P108 a produit (a été produit par)</w:t>
      </w:r>
      <w:bookmarkEnd w:id="454"/>
    </w:p>
    <w:p w14:paraId="0B66C807" w14:textId="77777777" w:rsidR="0084489F" w:rsidRDefault="00110FE6">
      <w:pPr>
        <w:pStyle w:val="FirstParagraph"/>
      </w:pPr>
      <w:r>
        <w:rPr>
          <w:b/>
          <w:bCs/>
        </w:rPr>
        <w:t>Domaine</w:t>
      </w:r>
    </w:p>
    <w:p w14:paraId="01147E5A" w14:textId="77777777" w:rsidR="0084489F" w:rsidRDefault="00110FE6">
      <w:pPr>
        <w:pStyle w:val="BodyText"/>
      </w:pPr>
      <w:r>
        <w:rPr>
          <w:rStyle w:val="VerbatimChar"/>
        </w:rPr>
        <w:t>E12_Production</w:t>
      </w:r>
    </w:p>
    <w:p w14:paraId="0A3FF2F4" w14:textId="77777777" w:rsidR="0084489F" w:rsidRDefault="00110FE6">
      <w:pPr>
        <w:pStyle w:val="BodyText"/>
      </w:pPr>
      <w:r>
        <w:rPr>
          <w:b/>
          <w:bCs/>
        </w:rPr>
        <w:t>Portée</w:t>
      </w:r>
    </w:p>
    <w:p w14:paraId="52582D38" w14:textId="77777777" w:rsidR="0084489F" w:rsidRDefault="00110FE6">
      <w:pPr>
        <w:pStyle w:val="BodyText"/>
      </w:pPr>
      <w:r>
        <w:rPr>
          <w:rStyle w:val="VerbatimChar"/>
        </w:rPr>
        <w:t>E24_Chose_matérielle_élaborée_par_l’humain</w:t>
      </w:r>
    </w:p>
    <w:p w14:paraId="1BCB93A0" w14:textId="77777777" w:rsidR="0084489F" w:rsidRDefault="00110FE6">
      <w:pPr>
        <w:pStyle w:val="BodyText"/>
      </w:pPr>
      <w:r>
        <w:rPr>
          <w:b/>
          <w:bCs/>
        </w:rPr>
        <w:t>Sous-propriété de</w:t>
      </w:r>
    </w:p>
    <w:p w14:paraId="6BEB2DD9" w14:textId="77777777" w:rsidR="0084489F" w:rsidRDefault="00110FE6">
      <w:pPr>
        <w:pStyle w:val="BodyText"/>
      </w:pPr>
      <w:r w:rsidRPr="1B9E7434">
        <w:rPr>
          <w:rStyle w:val="VerbatimChar"/>
          <w:lang w:val="fr-FR"/>
        </w:rPr>
        <w:t>E11_Modification</w:t>
      </w:r>
      <w:r w:rsidRPr="1B9E7434">
        <w:rPr>
          <w:lang w:val="fr-FR"/>
        </w:rPr>
        <w:t xml:space="preserve">. </w:t>
      </w:r>
      <w:r w:rsidRPr="1B9E7434">
        <w:rPr>
          <w:rStyle w:val="VerbatimChar"/>
          <w:lang w:val="fr-FR"/>
        </w:rPr>
        <w:t>P31_a_modifié (a_été_modifié_par)</w:t>
      </w:r>
      <w:r w:rsidRPr="1B9E7434">
        <w:rPr>
          <w:lang w:val="fr-FR"/>
        </w:rPr>
        <w:t xml:space="preserve"> : </w:t>
      </w:r>
      <w:r w:rsidRPr="1B9E7434">
        <w:rPr>
          <w:rStyle w:val="VerbatimChar"/>
          <w:lang w:val="fr-FR"/>
        </w:rPr>
        <w:t>E18_Chose_matérielle</w:t>
      </w:r>
    </w:p>
    <w:p w14:paraId="384ADE09" w14:textId="77777777" w:rsidR="0084489F" w:rsidRDefault="00110FE6">
      <w:pPr>
        <w:pStyle w:val="BodyText"/>
      </w:pPr>
      <w:r w:rsidRPr="1B9E7434">
        <w:rPr>
          <w:rStyle w:val="VerbatimChar"/>
          <w:lang w:val="fr-FR"/>
        </w:rPr>
        <w:t>E63_Début_d’existence</w:t>
      </w:r>
      <w:r w:rsidRPr="1B9E7434">
        <w:rPr>
          <w:lang w:val="fr-FR"/>
        </w:rPr>
        <w:t xml:space="preserve">. </w:t>
      </w:r>
      <w:r w:rsidRPr="1B9E7434">
        <w:rPr>
          <w:rStyle w:val="VerbatimChar"/>
          <w:lang w:val="fr-FR"/>
        </w:rPr>
        <w:t>P92_a_fait_exister (a_commencé_à_exister_par)</w:t>
      </w:r>
      <w:r w:rsidRPr="1B9E7434">
        <w:rPr>
          <w:lang w:val="fr-FR"/>
        </w:rPr>
        <w:t xml:space="preserve"> : </w:t>
      </w:r>
      <w:r w:rsidRPr="1B9E7434">
        <w:rPr>
          <w:rStyle w:val="VerbatimChar"/>
          <w:lang w:val="fr-FR"/>
        </w:rPr>
        <w:t>E77_Entité_persistante</w:t>
      </w:r>
    </w:p>
    <w:p w14:paraId="2B34D105" w14:textId="77777777" w:rsidR="0084489F" w:rsidRDefault="00110FE6">
      <w:pPr>
        <w:pStyle w:val="BodyText"/>
      </w:pPr>
      <w:r>
        <w:rPr>
          <w:b/>
          <w:bCs/>
        </w:rPr>
        <w:t>Super-propriété de</w:t>
      </w:r>
    </w:p>
    <w:p w14:paraId="244366D0" w14:textId="77777777" w:rsidR="0084489F" w:rsidRDefault="00110FE6">
      <w:pPr>
        <w:pStyle w:val="BodyText"/>
      </w:pPr>
      <w:r>
        <w:rPr>
          <w:b/>
          <w:bCs/>
        </w:rPr>
        <w:t>Quantification</w:t>
      </w:r>
    </w:p>
    <w:p w14:paraId="48CC03AB" w14:textId="77777777" w:rsidR="0084489F" w:rsidRDefault="00110FE6">
      <w:pPr>
        <w:pStyle w:val="BodyText"/>
      </w:pPr>
      <w:r w:rsidRPr="1B9E7434">
        <w:rPr>
          <w:lang w:val="fr-FR"/>
        </w:rPr>
        <w:t>Un à plusieurs, nécessaire, dépendant (1,n:1,1)</w:t>
      </w:r>
    </w:p>
    <w:p w14:paraId="55B5833F" w14:textId="77777777" w:rsidR="0084489F" w:rsidRDefault="00110FE6">
      <w:pPr>
        <w:pStyle w:val="BodyText"/>
      </w:pPr>
      <w:r>
        <w:rPr>
          <w:b/>
          <w:bCs/>
        </w:rPr>
        <w:t>Note d’application</w:t>
      </w:r>
    </w:p>
    <w:p w14:paraId="2F78F6B5" w14:textId="77777777" w:rsidR="0084489F" w:rsidRDefault="00110FE6">
      <w:pPr>
        <w:pStyle w:val="BodyText"/>
      </w:pPr>
      <w:r>
        <w:t xml:space="preserve">Cette propriété identifie l’instance de </w:t>
      </w:r>
      <w:r>
        <w:rPr>
          <w:rStyle w:val="VerbatimChar"/>
        </w:rPr>
        <w:t>E24_Chose_matérielle_élaborée_par_l’humain</w:t>
      </w:r>
      <w:r>
        <w:t xml:space="preserve"> qui a commencé à exister à la suite de l’instance de </w:t>
      </w:r>
      <w:r>
        <w:rPr>
          <w:rStyle w:val="VerbatimChar"/>
        </w:rPr>
        <w:t>E12_Production</w:t>
      </w:r>
      <w:r>
        <w:t xml:space="preserve"> qui lui est rattachée.</w:t>
      </w:r>
    </w:p>
    <w:p w14:paraId="4E9D4A08" w14:textId="77777777" w:rsidR="0084489F" w:rsidRDefault="00110FE6">
      <w:pPr>
        <w:pStyle w:val="BodyText"/>
      </w:pPr>
      <w:r w:rsidRPr="1B9E7434">
        <w:rPr>
          <w:lang w:val="fr-FR"/>
        </w:rPr>
        <w:t xml:space="preserve">L'identité d'une instance de </w:t>
      </w:r>
      <w:r w:rsidRPr="1B9E7434">
        <w:rPr>
          <w:rStyle w:val="VerbatimChar"/>
          <w:lang w:val="fr-FR"/>
        </w:rPr>
        <w:t>E24_Chose_matérielle_élaborée_par_l’humain</w:t>
      </w:r>
      <w:r w:rsidRPr="1B9E7434">
        <w:rPr>
          <w:lang w:val="fr-FR"/>
        </w:rPr>
        <w:t xml:space="preserve"> n'est pas définie par sa matière, mais par son existence en tant que sujet de documentation. Une activité de </w:t>
      </w:r>
      <w:r w:rsidRPr="1B9E7434">
        <w:rPr>
          <w:rStyle w:val="VerbatimChar"/>
          <w:lang w:val="fr-FR"/>
        </w:rPr>
        <w:t>E12_Production</w:t>
      </w:r>
      <w:r w:rsidRPr="1B9E7434">
        <w:rPr>
          <w:lang w:val="fr-FR"/>
        </w:rPr>
        <w:t xml:space="preserve"> peut donner lieu à la création de plusieurs instances de </w:t>
      </w:r>
      <w:r w:rsidRPr="1B9E7434">
        <w:rPr>
          <w:rStyle w:val="VerbatimChar"/>
          <w:lang w:val="fr-FR"/>
        </w:rPr>
        <w:t>E24_Chose_matérielle_élaborée_par_l’humain</w:t>
      </w:r>
      <w:r w:rsidRPr="1B9E7434">
        <w:rPr>
          <w:lang w:val="fr-FR"/>
        </w:rPr>
        <w:t>.</w:t>
      </w:r>
    </w:p>
    <w:p w14:paraId="032DEB4D" w14:textId="77777777" w:rsidR="0084489F" w:rsidRDefault="00110FE6" w:rsidP="00FA3C06">
      <w:pPr>
        <w:pStyle w:val="BodyText"/>
        <w:keepNext/>
      </w:pPr>
      <w:r>
        <w:rPr>
          <w:b/>
          <w:bCs/>
        </w:rPr>
        <w:lastRenderedPageBreak/>
        <w:t>Exemples</w:t>
      </w:r>
    </w:p>
    <w:p w14:paraId="13A8AD03" w14:textId="4C092A27" w:rsidR="0084489F" w:rsidRDefault="00110FE6" w:rsidP="00806324">
      <w:pPr>
        <w:keepNext/>
        <w:numPr>
          <w:ilvl w:val="0"/>
          <w:numId w:val="227"/>
        </w:numPr>
      </w:pPr>
      <w:r w:rsidRPr="1B9E7434">
        <w:rPr>
          <w:lang w:val="fr-FR"/>
        </w:rPr>
        <w:t>La construction de Rome (</w:t>
      </w:r>
      <w:r w:rsidRPr="1B9E7434">
        <w:rPr>
          <w:rStyle w:val="VerbatimChar"/>
          <w:lang w:val="fr-FR"/>
        </w:rPr>
        <w:t>E12_Production</w:t>
      </w:r>
      <w:r w:rsidRPr="1B9E7434">
        <w:rPr>
          <w:lang w:val="fr-FR"/>
        </w:rPr>
        <w:t>) a produit (</w:t>
      </w:r>
      <w:r w:rsidRPr="1B9E7434">
        <w:rPr>
          <w:rStyle w:val="VerbatimChar"/>
          <w:lang w:val="fr-FR"/>
        </w:rPr>
        <w:t>P108_a_produit</w:t>
      </w:r>
      <w:r w:rsidRPr="1B9E7434">
        <w:rPr>
          <w:lang w:val="fr-FR"/>
        </w:rPr>
        <w:t>) le Colisée (the Colosseum) (</w:t>
      </w:r>
      <w:r w:rsidRPr="1B9E7434">
        <w:rPr>
          <w:rStyle w:val="VerbatimChar"/>
          <w:lang w:val="fr-FR"/>
        </w:rPr>
        <w:t>E22_Objet_élaborée_par_l’humain</w:t>
      </w:r>
      <w:r w:rsidRPr="1B9E7434">
        <w:rPr>
          <w:lang w:val="fr-FR"/>
        </w:rPr>
        <w:t>) (Hopkins &amp; Beard, 2011)</w:t>
      </w:r>
    </w:p>
    <w:p w14:paraId="4901FCDF" w14:textId="77777777" w:rsidR="0084489F" w:rsidRDefault="00110FE6">
      <w:pPr>
        <w:pStyle w:val="FirstParagraph"/>
      </w:pPr>
      <w:r>
        <w:rPr>
          <w:b/>
          <w:bCs/>
        </w:rPr>
        <w:t>Logique</w:t>
      </w:r>
    </w:p>
    <w:p w14:paraId="6C4ECB01" w14:textId="77777777" w:rsidR="0084489F" w:rsidRDefault="00110FE6">
      <w:pPr>
        <w:pStyle w:val="BodyText"/>
      </w:pPr>
      <w:r w:rsidRPr="1B9E7434">
        <w:rPr>
          <w:lang w:val="fr-FR"/>
        </w:rPr>
        <w:t>P108(x,y) ⇒ E12(x)</w:t>
      </w:r>
    </w:p>
    <w:p w14:paraId="25CED6F5" w14:textId="77777777" w:rsidR="0084489F" w:rsidRDefault="00110FE6">
      <w:pPr>
        <w:pStyle w:val="BodyText"/>
      </w:pPr>
      <w:r w:rsidRPr="1B9E7434">
        <w:rPr>
          <w:lang w:val="fr-FR"/>
        </w:rPr>
        <w:t>P108(x,y) ⇒ E24(y)</w:t>
      </w:r>
    </w:p>
    <w:p w14:paraId="0B193692" w14:textId="77777777" w:rsidR="0084489F" w:rsidRDefault="00110FE6">
      <w:pPr>
        <w:pStyle w:val="BodyText"/>
      </w:pPr>
      <w:r w:rsidRPr="1B9E7434">
        <w:rPr>
          <w:lang w:val="fr-FR"/>
        </w:rPr>
        <w:t>P108(x,y) ⇒ P31(x,y)</w:t>
      </w:r>
    </w:p>
    <w:p w14:paraId="614F300A" w14:textId="77777777" w:rsidR="0084489F" w:rsidRDefault="00110FE6">
      <w:pPr>
        <w:pStyle w:val="BodyText"/>
      </w:pPr>
      <w:r w:rsidRPr="1B9E7434">
        <w:rPr>
          <w:lang w:val="fr-FR"/>
        </w:rPr>
        <w:t>P108(x,y) ⇒ P92(x,y)</w:t>
      </w:r>
    </w:p>
    <w:p w14:paraId="35F2E7E5" w14:textId="77777777" w:rsidR="0084489F" w:rsidRDefault="00110FE6">
      <w:pPr>
        <w:pStyle w:val="BodyText"/>
      </w:pPr>
      <w:r>
        <w:rPr>
          <w:b/>
          <w:bCs/>
        </w:rPr>
        <w:t>Propriétés</w:t>
      </w:r>
    </w:p>
    <w:p w14:paraId="42B7041F" w14:textId="77777777" w:rsidR="0084489F" w:rsidRDefault="00110FE6">
      <w:pPr>
        <w:pStyle w:val="BlockText"/>
      </w:pPr>
      <w:r>
        <w:rPr>
          <w:b/>
          <w:bCs/>
          <w:i/>
          <w:iCs/>
        </w:rPr>
        <w:t>Note de traduction</w:t>
      </w:r>
    </w:p>
    <w:p w14:paraId="0226017E" w14:textId="77777777" w:rsidR="0084489F" w:rsidRDefault="00110FE6">
      <w:pPr>
        <w:pStyle w:val="BlockText"/>
      </w:pPr>
      <w:r>
        <w:rPr>
          <w:b/>
          <w:bCs/>
          <w:i/>
          <w:iCs/>
        </w:rPr>
        <w:t>Références</w:t>
      </w:r>
    </w:p>
    <w:p w14:paraId="0713E54A" w14:textId="77777777" w:rsidR="0084489F" w:rsidRDefault="0084489F">
      <w:pPr>
        <w:pStyle w:val="BlockText"/>
      </w:pPr>
    </w:p>
    <w:p w14:paraId="2150094D" w14:textId="77777777" w:rsidR="0084489F" w:rsidRDefault="00110FE6">
      <w:pPr>
        <w:pStyle w:val="Heading2"/>
      </w:pPr>
      <w:bookmarkStart w:id="456" w:name="_Toc176864608"/>
      <w:bookmarkStart w:id="457" w:name="Xdf518cb97a70e9c212e040209d757cd5980d05d"/>
      <w:bookmarkEnd w:id="455"/>
      <w:r>
        <w:t>P109 a pour responsable actuel ou antérieur de la collection (est responsable actuel ou antérieur de la collection)</w:t>
      </w:r>
      <w:bookmarkEnd w:id="456"/>
    </w:p>
    <w:p w14:paraId="16818909" w14:textId="77777777" w:rsidR="0084489F" w:rsidRDefault="00110FE6">
      <w:pPr>
        <w:pStyle w:val="FirstParagraph"/>
      </w:pPr>
      <w:r>
        <w:rPr>
          <w:b/>
          <w:bCs/>
        </w:rPr>
        <w:t>Domaine</w:t>
      </w:r>
    </w:p>
    <w:p w14:paraId="0272E019" w14:textId="77777777" w:rsidR="0084489F" w:rsidRDefault="00110FE6">
      <w:pPr>
        <w:pStyle w:val="BodyText"/>
      </w:pPr>
      <w:r>
        <w:rPr>
          <w:rStyle w:val="VerbatimChar"/>
        </w:rPr>
        <w:t>E78_Collection</w:t>
      </w:r>
    </w:p>
    <w:p w14:paraId="0C0BD54C" w14:textId="77777777" w:rsidR="0084489F" w:rsidRDefault="00110FE6">
      <w:pPr>
        <w:pStyle w:val="BodyText"/>
      </w:pPr>
      <w:r>
        <w:rPr>
          <w:b/>
          <w:bCs/>
        </w:rPr>
        <w:t>Portée</w:t>
      </w:r>
    </w:p>
    <w:p w14:paraId="3D0274E7" w14:textId="77777777" w:rsidR="0084489F" w:rsidRDefault="00110FE6">
      <w:pPr>
        <w:pStyle w:val="BodyText"/>
      </w:pPr>
      <w:r>
        <w:rPr>
          <w:rStyle w:val="VerbatimChar"/>
        </w:rPr>
        <w:t>E39_Actant</w:t>
      </w:r>
    </w:p>
    <w:p w14:paraId="224BA228" w14:textId="77777777" w:rsidR="0084489F" w:rsidRDefault="00110FE6">
      <w:pPr>
        <w:pStyle w:val="BodyText"/>
      </w:pPr>
      <w:r>
        <w:rPr>
          <w:b/>
          <w:bCs/>
        </w:rPr>
        <w:t>Sous-propriété de</w:t>
      </w:r>
    </w:p>
    <w:p w14:paraId="4A989C1E"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P49_a_pour_actant_détenteur_actuel_ou_antérieur (est_l’actant_détenteur_actuel_ou_antérieur_de)</w:t>
      </w:r>
      <w:r w:rsidRPr="1B9E7434">
        <w:rPr>
          <w:lang w:val="fr-FR"/>
        </w:rPr>
        <w:t xml:space="preserve"> : </w:t>
      </w:r>
      <w:r w:rsidRPr="1B9E7434">
        <w:rPr>
          <w:rStyle w:val="VerbatimChar"/>
          <w:lang w:val="fr-FR"/>
        </w:rPr>
        <w:t>E39_Actant</w:t>
      </w:r>
    </w:p>
    <w:p w14:paraId="5BA9FE98" w14:textId="77777777" w:rsidR="0084489F" w:rsidRDefault="00110FE6">
      <w:pPr>
        <w:pStyle w:val="BodyText"/>
      </w:pPr>
      <w:r>
        <w:rPr>
          <w:b/>
          <w:bCs/>
        </w:rPr>
        <w:t>Super-propriété de</w:t>
      </w:r>
    </w:p>
    <w:p w14:paraId="2398E2F0" w14:textId="77777777" w:rsidR="0084489F" w:rsidRDefault="00110FE6">
      <w:pPr>
        <w:pStyle w:val="BodyText"/>
      </w:pPr>
      <w:r>
        <w:rPr>
          <w:b/>
          <w:bCs/>
        </w:rPr>
        <w:t>Quantification</w:t>
      </w:r>
    </w:p>
    <w:p w14:paraId="3B46E33C" w14:textId="77777777" w:rsidR="0084489F" w:rsidRDefault="00110FE6">
      <w:pPr>
        <w:pStyle w:val="BodyText"/>
      </w:pPr>
      <w:r w:rsidRPr="1B9E7434">
        <w:rPr>
          <w:lang w:val="fr-FR"/>
        </w:rPr>
        <w:t>plusieurs à plusieurs, nécessaire (1,n:0,n)</w:t>
      </w:r>
    </w:p>
    <w:p w14:paraId="29884AAB" w14:textId="77777777" w:rsidR="0084489F" w:rsidRDefault="00110FE6">
      <w:pPr>
        <w:pStyle w:val="BodyText"/>
      </w:pPr>
      <w:r>
        <w:rPr>
          <w:b/>
          <w:bCs/>
        </w:rPr>
        <w:t>Note d’application</w:t>
      </w:r>
    </w:p>
    <w:p w14:paraId="6CA53BBD" w14:textId="77777777" w:rsidR="0084489F" w:rsidRDefault="00110FE6">
      <w:pPr>
        <w:pStyle w:val="BodyText"/>
      </w:pPr>
      <w:r w:rsidRPr="1B9E7434">
        <w:rPr>
          <w:lang w:val="fr-FR"/>
        </w:rPr>
        <w:t xml:space="preserve">Cette propriété identifie l'instance de </w:t>
      </w:r>
      <w:r w:rsidRPr="1B9E7434">
        <w:rPr>
          <w:rStyle w:val="VerbatimChar"/>
          <w:lang w:val="fr-FR"/>
        </w:rPr>
        <w:t>E39_Actant</w:t>
      </w:r>
      <w:r w:rsidRPr="1B9E7434">
        <w:rPr>
          <w:lang w:val="fr-FR"/>
        </w:rPr>
        <w:t xml:space="preserve"> qui a assumé ou assume la responsabilité curatoriale d'une instance de </w:t>
      </w:r>
      <w:r w:rsidRPr="1B9E7434">
        <w:rPr>
          <w:rStyle w:val="VerbatimChar"/>
          <w:lang w:val="fr-FR"/>
        </w:rPr>
        <w:t>E78_Collection</w:t>
      </w:r>
      <w:r w:rsidRPr="1B9E7434">
        <w:rPr>
          <w:lang w:val="fr-FR"/>
        </w:rPr>
        <w:t>.</w:t>
      </w:r>
    </w:p>
    <w:p w14:paraId="19F1B5A7" w14:textId="77777777" w:rsidR="0084489F" w:rsidRDefault="00110FE6">
      <w:pPr>
        <w:pStyle w:val="BodyText"/>
      </w:pPr>
      <w:r w:rsidRPr="1B9E7434">
        <w:rPr>
          <w:lang w:val="fr-FR"/>
        </w:rPr>
        <w:t>Cette propriété ne permet pas d'enregistrer l'historique de la responsabilité curatoriale. Ce cas nécessite la présence d'un évènement qui marque le début de la responsabilité d’une personne envers une collection.</w:t>
      </w:r>
    </w:p>
    <w:p w14:paraId="68D28209" w14:textId="77777777" w:rsidR="0084489F" w:rsidRDefault="00110FE6">
      <w:pPr>
        <w:pStyle w:val="BodyText"/>
      </w:pPr>
      <w:r>
        <w:rPr>
          <w:b/>
          <w:bCs/>
        </w:rPr>
        <w:t>Exemples</w:t>
      </w:r>
    </w:p>
    <w:p w14:paraId="6ED38036" w14:textId="10750088" w:rsidR="0084489F" w:rsidRDefault="00110FE6" w:rsidP="00806324">
      <w:pPr>
        <w:numPr>
          <w:ilvl w:val="0"/>
          <w:numId w:val="228"/>
        </w:numPr>
      </w:pPr>
      <w:r w:rsidRPr="1B9E7434">
        <w:rPr>
          <w:lang w:val="fr-FR"/>
        </w:rPr>
        <w:t>La collection Robert Opie (</w:t>
      </w:r>
      <w:r w:rsidRPr="1B9E7434">
        <w:rPr>
          <w:rStyle w:val="VerbatimChar"/>
          <w:lang w:val="fr-FR"/>
        </w:rPr>
        <w:t>E78_Collection</w:t>
      </w:r>
      <w:r w:rsidRPr="1B9E7434">
        <w:rPr>
          <w:lang w:val="fr-FR"/>
        </w:rPr>
        <w:t>) a pour responsable actuel ou antérieur de la collection (</w:t>
      </w:r>
      <w:r w:rsidRPr="1B9E7434">
        <w:rPr>
          <w:rStyle w:val="VerbatimChar"/>
          <w:lang w:val="fr-FR"/>
        </w:rPr>
        <w:t>P109_a_pour_responsable_actuel_ou_antérieur_de_la_collection</w:t>
      </w:r>
      <w:r w:rsidRPr="1B9E7434">
        <w:rPr>
          <w:lang w:val="fr-FR"/>
        </w:rPr>
        <w:t>) Robert Opie (</w:t>
      </w:r>
      <w:r w:rsidRPr="1B9E7434">
        <w:rPr>
          <w:rStyle w:val="VerbatimChar"/>
          <w:lang w:val="fr-FR"/>
        </w:rPr>
        <w:t>E21_Personne</w:t>
      </w:r>
      <w:r w:rsidRPr="1B9E7434">
        <w:rPr>
          <w:lang w:val="fr-FR"/>
        </w:rPr>
        <w:t>) (https://www.robertopiecollection.com/)</w:t>
      </w:r>
    </w:p>
    <w:p w14:paraId="42EA9BDE" w14:textId="3C6BB7A4" w:rsidR="0084489F" w:rsidRDefault="00110FE6" w:rsidP="00806324">
      <w:pPr>
        <w:numPr>
          <w:ilvl w:val="0"/>
          <w:numId w:val="228"/>
        </w:numPr>
      </w:pPr>
      <w:r w:rsidRPr="1B9E7434">
        <w:rPr>
          <w:lang w:val="fr-FR"/>
        </w:rPr>
        <w:lastRenderedPageBreak/>
        <w:t>L'herbier d'algues rouges coralliennes de Mikæl Heggelund Foslie (</w:t>
      </w:r>
      <w:r w:rsidRPr="1B9E7434">
        <w:rPr>
          <w:rStyle w:val="VerbatimChar"/>
          <w:lang w:val="fr-FR"/>
        </w:rPr>
        <w:t>E78_Collection</w:t>
      </w:r>
      <w:r w:rsidRPr="1B9E7434">
        <w:rPr>
          <w:lang w:val="fr-FR"/>
        </w:rPr>
        <w:t>) a pour responsable actuel ou antérieur de la collection (</w:t>
      </w:r>
      <w:r w:rsidRPr="1B9E7434">
        <w:rPr>
          <w:rStyle w:val="VerbatimChar"/>
          <w:lang w:val="fr-FR"/>
        </w:rPr>
        <w:t>P109_a_pour_responsable_actuel_ou_antérieur_de_la_collection</w:t>
      </w:r>
      <w:r w:rsidRPr="1B9E7434">
        <w:rPr>
          <w:lang w:val="fr-FR"/>
        </w:rPr>
        <w:t>) Mikæl Heggelund Foslie (</w:t>
      </w:r>
      <w:r w:rsidRPr="1B9E7434">
        <w:rPr>
          <w:rStyle w:val="VerbatimChar"/>
          <w:lang w:val="fr-FR"/>
        </w:rPr>
        <w:t>E21_Personne</w:t>
      </w:r>
      <w:r w:rsidRPr="1B9E7434">
        <w:rPr>
          <w:lang w:val="fr-FR"/>
        </w:rPr>
        <w:t>) (Wœlkerling &amp; al, 2005)</w:t>
      </w:r>
    </w:p>
    <w:p w14:paraId="3D6A5E0D" w14:textId="77777777" w:rsidR="0084489F" w:rsidRDefault="00110FE6">
      <w:pPr>
        <w:pStyle w:val="FirstParagraph"/>
      </w:pPr>
      <w:r>
        <w:rPr>
          <w:b/>
          <w:bCs/>
        </w:rPr>
        <w:t>Logique</w:t>
      </w:r>
    </w:p>
    <w:p w14:paraId="34A700B9" w14:textId="77777777" w:rsidR="0084489F" w:rsidRDefault="00110FE6">
      <w:pPr>
        <w:pStyle w:val="BodyText"/>
      </w:pPr>
      <w:r w:rsidRPr="1B9E7434">
        <w:rPr>
          <w:lang w:val="fr-FR"/>
        </w:rPr>
        <w:t>P109(x,y) ⇒ E78(x)</w:t>
      </w:r>
    </w:p>
    <w:p w14:paraId="05D3978C" w14:textId="77777777" w:rsidR="0084489F" w:rsidRDefault="00110FE6">
      <w:pPr>
        <w:pStyle w:val="BodyText"/>
      </w:pPr>
      <w:r w:rsidRPr="1B9E7434">
        <w:rPr>
          <w:lang w:val="fr-FR"/>
        </w:rPr>
        <w:t>P109(x,y) ⇒ E39(y)</w:t>
      </w:r>
    </w:p>
    <w:p w14:paraId="21697D46" w14:textId="77777777" w:rsidR="0084489F" w:rsidRDefault="00110FE6">
      <w:pPr>
        <w:pStyle w:val="BodyText"/>
      </w:pPr>
      <w:r w:rsidRPr="1B9E7434">
        <w:rPr>
          <w:lang w:val="fr-FR"/>
        </w:rPr>
        <w:t>P109(x,y) ⇒ P49(x,y)</w:t>
      </w:r>
    </w:p>
    <w:p w14:paraId="66F7AEBC" w14:textId="77777777" w:rsidR="0084489F" w:rsidRDefault="00110FE6">
      <w:pPr>
        <w:pStyle w:val="BodyText"/>
      </w:pPr>
      <w:r>
        <w:rPr>
          <w:b/>
          <w:bCs/>
        </w:rPr>
        <w:t>Propriétés</w:t>
      </w:r>
    </w:p>
    <w:p w14:paraId="46F74700" w14:textId="77777777" w:rsidR="0084489F" w:rsidRDefault="00110FE6">
      <w:pPr>
        <w:pStyle w:val="BlockText"/>
      </w:pPr>
      <w:r>
        <w:rPr>
          <w:b/>
          <w:bCs/>
          <w:i/>
          <w:iCs/>
        </w:rPr>
        <w:t>Note de traduction</w:t>
      </w:r>
    </w:p>
    <w:p w14:paraId="176BA9A3" w14:textId="77777777" w:rsidR="0084489F" w:rsidRDefault="00110FE6">
      <w:pPr>
        <w:pStyle w:val="BlockText"/>
      </w:pPr>
      <w:r>
        <w:rPr>
          <w:b/>
          <w:bCs/>
          <w:i/>
          <w:iCs/>
        </w:rPr>
        <w:t>Références</w:t>
      </w:r>
    </w:p>
    <w:p w14:paraId="18579581" w14:textId="77777777" w:rsidR="0084489F" w:rsidRDefault="0084489F">
      <w:pPr>
        <w:pStyle w:val="BlockText"/>
      </w:pPr>
    </w:p>
    <w:p w14:paraId="730F2DAF" w14:textId="77777777" w:rsidR="0084489F" w:rsidRDefault="00110FE6">
      <w:pPr>
        <w:pStyle w:val="Heading2"/>
      </w:pPr>
      <w:bookmarkStart w:id="458" w:name="_Toc176864609"/>
      <w:bookmarkStart w:id="459" w:name="p110-a-augmente-(a-ete-augmente-par)"/>
      <w:bookmarkEnd w:id="457"/>
      <w:r>
        <w:t>P110 a augmenté (a été augmenté par)</w:t>
      </w:r>
      <w:bookmarkEnd w:id="458"/>
    </w:p>
    <w:p w14:paraId="285878C7" w14:textId="77777777" w:rsidR="0084489F" w:rsidRDefault="00110FE6">
      <w:pPr>
        <w:pStyle w:val="FirstParagraph"/>
      </w:pPr>
      <w:r>
        <w:rPr>
          <w:b/>
          <w:bCs/>
        </w:rPr>
        <w:t>Domaine</w:t>
      </w:r>
    </w:p>
    <w:p w14:paraId="651E3AD7" w14:textId="77777777" w:rsidR="0084489F" w:rsidRDefault="00110FE6">
      <w:pPr>
        <w:pStyle w:val="BodyText"/>
      </w:pPr>
      <w:r>
        <w:rPr>
          <w:rStyle w:val="VerbatimChar"/>
        </w:rPr>
        <w:t>E79_Ajout_d'élément</w:t>
      </w:r>
    </w:p>
    <w:p w14:paraId="53C42E0F" w14:textId="77777777" w:rsidR="0084489F" w:rsidRDefault="00110FE6">
      <w:pPr>
        <w:pStyle w:val="BodyText"/>
      </w:pPr>
      <w:r>
        <w:rPr>
          <w:b/>
          <w:bCs/>
        </w:rPr>
        <w:t>Portée</w:t>
      </w:r>
    </w:p>
    <w:p w14:paraId="2827DB21" w14:textId="77777777" w:rsidR="0084489F" w:rsidRDefault="00110FE6">
      <w:pPr>
        <w:pStyle w:val="BodyText"/>
      </w:pPr>
      <w:r>
        <w:rPr>
          <w:rStyle w:val="VerbatimChar"/>
        </w:rPr>
        <w:t>E18_Chose_matérielle</w:t>
      </w:r>
    </w:p>
    <w:p w14:paraId="1C0E4720" w14:textId="77777777" w:rsidR="0084489F" w:rsidRDefault="00110FE6">
      <w:pPr>
        <w:pStyle w:val="BodyText"/>
      </w:pPr>
      <w:r>
        <w:rPr>
          <w:b/>
          <w:bCs/>
        </w:rPr>
        <w:t>Sous-propriété de</w:t>
      </w:r>
    </w:p>
    <w:p w14:paraId="6ACB4AB3" w14:textId="77777777" w:rsidR="0084489F" w:rsidRDefault="00110FE6">
      <w:pPr>
        <w:pStyle w:val="BodyText"/>
      </w:pPr>
      <w:r w:rsidRPr="1B9E7434">
        <w:rPr>
          <w:rStyle w:val="VerbatimChar"/>
          <w:lang w:val="fr-FR"/>
        </w:rPr>
        <w:t>E11_Modification</w:t>
      </w:r>
      <w:r w:rsidRPr="1B9E7434">
        <w:rPr>
          <w:lang w:val="fr-FR"/>
        </w:rPr>
        <w:t xml:space="preserve">. </w:t>
      </w:r>
      <w:r w:rsidRPr="1B9E7434">
        <w:rPr>
          <w:rStyle w:val="VerbatimChar"/>
          <w:lang w:val="fr-FR"/>
        </w:rPr>
        <w:t>P31_a_modifié (a_été_modifié_par)</w:t>
      </w:r>
      <w:r w:rsidRPr="1B9E7434">
        <w:rPr>
          <w:lang w:val="fr-FR"/>
        </w:rPr>
        <w:t xml:space="preserve"> : </w:t>
      </w:r>
      <w:r w:rsidRPr="1B9E7434">
        <w:rPr>
          <w:rStyle w:val="VerbatimChar"/>
          <w:lang w:val="fr-FR"/>
        </w:rPr>
        <w:t>E18_Chose_matérielle</w:t>
      </w:r>
    </w:p>
    <w:p w14:paraId="13FD9816" w14:textId="77777777" w:rsidR="0084489F" w:rsidRDefault="00110FE6">
      <w:pPr>
        <w:pStyle w:val="BodyText"/>
      </w:pPr>
      <w:r>
        <w:rPr>
          <w:b/>
          <w:bCs/>
        </w:rPr>
        <w:t>Super-propriété de</w:t>
      </w:r>
    </w:p>
    <w:p w14:paraId="02C03C91" w14:textId="77777777" w:rsidR="0084489F" w:rsidRDefault="00110FE6">
      <w:pPr>
        <w:pStyle w:val="BodyText"/>
      </w:pPr>
      <w:r>
        <w:rPr>
          <w:b/>
          <w:bCs/>
        </w:rPr>
        <w:t>Quantification</w:t>
      </w:r>
    </w:p>
    <w:p w14:paraId="23E03F79" w14:textId="77777777" w:rsidR="0084489F" w:rsidRDefault="00110FE6">
      <w:pPr>
        <w:pStyle w:val="BodyText"/>
      </w:pPr>
      <w:r w:rsidRPr="1B9E7434">
        <w:rPr>
          <w:lang w:val="fr-FR"/>
        </w:rPr>
        <w:t>plusieurs à plusieurs, nécessaire (1,n:0,n)</w:t>
      </w:r>
    </w:p>
    <w:p w14:paraId="6CEFD2A8" w14:textId="77777777" w:rsidR="0084489F" w:rsidRDefault="00110FE6">
      <w:pPr>
        <w:pStyle w:val="BodyText"/>
      </w:pPr>
      <w:r>
        <w:rPr>
          <w:b/>
          <w:bCs/>
        </w:rPr>
        <w:t>Note d’application</w:t>
      </w:r>
    </w:p>
    <w:p w14:paraId="477175BC" w14:textId="77777777" w:rsidR="0084489F" w:rsidRDefault="00110FE6">
      <w:pPr>
        <w:pStyle w:val="BodyText"/>
      </w:pPr>
      <w:r>
        <w:t xml:space="preserve">Cette propriété identifie l'instance de </w:t>
      </w:r>
      <w:r>
        <w:rPr>
          <w:rStyle w:val="VerbatimChar"/>
        </w:rPr>
        <w:t>E18_Chose_matérielle</w:t>
      </w:r>
      <w:r>
        <w:t xml:space="preserve"> qui reçoit un ajout (est augmentée) par une instance de </w:t>
      </w:r>
      <w:r>
        <w:rPr>
          <w:rStyle w:val="VerbatimChar"/>
        </w:rPr>
        <w:t>E79_Ajout_d'élément</w:t>
      </w:r>
      <w:r>
        <w:t>.</w:t>
      </w:r>
    </w:p>
    <w:p w14:paraId="66BE8D21" w14:textId="77777777" w:rsidR="0084489F" w:rsidRDefault="00110FE6">
      <w:pPr>
        <w:pStyle w:val="BodyText"/>
      </w:pPr>
      <w:r>
        <w:t xml:space="preserve">Bien qu'une instance de </w:t>
      </w:r>
      <w:r>
        <w:rPr>
          <w:rStyle w:val="VerbatimChar"/>
        </w:rPr>
        <w:t>E79_Ajout_d'élément</w:t>
      </w:r>
      <w:r>
        <w:t xml:space="preserve"> ne concerne normalement qu'une instance de </w:t>
      </w:r>
      <w:r>
        <w:rPr>
          <w:rStyle w:val="VerbatimChar"/>
        </w:rPr>
        <w:t>E18_Chose_matérielle</w:t>
      </w:r>
      <w:r>
        <w:t xml:space="preserve">, il est possible d'imaginer des circonstances au cours desquelles plus d'un élément pourrait recevoir un ajout (être augmenté) [n.d.t. par une seule instance de </w:t>
      </w:r>
      <w:r>
        <w:rPr>
          <w:rStyle w:val="VerbatimChar"/>
        </w:rPr>
        <w:t>E79_Ajout_d'élément</w:t>
      </w:r>
      <w:r>
        <w:t>]. Par exemple, l’artiste Jackson Pollock a effectué des traînées de peinture sur plusieurs toiles en même temps.</w:t>
      </w:r>
    </w:p>
    <w:p w14:paraId="3739110B" w14:textId="77777777" w:rsidR="0084489F" w:rsidRDefault="00110FE6">
      <w:pPr>
        <w:pStyle w:val="BodyText"/>
      </w:pPr>
      <w:r>
        <w:rPr>
          <w:b/>
          <w:bCs/>
        </w:rPr>
        <w:t>Exemples</w:t>
      </w:r>
    </w:p>
    <w:p w14:paraId="234F959C" w14:textId="77777777" w:rsidR="0084489F" w:rsidRDefault="00110FE6" w:rsidP="00806324">
      <w:pPr>
        <w:numPr>
          <w:ilvl w:val="0"/>
          <w:numId w:val="229"/>
        </w:numPr>
      </w:pPr>
      <w:r>
        <w:t>L’évènement d’insertion du dernier clou (</w:t>
      </w:r>
      <w:r>
        <w:rPr>
          <w:rStyle w:val="VerbatimChar"/>
        </w:rPr>
        <w:t>E79_Ajout_d'élément</w:t>
      </w:r>
      <w:r>
        <w:t>) a augmenté (</w:t>
      </w:r>
      <w:r>
        <w:rPr>
          <w:rStyle w:val="VerbatimChar"/>
        </w:rPr>
        <w:t>P110_a_augmenté</w:t>
      </w:r>
      <w:r>
        <w:t>) le cercueil de George VI (</w:t>
      </w:r>
      <w:r>
        <w:rPr>
          <w:rStyle w:val="VerbatimChar"/>
        </w:rPr>
        <w:t>E18_Chose_matérielle</w:t>
      </w:r>
      <w:r>
        <w:t>) (</w:t>
      </w:r>
      <w:hyperlink r:id="rId274">
        <w:r>
          <w:rPr>
            <w:rStyle w:val="Hyperlink"/>
          </w:rPr>
          <w:t>https://www.rct.uk/collection/2000811/the-coffin-of-king-george-vi-during-the-lying-in-state</w:t>
        </w:r>
      </w:hyperlink>
      <w:r>
        <w:t>)</w:t>
      </w:r>
    </w:p>
    <w:p w14:paraId="3F2B4781" w14:textId="37CA20EC" w:rsidR="0084489F" w:rsidRDefault="00110FE6" w:rsidP="00806324">
      <w:pPr>
        <w:numPr>
          <w:ilvl w:val="0"/>
          <w:numId w:val="229"/>
        </w:numPr>
      </w:pPr>
      <w:r w:rsidRPr="1B9E7434">
        <w:rPr>
          <w:lang w:val="fr-FR"/>
        </w:rPr>
        <w:lastRenderedPageBreak/>
        <w:t xml:space="preserve">L’apposition de la main de bronze de la sculpture </w:t>
      </w:r>
      <w:r w:rsidRPr="1B9E7434">
        <w:rPr>
          <w:i/>
          <w:iCs/>
          <w:lang w:val="fr-FR"/>
        </w:rPr>
        <w:t>Alpi Marittime</w:t>
      </w:r>
      <w:r w:rsidRPr="1B9E7434">
        <w:rPr>
          <w:lang w:val="fr-FR"/>
        </w:rPr>
        <w:t xml:space="preserve"> (</w:t>
      </w:r>
      <w:r w:rsidRPr="1B9E7434">
        <w:rPr>
          <w:rStyle w:val="VerbatimChar"/>
          <w:lang w:val="fr-FR"/>
        </w:rPr>
        <w:t>E79_Ajout_d’élément</w:t>
      </w:r>
      <w:r w:rsidRPr="1B9E7434">
        <w:rPr>
          <w:lang w:val="fr-FR"/>
        </w:rPr>
        <w:t>) a augmenté (</w:t>
      </w:r>
      <w:r w:rsidRPr="1B9E7434">
        <w:rPr>
          <w:rStyle w:val="VerbatimChar"/>
          <w:lang w:val="fr-FR"/>
        </w:rPr>
        <w:t>P110_a_augmenté</w:t>
      </w:r>
      <w:r w:rsidRPr="1B9E7434">
        <w:rPr>
          <w:lang w:val="fr-FR"/>
        </w:rPr>
        <w:t xml:space="preserve">) l’arbre de la sculpture </w:t>
      </w:r>
      <w:r w:rsidRPr="1B9E7434">
        <w:rPr>
          <w:i/>
          <w:iCs/>
          <w:lang w:val="fr-FR"/>
        </w:rPr>
        <w:t>Alpi Marittime</w:t>
      </w:r>
      <w:r w:rsidRPr="1B9E7434">
        <w:rPr>
          <w:lang w:val="fr-FR"/>
        </w:rPr>
        <w:t xml:space="preserve"> (</w:t>
      </w:r>
      <w:r w:rsidRPr="1B9E7434">
        <w:rPr>
          <w:rStyle w:val="VerbatimChar"/>
          <w:lang w:val="fr-FR"/>
        </w:rPr>
        <w:t>E20_Objet_biologique</w:t>
      </w:r>
      <w:r w:rsidRPr="1B9E7434">
        <w:rPr>
          <w:lang w:val="fr-FR"/>
        </w:rPr>
        <w:t>) (https://giuseppepenone.com/en/words/maritime-alps) (Mangini, 2010)</w:t>
      </w:r>
    </w:p>
    <w:p w14:paraId="7A6304CA" w14:textId="77777777" w:rsidR="0084489F" w:rsidRDefault="00110FE6">
      <w:pPr>
        <w:pStyle w:val="FirstParagraph"/>
      </w:pPr>
      <w:r>
        <w:rPr>
          <w:b/>
          <w:bCs/>
        </w:rPr>
        <w:t>Logique</w:t>
      </w:r>
    </w:p>
    <w:p w14:paraId="43BBACEC" w14:textId="77777777" w:rsidR="0084489F" w:rsidRDefault="00110FE6">
      <w:pPr>
        <w:pStyle w:val="BodyText"/>
      </w:pPr>
      <w:r w:rsidRPr="1B9E7434">
        <w:rPr>
          <w:lang w:val="fr-FR"/>
        </w:rPr>
        <w:t>P110(x,y) ⇒ E79(x)</w:t>
      </w:r>
    </w:p>
    <w:p w14:paraId="11E5B72C" w14:textId="77777777" w:rsidR="0084489F" w:rsidRDefault="00110FE6">
      <w:pPr>
        <w:pStyle w:val="BodyText"/>
      </w:pPr>
      <w:r w:rsidRPr="1B9E7434">
        <w:rPr>
          <w:lang w:val="fr-FR"/>
        </w:rPr>
        <w:t>P110(x,y) ⇒ E18(y)</w:t>
      </w:r>
    </w:p>
    <w:p w14:paraId="34B0D9DE" w14:textId="77777777" w:rsidR="0084489F" w:rsidRDefault="00110FE6">
      <w:pPr>
        <w:pStyle w:val="BodyText"/>
      </w:pPr>
      <w:r w:rsidRPr="1B9E7434">
        <w:rPr>
          <w:lang w:val="fr-FR"/>
        </w:rPr>
        <w:t>P110(x,y) ⇒ P31(x,y)</w:t>
      </w:r>
    </w:p>
    <w:p w14:paraId="7FA2ED0A" w14:textId="77777777" w:rsidR="0084489F" w:rsidRDefault="00110FE6">
      <w:pPr>
        <w:pStyle w:val="BodyText"/>
      </w:pPr>
      <w:r>
        <w:rPr>
          <w:b/>
          <w:bCs/>
        </w:rPr>
        <w:t>Propriétés</w:t>
      </w:r>
    </w:p>
    <w:p w14:paraId="286C9F35" w14:textId="77777777" w:rsidR="0084489F" w:rsidRDefault="00110FE6">
      <w:pPr>
        <w:pStyle w:val="BlockText"/>
      </w:pPr>
      <w:r>
        <w:rPr>
          <w:b/>
          <w:bCs/>
          <w:i/>
          <w:iCs/>
        </w:rPr>
        <w:t>Note de traduction</w:t>
      </w:r>
    </w:p>
    <w:p w14:paraId="6A24706B" w14:textId="77777777" w:rsidR="0084489F" w:rsidRDefault="00110FE6">
      <w:pPr>
        <w:pStyle w:val="BlockText"/>
      </w:pPr>
      <w:r>
        <w:rPr>
          <w:b/>
          <w:bCs/>
          <w:i/>
          <w:iCs/>
        </w:rPr>
        <w:t>Références</w:t>
      </w:r>
    </w:p>
    <w:p w14:paraId="12F9B39B" w14:textId="77777777" w:rsidR="0084489F" w:rsidRDefault="0084489F">
      <w:pPr>
        <w:pStyle w:val="BlockText"/>
      </w:pPr>
    </w:p>
    <w:p w14:paraId="106C0905" w14:textId="77777777" w:rsidR="0084489F" w:rsidRDefault="00110FE6">
      <w:pPr>
        <w:pStyle w:val="Heading2"/>
      </w:pPr>
      <w:bookmarkStart w:id="460" w:name="_Toc176864610"/>
      <w:bookmarkStart w:id="461" w:name="p111-a-ajoute-(a-ete-ajoute-par)"/>
      <w:bookmarkEnd w:id="459"/>
      <w:r>
        <w:t>P111 a ajouté (a été ajouté par)</w:t>
      </w:r>
      <w:bookmarkEnd w:id="460"/>
    </w:p>
    <w:p w14:paraId="1BA2B1C7" w14:textId="77777777" w:rsidR="0084489F" w:rsidRDefault="00110FE6">
      <w:pPr>
        <w:pStyle w:val="FirstParagraph"/>
      </w:pPr>
      <w:r>
        <w:rPr>
          <w:b/>
          <w:bCs/>
        </w:rPr>
        <w:t>Domaine</w:t>
      </w:r>
    </w:p>
    <w:p w14:paraId="4B8AD22B" w14:textId="77777777" w:rsidR="0084489F" w:rsidRDefault="00110FE6">
      <w:pPr>
        <w:pStyle w:val="BodyText"/>
      </w:pPr>
      <w:r>
        <w:rPr>
          <w:rStyle w:val="VerbatimChar"/>
        </w:rPr>
        <w:t>E79_Ajout_d’élément</w:t>
      </w:r>
    </w:p>
    <w:p w14:paraId="27ADA246" w14:textId="77777777" w:rsidR="0084489F" w:rsidRDefault="00110FE6">
      <w:pPr>
        <w:pStyle w:val="BodyText"/>
      </w:pPr>
      <w:r>
        <w:rPr>
          <w:b/>
          <w:bCs/>
        </w:rPr>
        <w:t>Portée</w:t>
      </w:r>
    </w:p>
    <w:p w14:paraId="4B372B6D" w14:textId="77777777" w:rsidR="0084489F" w:rsidRDefault="00110FE6">
      <w:pPr>
        <w:pStyle w:val="BodyText"/>
      </w:pPr>
      <w:r>
        <w:rPr>
          <w:rStyle w:val="VerbatimChar"/>
        </w:rPr>
        <w:t>E18_Chose_matérielle</w:t>
      </w:r>
    </w:p>
    <w:p w14:paraId="1E89BFD4" w14:textId="77777777" w:rsidR="0084489F" w:rsidRDefault="00110FE6">
      <w:pPr>
        <w:pStyle w:val="BodyText"/>
      </w:pPr>
      <w:r>
        <w:rPr>
          <w:b/>
          <w:bCs/>
        </w:rPr>
        <w:t>Sous-propriété de</w:t>
      </w:r>
    </w:p>
    <w:p w14:paraId="2590E994"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P16_a_mobilisé_l’objet_spécifique (a_été_mobilisé_pour)</w:t>
      </w:r>
      <w:r w:rsidRPr="1B9E7434">
        <w:rPr>
          <w:lang w:val="fr-FR"/>
        </w:rPr>
        <w:t xml:space="preserve"> : </w:t>
      </w:r>
      <w:r w:rsidRPr="1B9E7434">
        <w:rPr>
          <w:rStyle w:val="VerbatimChar"/>
          <w:lang w:val="fr-FR"/>
        </w:rPr>
        <w:t>E70_Chose</w:t>
      </w:r>
    </w:p>
    <w:p w14:paraId="435DAA22" w14:textId="77777777" w:rsidR="0084489F" w:rsidRDefault="00110FE6">
      <w:pPr>
        <w:pStyle w:val="BodyText"/>
      </w:pPr>
      <w:r>
        <w:rPr>
          <w:b/>
          <w:bCs/>
        </w:rPr>
        <w:t>Super-propriété de</w:t>
      </w:r>
    </w:p>
    <w:p w14:paraId="7B54AC3F" w14:textId="77777777" w:rsidR="0084489F" w:rsidRDefault="00110FE6">
      <w:pPr>
        <w:pStyle w:val="BodyText"/>
      </w:pPr>
      <w:r>
        <w:rPr>
          <w:b/>
          <w:bCs/>
        </w:rPr>
        <w:t>Quantification</w:t>
      </w:r>
    </w:p>
    <w:p w14:paraId="7A60DB2E" w14:textId="77777777" w:rsidR="0084489F" w:rsidRDefault="00110FE6">
      <w:pPr>
        <w:pStyle w:val="BodyText"/>
      </w:pPr>
      <w:r w:rsidRPr="1B9E7434">
        <w:rPr>
          <w:lang w:val="fr-FR"/>
        </w:rPr>
        <w:t>plusieurs à plusieurs, nécessaire (1,n:0,n)</w:t>
      </w:r>
    </w:p>
    <w:p w14:paraId="70C55BEF" w14:textId="77777777" w:rsidR="0084489F" w:rsidRDefault="00110FE6">
      <w:pPr>
        <w:pStyle w:val="BodyText"/>
      </w:pPr>
      <w:r>
        <w:rPr>
          <w:b/>
          <w:bCs/>
        </w:rPr>
        <w:t>Note d’application</w:t>
      </w:r>
    </w:p>
    <w:p w14:paraId="5E64D323" w14:textId="77777777" w:rsidR="0084489F" w:rsidRDefault="00110FE6">
      <w:pPr>
        <w:pStyle w:val="BodyText"/>
      </w:pPr>
      <w:r>
        <w:t xml:space="preserve">Cette propriété identifie l'instance de </w:t>
      </w:r>
      <w:r>
        <w:rPr>
          <w:rStyle w:val="VerbatimChar"/>
        </w:rPr>
        <w:t>E18_Chose_matérielle</w:t>
      </w:r>
      <w:r>
        <w:t xml:space="preserve"> qui est ajoutée lors d'une activité d'ajout d'élément (</w:t>
      </w:r>
      <w:r>
        <w:rPr>
          <w:rStyle w:val="VerbatimChar"/>
        </w:rPr>
        <w:t>E79_Ajout_d’élément</w:t>
      </w:r>
      <w:r>
        <w:t>).</w:t>
      </w:r>
    </w:p>
    <w:p w14:paraId="5D04D488" w14:textId="77777777" w:rsidR="0084489F" w:rsidRDefault="00110FE6">
      <w:pPr>
        <w:pStyle w:val="BodyText"/>
      </w:pPr>
      <w:r>
        <w:rPr>
          <w:b/>
          <w:bCs/>
        </w:rPr>
        <w:t>Exemples</w:t>
      </w:r>
    </w:p>
    <w:p w14:paraId="1D5A580D" w14:textId="77777777" w:rsidR="0084489F" w:rsidRDefault="00110FE6" w:rsidP="00806324">
      <w:pPr>
        <w:numPr>
          <w:ilvl w:val="0"/>
          <w:numId w:val="230"/>
        </w:numPr>
      </w:pPr>
      <w:r>
        <w:t>L'insertion du dernier clou (</w:t>
      </w:r>
      <w:r>
        <w:rPr>
          <w:rStyle w:val="VerbatimChar"/>
        </w:rPr>
        <w:t>E79_Ajout_d’élément</w:t>
      </w:r>
      <w:r>
        <w:t>) a ajouté (</w:t>
      </w:r>
      <w:r>
        <w:rPr>
          <w:rStyle w:val="VerbatimChar"/>
        </w:rPr>
        <w:t>P111_a_ajouté</w:t>
      </w:r>
      <w:r>
        <w:t>) le dernier clou dans le cercueil de George VI (</w:t>
      </w:r>
      <w:r>
        <w:rPr>
          <w:rStyle w:val="VerbatimChar"/>
        </w:rPr>
        <w:t>E22_Objet_élaboré_par_l’humain</w:t>
      </w:r>
      <w:r>
        <w:t>) (</w:t>
      </w:r>
      <w:hyperlink r:id="rId275">
        <w:r>
          <w:rPr>
            <w:rStyle w:val="Hyperlink"/>
          </w:rPr>
          <w:t>https://www.rct.uk/collection/2000811/the-coffin-of-king-george-vi-during-the-lying-in-state</w:t>
        </w:r>
      </w:hyperlink>
      <w:r>
        <w:t>)</w:t>
      </w:r>
    </w:p>
    <w:p w14:paraId="2DF09AC1" w14:textId="77777777" w:rsidR="0084489F" w:rsidRDefault="00110FE6">
      <w:pPr>
        <w:pStyle w:val="FirstParagraph"/>
      </w:pPr>
      <w:r>
        <w:rPr>
          <w:b/>
          <w:bCs/>
        </w:rPr>
        <w:t>Logique</w:t>
      </w:r>
    </w:p>
    <w:p w14:paraId="026DA227" w14:textId="77777777" w:rsidR="0084489F" w:rsidRDefault="00110FE6">
      <w:pPr>
        <w:pStyle w:val="BodyText"/>
      </w:pPr>
      <w:r w:rsidRPr="1B9E7434">
        <w:rPr>
          <w:lang w:val="fr-FR"/>
        </w:rPr>
        <w:t>P111(x,y) ⇒ E79(x)</w:t>
      </w:r>
    </w:p>
    <w:p w14:paraId="42F262F2" w14:textId="77777777" w:rsidR="0084489F" w:rsidRDefault="00110FE6">
      <w:pPr>
        <w:pStyle w:val="BodyText"/>
      </w:pPr>
      <w:r w:rsidRPr="1B9E7434">
        <w:rPr>
          <w:lang w:val="fr-FR"/>
        </w:rPr>
        <w:t>P111(x,y) ⇒ E18(y)</w:t>
      </w:r>
    </w:p>
    <w:p w14:paraId="67CAC145" w14:textId="77777777" w:rsidR="0084489F" w:rsidRDefault="00110FE6">
      <w:pPr>
        <w:pStyle w:val="BodyText"/>
      </w:pPr>
      <w:r w:rsidRPr="1B9E7434">
        <w:rPr>
          <w:lang w:val="fr-FR"/>
        </w:rPr>
        <w:t>P111(x,y) ⇒ P16(x,y)</w:t>
      </w:r>
    </w:p>
    <w:p w14:paraId="68655F5D" w14:textId="77777777" w:rsidR="0084489F" w:rsidRDefault="00110FE6">
      <w:pPr>
        <w:pStyle w:val="BodyText"/>
      </w:pPr>
      <w:r>
        <w:rPr>
          <w:b/>
          <w:bCs/>
        </w:rPr>
        <w:t>Propriétés</w:t>
      </w:r>
    </w:p>
    <w:p w14:paraId="140850D3" w14:textId="77777777" w:rsidR="0084489F" w:rsidRDefault="00110FE6">
      <w:pPr>
        <w:pStyle w:val="BlockText"/>
      </w:pPr>
      <w:r>
        <w:rPr>
          <w:b/>
          <w:bCs/>
          <w:i/>
          <w:iCs/>
        </w:rPr>
        <w:lastRenderedPageBreak/>
        <w:t>Note de traduction</w:t>
      </w:r>
    </w:p>
    <w:p w14:paraId="1E11608F" w14:textId="77777777" w:rsidR="0084489F" w:rsidRDefault="00110FE6">
      <w:pPr>
        <w:pStyle w:val="BlockText"/>
      </w:pPr>
      <w:r>
        <w:rPr>
          <w:b/>
          <w:bCs/>
          <w:i/>
          <w:iCs/>
        </w:rPr>
        <w:t>Références</w:t>
      </w:r>
    </w:p>
    <w:p w14:paraId="1BB20061" w14:textId="77777777" w:rsidR="0084489F" w:rsidRDefault="0084489F">
      <w:pPr>
        <w:pStyle w:val="BlockText"/>
      </w:pPr>
    </w:p>
    <w:p w14:paraId="16C54615" w14:textId="77777777" w:rsidR="0084489F" w:rsidRDefault="00110FE6">
      <w:pPr>
        <w:pStyle w:val="Heading2"/>
      </w:pPr>
      <w:bookmarkStart w:id="462" w:name="_Toc176864611"/>
      <w:bookmarkStart w:id="463" w:name="p112-a-diminue-(a-ete-diminue-par)"/>
      <w:bookmarkEnd w:id="461"/>
      <w:r>
        <w:t>P112 a diminué (a été diminué par)</w:t>
      </w:r>
      <w:bookmarkEnd w:id="462"/>
    </w:p>
    <w:p w14:paraId="291E59FD" w14:textId="77777777" w:rsidR="0084489F" w:rsidRDefault="00110FE6">
      <w:pPr>
        <w:pStyle w:val="FirstParagraph"/>
      </w:pPr>
      <w:r>
        <w:rPr>
          <w:b/>
          <w:bCs/>
        </w:rPr>
        <w:t>Domaine</w:t>
      </w:r>
    </w:p>
    <w:p w14:paraId="0C6F07E5" w14:textId="77777777" w:rsidR="0084489F" w:rsidRDefault="00110FE6">
      <w:pPr>
        <w:pStyle w:val="BodyText"/>
      </w:pPr>
      <w:r>
        <w:rPr>
          <w:rStyle w:val="VerbatimChar"/>
        </w:rPr>
        <w:t>E80_Retrait_d’élément</w:t>
      </w:r>
    </w:p>
    <w:p w14:paraId="1A8E8C86" w14:textId="77777777" w:rsidR="0084489F" w:rsidRDefault="00110FE6">
      <w:pPr>
        <w:pStyle w:val="BodyText"/>
      </w:pPr>
      <w:r>
        <w:rPr>
          <w:b/>
          <w:bCs/>
        </w:rPr>
        <w:t>Portée</w:t>
      </w:r>
    </w:p>
    <w:p w14:paraId="69B1AA39" w14:textId="77777777" w:rsidR="0084489F" w:rsidRDefault="00110FE6">
      <w:pPr>
        <w:pStyle w:val="BodyText"/>
      </w:pPr>
      <w:r>
        <w:rPr>
          <w:rStyle w:val="VerbatimChar"/>
        </w:rPr>
        <w:t>E18_Chose_matérielle</w:t>
      </w:r>
    </w:p>
    <w:p w14:paraId="5FDC39BA" w14:textId="77777777" w:rsidR="0084489F" w:rsidRDefault="00110FE6" w:rsidP="00453C68">
      <w:pPr>
        <w:pStyle w:val="BodyText"/>
        <w:keepNext/>
      </w:pPr>
      <w:r>
        <w:rPr>
          <w:b/>
          <w:bCs/>
        </w:rPr>
        <w:t>Sous-propriété de</w:t>
      </w:r>
    </w:p>
    <w:p w14:paraId="1E9F796D" w14:textId="77777777" w:rsidR="0084489F" w:rsidRDefault="00110FE6" w:rsidP="00453C68">
      <w:pPr>
        <w:pStyle w:val="BodyText"/>
        <w:keepNext/>
      </w:pPr>
      <w:r w:rsidRPr="1B9E7434">
        <w:rPr>
          <w:rStyle w:val="VerbatimChar"/>
          <w:lang w:val="fr-FR"/>
        </w:rPr>
        <w:t>E11_Modification</w:t>
      </w:r>
      <w:r w:rsidRPr="1B9E7434">
        <w:rPr>
          <w:lang w:val="fr-FR"/>
        </w:rPr>
        <w:t xml:space="preserve">. </w:t>
      </w:r>
      <w:r w:rsidRPr="1B9E7434">
        <w:rPr>
          <w:rStyle w:val="VerbatimChar"/>
          <w:lang w:val="fr-FR"/>
        </w:rPr>
        <w:t>P31_a_modifié (a_été_modifié_par)</w:t>
      </w:r>
      <w:r w:rsidRPr="1B9E7434">
        <w:rPr>
          <w:lang w:val="fr-FR"/>
        </w:rPr>
        <w:t xml:space="preserve"> : </w:t>
      </w:r>
      <w:r w:rsidRPr="1B9E7434">
        <w:rPr>
          <w:rStyle w:val="VerbatimChar"/>
          <w:lang w:val="fr-FR"/>
        </w:rPr>
        <w:t>E18_Chose_matérielle</w:t>
      </w:r>
    </w:p>
    <w:p w14:paraId="670210CE" w14:textId="77777777" w:rsidR="0084489F" w:rsidRDefault="00110FE6">
      <w:pPr>
        <w:pStyle w:val="BodyText"/>
      </w:pPr>
      <w:r>
        <w:rPr>
          <w:b/>
          <w:bCs/>
        </w:rPr>
        <w:t>Super-propriété de</w:t>
      </w:r>
    </w:p>
    <w:p w14:paraId="554B903E" w14:textId="77777777" w:rsidR="0084489F" w:rsidRDefault="0084489F">
      <w:pPr>
        <w:pStyle w:val="BodyText"/>
      </w:pPr>
    </w:p>
    <w:p w14:paraId="4EE97975" w14:textId="77777777" w:rsidR="0084489F" w:rsidRDefault="00110FE6">
      <w:pPr>
        <w:pStyle w:val="BodyText"/>
      </w:pPr>
      <w:r>
        <w:rPr>
          <w:b/>
          <w:bCs/>
        </w:rPr>
        <w:t>Quantification</w:t>
      </w:r>
    </w:p>
    <w:p w14:paraId="6DE55CA9" w14:textId="77777777" w:rsidR="0084489F" w:rsidRDefault="00110FE6">
      <w:pPr>
        <w:pStyle w:val="BodyText"/>
      </w:pPr>
      <w:r w:rsidRPr="1B9E7434">
        <w:rPr>
          <w:lang w:val="fr-FR"/>
        </w:rPr>
        <w:t>plusieurs à plusieurs, nécessaire (1,n:0,n)</w:t>
      </w:r>
    </w:p>
    <w:p w14:paraId="1320B376" w14:textId="77777777" w:rsidR="0084489F" w:rsidRDefault="00110FE6">
      <w:pPr>
        <w:pStyle w:val="BodyText"/>
      </w:pPr>
      <w:r>
        <w:rPr>
          <w:b/>
          <w:bCs/>
        </w:rPr>
        <w:t>Note d’application</w:t>
      </w:r>
    </w:p>
    <w:p w14:paraId="68917747" w14:textId="77777777" w:rsidR="0084489F" w:rsidRDefault="00110FE6">
      <w:pPr>
        <w:pStyle w:val="BodyText"/>
      </w:pPr>
      <w:r w:rsidRPr="1B9E7434">
        <w:rPr>
          <w:lang w:val="fr-FR"/>
        </w:rPr>
        <w:t xml:space="preserve">Cette propriété identifie l'instance de </w:t>
      </w:r>
      <w:r w:rsidRPr="1B9E7434">
        <w:rPr>
          <w:rStyle w:val="VerbatimChar"/>
          <w:lang w:val="fr-FR"/>
        </w:rPr>
        <w:t>E18_Chose_matérielle</w:t>
      </w:r>
      <w:r w:rsidRPr="1B9E7434">
        <w:rPr>
          <w:lang w:val="fr-FR"/>
        </w:rPr>
        <w:t xml:space="preserve"> qui a été diminuée par une instance de </w:t>
      </w:r>
      <w:r w:rsidRPr="1B9E7434">
        <w:rPr>
          <w:rStyle w:val="VerbatimChar"/>
          <w:lang w:val="fr-FR"/>
        </w:rPr>
        <w:t>E80_Retrait_d’élément</w:t>
      </w:r>
      <w:r w:rsidRPr="1B9E7434">
        <w:rPr>
          <w:lang w:val="fr-FR"/>
        </w:rPr>
        <w:t xml:space="preserve">.Bien qu'une instance de </w:t>
      </w:r>
      <w:r w:rsidRPr="1B9E7434">
        <w:rPr>
          <w:rStyle w:val="VerbatimChar"/>
          <w:lang w:val="fr-FR"/>
        </w:rPr>
        <w:t>E80_Retrait_d’élément</w:t>
      </w:r>
      <w:r w:rsidRPr="1B9E7434">
        <w:rPr>
          <w:lang w:val="fr-FR"/>
        </w:rPr>
        <w:t xml:space="preserve"> ne concerne normalement qu'une instance de </w:t>
      </w:r>
      <w:r w:rsidRPr="1B9E7434">
        <w:rPr>
          <w:rStyle w:val="VerbatimChar"/>
          <w:lang w:val="fr-FR"/>
        </w:rPr>
        <w:t>E18_Chose_matérielle</w:t>
      </w:r>
      <w:r w:rsidRPr="1B9E7434">
        <w:rPr>
          <w:lang w:val="fr-FR"/>
        </w:rPr>
        <w:t xml:space="preserve">, il est possible d'imaginer des circonstances au cours desquelles plus d'un élément pourrait être diminué par une seule instance de </w:t>
      </w:r>
      <w:r w:rsidRPr="1B9E7434">
        <w:rPr>
          <w:rStyle w:val="VerbatimChar"/>
          <w:lang w:val="fr-FR"/>
        </w:rPr>
        <w:t>E80_Retrait_d’élément</w:t>
      </w:r>
      <w:r w:rsidRPr="1B9E7434">
        <w:rPr>
          <w:lang w:val="fr-FR"/>
        </w:rPr>
        <w:t>.</w:t>
      </w:r>
    </w:p>
    <w:p w14:paraId="2F99CE96" w14:textId="77777777" w:rsidR="0084489F" w:rsidRDefault="00110FE6">
      <w:pPr>
        <w:pStyle w:val="BodyText"/>
      </w:pPr>
      <w:r>
        <w:rPr>
          <w:b/>
          <w:bCs/>
        </w:rPr>
        <w:t>Exemples</w:t>
      </w:r>
    </w:p>
    <w:p w14:paraId="3A972AA2" w14:textId="43BF2DC1" w:rsidR="0084489F" w:rsidRDefault="00110FE6" w:rsidP="00806324">
      <w:pPr>
        <w:numPr>
          <w:ilvl w:val="0"/>
          <w:numId w:val="231"/>
        </w:numPr>
      </w:pPr>
      <w:r w:rsidRPr="1B9E7434">
        <w:rPr>
          <w:lang w:val="fr-FR"/>
        </w:rPr>
        <w:t>Le cercueil de Toutânkhamon (</w:t>
      </w:r>
      <w:r w:rsidRPr="1B9E7434">
        <w:rPr>
          <w:rStyle w:val="VerbatimChar"/>
          <w:lang w:val="fr-FR"/>
        </w:rPr>
        <w:t>E22_Objet_élaboré_par_l’humain</w:t>
      </w:r>
      <w:r w:rsidRPr="1B9E7434">
        <w:rPr>
          <w:lang w:val="fr-FR"/>
        </w:rPr>
        <w:t>) a été diminué par (</w:t>
      </w:r>
      <w:r w:rsidRPr="1B9E7434">
        <w:rPr>
          <w:rStyle w:val="VerbatimChar"/>
          <w:lang w:val="fr-FR"/>
        </w:rPr>
        <w:t>P112i_a_été_diminué_par</w:t>
      </w:r>
      <w:r w:rsidRPr="1B9E7434">
        <w:rPr>
          <w:lang w:val="fr-FR"/>
        </w:rPr>
        <w:t>) l'ouverture du cercueil de Toutânkhamon (</w:t>
      </w:r>
      <w:r w:rsidRPr="1B9E7434">
        <w:rPr>
          <w:rStyle w:val="VerbatimChar"/>
          <w:lang w:val="fr-FR"/>
        </w:rPr>
        <w:t>E80_Retrait_d’élément</w:t>
      </w:r>
      <w:r w:rsidRPr="1B9E7434">
        <w:rPr>
          <w:lang w:val="fr-FR"/>
        </w:rPr>
        <w:t>) (Carter, 2014)</w:t>
      </w:r>
    </w:p>
    <w:p w14:paraId="544B5008" w14:textId="783593A8" w:rsidR="0084489F" w:rsidRDefault="00110FE6" w:rsidP="00806324">
      <w:pPr>
        <w:numPr>
          <w:ilvl w:val="0"/>
          <w:numId w:val="231"/>
        </w:numPr>
      </w:pPr>
      <w:r w:rsidRPr="1B9E7434">
        <w:rPr>
          <w:lang w:val="fr-FR"/>
        </w:rPr>
        <w:t>Les coraux des îles Cocos (</w:t>
      </w:r>
      <w:r w:rsidRPr="1B9E7434">
        <w:rPr>
          <w:rStyle w:val="VerbatimChar"/>
          <w:lang w:val="fr-FR"/>
        </w:rPr>
        <w:t>E20_Objet_biologique</w:t>
      </w:r>
      <w:r w:rsidRPr="1B9E7434">
        <w:rPr>
          <w:lang w:val="fr-FR"/>
        </w:rPr>
        <w:t>) ont été diminués par (</w:t>
      </w:r>
      <w:r w:rsidRPr="1B9E7434">
        <w:rPr>
          <w:rStyle w:val="VerbatimChar"/>
          <w:lang w:val="fr-FR"/>
        </w:rPr>
        <w:t>P112i_a_été_diminué_par</w:t>
      </w:r>
      <w:r w:rsidRPr="1B9E7434">
        <w:rPr>
          <w:lang w:val="fr-FR"/>
        </w:rPr>
        <w:t>) le retrait d'un spécimen de porites par Charles Darwin (</w:t>
      </w:r>
      <w:r w:rsidRPr="1B9E7434">
        <w:rPr>
          <w:rStyle w:val="VerbatimChar"/>
          <w:lang w:val="fr-FR"/>
        </w:rPr>
        <w:t>E80_Retrait_d’élément</w:t>
      </w:r>
      <w:r w:rsidRPr="1B9E7434">
        <w:rPr>
          <w:lang w:val="fr-FR"/>
        </w:rPr>
        <w:t>) (Natural History Museum, 2010b)</w:t>
      </w:r>
    </w:p>
    <w:p w14:paraId="684A322C" w14:textId="77777777" w:rsidR="0084489F" w:rsidRDefault="00110FE6">
      <w:pPr>
        <w:pStyle w:val="FirstParagraph"/>
      </w:pPr>
      <w:r>
        <w:rPr>
          <w:b/>
          <w:bCs/>
        </w:rPr>
        <w:t>Logique</w:t>
      </w:r>
    </w:p>
    <w:p w14:paraId="0173B813" w14:textId="77777777" w:rsidR="0084489F" w:rsidRDefault="00110FE6">
      <w:pPr>
        <w:pStyle w:val="BodyText"/>
      </w:pPr>
      <w:r w:rsidRPr="1B9E7434">
        <w:rPr>
          <w:lang w:val="fr-FR"/>
        </w:rPr>
        <w:t>P112(x,y) ⇒ E80(x) P112(x,y) ⇒ E18(y) P112(x,y) ⇒ P31(x,y)</w:t>
      </w:r>
    </w:p>
    <w:p w14:paraId="4F696E91" w14:textId="77777777" w:rsidR="0084489F" w:rsidRDefault="00110FE6">
      <w:pPr>
        <w:pStyle w:val="BodyText"/>
      </w:pPr>
      <w:r>
        <w:rPr>
          <w:b/>
          <w:bCs/>
        </w:rPr>
        <w:t>Propriétés</w:t>
      </w:r>
    </w:p>
    <w:p w14:paraId="1AC39D53" w14:textId="77777777" w:rsidR="0084489F" w:rsidRDefault="00110FE6">
      <w:pPr>
        <w:pStyle w:val="BlockText"/>
      </w:pPr>
      <w:r>
        <w:rPr>
          <w:b/>
          <w:bCs/>
          <w:i/>
          <w:iCs/>
        </w:rPr>
        <w:t>Note de traduction</w:t>
      </w:r>
    </w:p>
    <w:p w14:paraId="5D7746A0" w14:textId="77777777" w:rsidR="0084489F" w:rsidRDefault="00110FE6">
      <w:pPr>
        <w:pStyle w:val="BlockText"/>
      </w:pPr>
      <w:r>
        <w:rPr>
          <w:b/>
          <w:bCs/>
          <w:i/>
          <w:iCs/>
        </w:rPr>
        <w:t>Références</w:t>
      </w:r>
    </w:p>
    <w:p w14:paraId="43DD6149" w14:textId="77777777" w:rsidR="0084489F" w:rsidRDefault="0084489F">
      <w:pPr>
        <w:pStyle w:val="BlockText"/>
      </w:pPr>
    </w:p>
    <w:p w14:paraId="1EE9FC59" w14:textId="77777777" w:rsidR="0084489F" w:rsidRDefault="00110FE6" w:rsidP="00FA3C06">
      <w:pPr>
        <w:pStyle w:val="Heading2"/>
      </w:pPr>
      <w:bookmarkStart w:id="464" w:name="_Toc176864612"/>
      <w:bookmarkStart w:id="465" w:name="p113-a-retire-(a-ete-retire-par)"/>
      <w:bookmarkEnd w:id="463"/>
      <w:r>
        <w:lastRenderedPageBreak/>
        <w:t>P113 a retiré (a été retiré par)</w:t>
      </w:r>
      <w:bookmarkEnd w:id="464"/>
    </w:p>
    <w:p w14:paraId="1182991C" w14:textId="77777777" w:rsidR="0084489F" w:rsidRDefault="00110FE6" w:rsidP="00FA3C06">
      <w:pPr>
        <w:pStyle w:val="FirstParagraph"/>
        <w:keepNext/>
        <w:keepLines/>
      </w:pPr>
      <w:r>
        <w:rPr>
          <w:b/>
          <w:bCs/>
        </w:rPr>
        <w:t>Domaine</w:t>
      </w:r>
    </w:p>
    <w:p w14:paraId="5A38722E" w14:textId="77777777" w:rsidR="0084489F" w:rsidRDefault="00110FE6" w:rsidP="00FA3C06">
      <w:pPr>
        <w:pStyle w:val="BodyText"/>
        <w:keepNext/>
        <w:keepLines/>
      </w:pPr>
      <w:r>
        <w:rPr>
          <w:rStyle w:val="VerbatimChar"/>
        </w:rPr>
        <w:t>E80_Retrait_d’élément</w:t>
      </w:r>
    </w:p>
    <w:p w14:paraId="42813297" w14:textId="77777777" w:rsidR="0084489F" w:rsidRDefault="00110FE6">
      <w:pPr>
        <w:pStyle w:val="BodyText"/>
      </w:pPr>
      <w:r>
        <w:rPr>
          <w:b/>
          <w:bCs/>
        </w:rPr>
        <w:t>Portée</w:t>
      </w:r>
    </w:p>
    <w:p w14:paraId="717EA990" w14:textId="77777777" w:rsidR="0084489F" w:rsidRDefault="00110FE6">
      <w:pPr>
        <w:pStyle w:val="BodyText"/>
      </w:pPr>
      <w:r>
        <w:rPr>
          <w:rStyle w:val="VerbatimChar"/>
        </w:rPr>
        <w:t>E18_Chose_matérielle</w:t>
      </w:r>
    </w:p>
    <w:p w14:paraId="233BE9EF" w14:textId="77777777" w:rsidR="0084489F" w:rsidRDefault="00110FE6">
      <w:pPr>
        <w:pStyle w:val="BodyText"/>
      </w:pPr>
      <w:r>
        <w:rPr>
          <w:b/>
          <w:bCs/>
        </w:rPr>
        <w:t>Sous-propriété de</w:t>
      </w:r>
    </w:p>
    <w:p w14:paraId="4C8A2999"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P12_a_eu_lieu_en_présence_de (a_été_présent_à)</w:t>
      </w:r>
      <w:r w:rsidRPr="1B9E7434">
        <w:rPr>
          <w:lang w:val="fr-FR"/>
        </w:rPr>
        <w:t xml:space="preserve"> : </w:t>
      </w:r>
      <w:r w:rsidRPr="1B9E7434">
        <w:rPr>
          <w:rStyle w:val="VerbatimChar"/>
          <w:lang w:val="fr-FR"/>
        </w:rPr>
        <w:t>E77_Entité_persistante</w:t>
      </w:r>
    </w:p>
    <w:p w14:paraId="6B6AC020" w14:textId="77777777" w:rsidR="0084489F" w:rsidRDefault="00110FE6">
      <w:pPr>
        <w:pStyle w:val="BodyText"/>
      </w:pPr>
      <w:r>
        <w:rPr>
          <w:b/>
          <w:bCs/>
        </w:rPr>
        <w:t>Super-propriété de</w:t>
      </w:r>
    </w:p>
    <w:p w14:paraId="78CC72FD" w14:textId="77777777" w:rsidR="0084489F" w:rsidRDefault="00110FE6">
      <w:pPr>
        <w:pStyle w:val="BodyText"/>
      </w:pPr>
      <w:r>
        <w:rPr>
          <w:b/>
          <w:bCs/>
        </w:rPr>
        <w:t>Quantification</w:t>
      </w:r>
    </w:p>
    <w:p w14:paraId="56643EFB" w14:textId="77777777" w:rsidR="0084489F" w:rsidRDefault="00110FE6">
      <w:pPr>
        <w:pStyle w:val="BodyText"/>
      </w:pPr>
      <w:r w:rsidRPr="1B9E7434">
        <w:rPr>
          <w:lang w:val="fr-FR"/>
        </w:rPr>
        <w:t>plusieurs à plusieurs, nécessaire (1,n:0,n)</w:t>
      </w:r>
    </w:p>
    <w:p w14:paraId="5ED112C0" w14:textId="77777777" w:rsidR="0084489F" w:rsidRDefault="00110FE6">
      <w:pPr>
        <w:pStyle w:val="BodyText"/>
      </w:pPr>
      <w:r>
        <w:rPr>
          <w:b/>
          <w:bCs/>
        </w:rPr>
        <w:t>Note d’application</w:t>
      </w:r>
    </w:p>
    <w:p w14:paraId="15C93B5A" w14:textId="77777777" w:rsidR="0084489F" w:rsidRDefault="00110FE6">
      <w:pPr>
        <w:pStyle w:val="BodyText"/>
      </w:pPr>
      <w:r>
        <w:t xml:space="preserve">Cette propriété identifie l'instance de </w:t>
      </w:r>
      <w:r>
        <w:rPr>
          <w:rStyle w:val="VerbatimChar"/>
        </w:rPr>
        <w:t>E18_Chose_matérielle</w:t>
      </w:r>
      <w:r>
        <w:t xml:space="preserve"> qui est retirée lors d'une activité de retrait d'élément (</w:t>
      </w:r>
      <w:r>
        <w:rPr>
          <w:rStyle w:val="VerbatimChar"/>
        </w:rPr>
        <w:t>E80_Retrait_d’élément</w:t>
      </w:r>
      <w:r>
        <w:t>).</w:t>
      </w:r>
    </w:p>
    <w:p w14:paraId="63F698E0" w14:textId="77777777" w:rsidR="0084489F" w:rsidRDefault="00110FE6">
      <w:pPr>
        <w:pStyle w:val="BodyText"/>
      </w:pPr>
      <w:r>
        <w:rPr>
          <w:b/>
          <w:bCs/>
        </w:rPr>
        <w:t>Exemples</w:t>
      </w:r>
    </w:p>
    <w:p w14:paraId="0653B786" w14:textId="1BD6470C" w:rsidR="0084489F" w:rsidRDefault="00110FE6" w:rsidP="00806324">
      <w:pPr>
        <w:numPr>
          <w:ilvl w:val="0"/>
          <w:numId w:val="232"/>
        </w:numPr>
      </w:pPr>
      <w:r w:rsidRPr="1B9E7434">
        <w:rPr>
          <w:lang w:val="fr-FR"/>
        </w:rPr>
        <w:t>L'ouverture du cercueil de Toutânkhamon (</w:t>
      </w:r>
      <w:r w:rsidRPr="1B9E7434">
        <w:rPr>
          <w:rStyle w:val="VerbatimChar"/>
          <w:lang w:val="fr-FR"/>
        </w:rPr>
        <w:t>E80_Retrait_d’élément</w:t>
      </w:r>
      <w:r w:rsidRPr="1B9E7434">
        <w:rPr>
          <w:lang w:val="fr-FR"/>
        </w:rPr>
        <w:t>) a retiré (</w:t>
      </w:r>
      <w:r w:rsidRPr="1B9E7434">
        <w:rPr>
          <w:rStyle w:val="VerbatimChar"/>
          <w:lang w:val="fr-FR"/>
        </w:rPr>
        <w:t>P113_a_retiré</w:t>
      </w:r>
      <w:r w:rsidRPr="1B9E7434">
        <w:rPr>
          <w:lang w:val="fr-FR"/>
        </w:rPr>
        <w:t>) la momie de Toutânkhamon (</w:t>
      </w:r>
      <w:r w:rsidRPr="1B9E7434">
        <w:rPr>
          <w:rStyle w:val="VerbatimChar"/>
          <w:lang w:val="fr-FR"/>
        </w:rPr>
        <w:t>E20_Objet_biologique</w:t>
      </w:r>
      <w:r w:rsidRPr="1B9E7434">
        <w:rPr>
          <w:lang w:val="fr-FR"/>
        </w:rPr>
        <w:t xml:space="preserve">, </w:t>
      </w:r>
      <w:r w:rsidRPr="1B9E7434">
        <w:rPr>
          <w:rStyle w:val="VerbatimChar"/>
          <w:lang w:val="fr-FR"/>
        </w:rPr>
        <w:t>E22_Objet_élaboré_par_l’humain</w:t>
      </w:r>
      <w:r w:rsidRPr="1B9E7434">
        <w:rPr>
          <w:lang w:val="fr-FR"/>
        </w:rPr>
        <w:t>) (Carter, 2014)</w:t>
      </w:r>
    </w:p>
    <w:p w14:paraId="54B4439B" w14:textId="77777777" w:rsidR="0084489F" w:rsidRDefault="00110FE6">
      <w:pPr>
        <w:pStyle w:val="FirstParagraph"/>
      </w:pPr>
      <w:r>
        <w:rPr>
          <w:b/>
          <w:bCs/>
        </w:rPr>
        <w:t>Logique</w:t>
      </w:r>
    </w:p>
    <w:p w14:paraId="2292666E" w14:textId="77777777" w:rsidR="0084489F" w:rsidRDefault="00110FE6">
      <w:pPr>
        <w:pStyle w:val="BodyText"/>
      </w:pPr>
      <w:r w:rsidRPr="1B9E7434">
        <w:rPr>
          <w:lang w:val="fr-FR"/>
        </w:rPr>
        <w:t>P113(x,y) ⇒ E80(x)</w:t>
      </w:r>
    </w:p>
    <w:p w14:paraId="65704A9F" w14:textId="77777777" w:rsidR="0084489F" w:rsidRDefault="00110FE6">
      <w:pPr>
        <w:pStyle w:val="BodyText"/>
      </w:pPr>
      <w:r w:rsidRPr="1B9E7434">
        <w:rPr>
          <w:lang w:val="fr-FR"/>
        </w:rPr>
        <w:t>P113(x,y) ⇒ E18(y)</w:t>
      </w:r>
    </w:p>
    <w:p w14:paraId="1FEBAC9A" w14:textId="77777777" w:rsidR="0084489F" w:rsidRDefault="00110FE6">
      <w:pPr>
        <w:pStyle w:val="BodyText"/>
      </w:pPr>
      <w:r w:rsidRPr="1B9E7434">
        <w:rPr>
          <w:lang w:val="fr-FR"/>
        </w:rPr>
        <w:t>P113(x,y) ⇒ P12(x,y)</w:t>
      </w:r>
    </w:p>
    <w:p w14:paraId="2F494692" w14:textId="77777777" w:rsidR="0084489F" w:rsidRDefault="00110FE6">
      <w:pPr>
        <w:pStyle w:val="BodyText"/>
      </w:pPr>
      <w:r>
        <w:rPr>
          <w:b/>
          <w:bCs/>
        </w:rPr>
        <w:t>Propriétés</w:t>
      </w:r>
    </w:p>
    <w:p w14:paraId="2925127A" w14:textId="77777777" w:rsidR="0084489F" w:rsidRDefault="00110FE6">
      <w:pPr>
        <w:pStyle w:val="BlockText"/>
      </w:pPr>
      <w:r>
        <w:rPr>
          <w:b/>
          <w:bCs/>
          <w:i/>
          <w:iCs/>
        </w:rPr>
        <w:t>Note de traduction</w:t>
      </w:r>
    </w:p>
    <w:p w14:paraId="0E429815" w14:textId="77777777" w:rsidR="0084489F" w:rsidRDefault="00110FE6">
      <w:pPr>
        <w:pStyle w:val="BlockText"/>
      </w:pPr>
      <w:r>
        <w:rPr>
          <w:b/>
          <w:bCs/>
          <w:i/>
          <w:iCs/>
        </w:rPr>
        <w:t>Références</w:t>
      </w:r>
    </w:p>
    <w:p w14:paraId="2BD1153A" w14:textId="77777777" w:rsidR="0084489F" w:rsidRDefault="0084489F">
      <w:pPr>
        <w:pStyle w:val="BlockText"/>
      </w:pPr>
    </w:p>
    <w:p w14:paraId="0F28235F" w14:textId="77777777" w:rsidR="0084489F" w:rsidRDefault="00110FE6">
      <w:pPr>
        <w:pStyle w:val="Heading2"/>
      </w:pPr>
      <w:bookmarkStart w:id="466" w:name="_Toc176864613"/>
      <w:bookmarkStart w:id="467" w:name="p121-se-superpose-partiellement-a"/>
      <w:bookmarkEnd w:id="465"/>
      <w:r>
        <w:t>P121 se superpose partiellement à</w:t>
      </w:r>
      <w:bookmarkEnd w:id="466"/>
    </w:p>
    <w:p w14:paraId="11E1AA10" w14:textId="77777777" w:rsidR="0084489F" w:rsidRDefault="00110FE6">
      <w:pPr>
        <w:pStyle w:val="FirstParagraph"/>
      </w:pPr>
      <w:r>
        <w:rPr>
          <w:b/>
          <w:bCs/>
        </w:rPr>
        <w:t>Domaine</w:t>
      </w:r>
    </w:p>
    <w:p w14:paraId="1945E448" w14:textId="77777777" w:rsidR="0084489F" w:rsidRDefault="00110FE6">
      <w:pPr>
        <w:pStyle w:val="BodyText"/>
      </w:pPr>
      <w:r>
        <w:rPr>
          <w:rStyle w:val="VerbatimChar"/>
        </w:rPr>
        <w:t>E53_Lieu</w:t>
      </w:r>
    </w:p>
    <w:p w14:paraId="2953680A" w14:textId="77777777" w:rsidR="0084489F" w:rsidRDefault="00110FE6">
      <w:pPr>
        <w:pStyle w:val="BodyText"/>
      </w:pPr>
      <w:r>
        <w:rPr>
          <w:b/>
          <w:bCs/>
        </w:rPr>
        <w:t>Portée</w:t>
      </w:r>
    </w:p>
    <w:p w14:paraId="7FCAFEDA" w14:textId="77777777" w:rsidR="0084489F" w:rsidRDefault="00110FE6">
      <w:pPr>
        <w:pStyle w:val="BodyText"/>
      </w:pPr>
      <w:r>
        <w:rPr>
          <w:rStyle w:val="VerbatimChar"/>
        </w:rPr>
        <w:t>E53_Lieu</w:t>
      </w:r>
    </w:p>
    <w:p w14:paraId="299FEC61" w14:textId="77777777" w:rsidR="0084489F" w:rsidRDefault="00110FE6">
      <w:pPr>
        <w:pStyle w:val="BodyText"/>
      </w:pPr>
      <w:r>
        <w:rPr>
          <w:b/>
          <w:bCs/>
        </w:rPr>
        <w:t>Sous-propriété de</w:t>
      </w:r>
    </w:p>
    <w:p w14:paraId="773C1063" w14:textId="77777777" w:rsidR="0084489F" w:rsidRDefault="00110FE6">
      <w:pPr>
        <w:pStyle w:val="BodyText"/>
      </w:pPr>
      <w:r>
        <w:rPr>
          <w:b/>
          <w:bCs/>
        </w:rPr>
        <w:t>Super-propriété de</w:t>
      </w:r>
    </w:p>
    <w:p w14:paraId="564DAD49" w14:textId="77777777" w:rsidR="0084489F" w:rsidRDefault="00110FE6">
      <w:pPr>
        <w:pStyle w:val="BodyText"/>
      </w:pPr>
      <w:r>
        <w:rPr>
          <w:b/>
          <w:bCs/>
        </w:rPr>
        <w:lastRenderedPageBreak/>
        <w:t>Quantification</w:t>
      </w:r>
    </w:p>
    <w:p w14:paraId="7CFDA527" w14:textId="77777777" w:rsidR="0084489F" w:rsidRDefault="00110FE6">
      <w:pPr>
        <w:pStyle w:val="BodyText"/>
      </w:pPr>
      <w:r w:rsidRPr="1B9E7434">
        <w:rPr>
          <w:lang w:val="fr-FR"/>
        </w:rPr>
        <w:t>plusieurs à plusieurs (0,n:0,n)</w:t>
      </w:r>
    </w:p>
    <w:p w14:paraId="29B5CEFE" w14:textId="77777777" w:rsidR="0084489F" w:rsidRDefault="00110FE6">
      <w:pPr>
        <w:pStyle w:val="BodyText"/>
      </w:pPr>
      <w:r>
        <w:rPr>
          <w:b/>
          <w:bCs/>
        </w:rPr>
        <w:t>Note d’application</w:t>
      </w:r>
    </w:p>
    <w:p w14:paraId="3ED2A9A2" w14:textId="77777777" w:rsidR="0084489F" w:rsidRDefault="00110FE6">
      <w:pPr>
        <w:pStyle w:val="BodyText"/>
      </w:pPr>
      <w:r>
        <w:t xml:space="preserve">Cette propriété symétrique associe deux instances de </w:t>
      </w:r>
      <w:r>
        <w:rPr>
          <w:rStyle w:val="VerbatimChar"/>
        </w:rPr>
        <w:t>E53_Lieu</w:t>
      </w:r>
      <w:r>
        <w:t xml:space="preserve"> dont les étendues géométriques se superposent partiellement.</w:t>
      </w:r>
    </w:p>
    <w:p w14:paraId="32C29102" w14:textId="77777777" w:rsidR="0084489F" w:rsidRDefault="00110FE6">
      <w:pPr>
        <w:pStyle w:val="BodyText"/>
      </w:pPr>
      <w:r w:rsidRPr="1B9E7434">
        <w:rPr>
          <w:lang w:val="fr-FR"/>
        </w:rPr>
        <w:t xml:space="preserve">La propriété ne précise rien sur l'étendue partagée par ces deux instances. Cette propriété est purement spatiale. Cela ne signifie pas que des phénomènes qui définissent, par leur étendue, des lieux liés par </w:t>
      </w:r>
      <w:r w:rsidRPr="1B9E7434">
        <w:rPr>
          <w:rStyle w:val="VerbatimChar"/>
          <w:lang w:val="fr-FR"/>
        </w:rPr>
        <w:t>P121_se_superpose_partiellement_à</w:t>
      </w:r>
      <w:r w:rsidRPr="1B9E7434">
        <w:rPr>
          <w:lang w:val="fr-FR"/>
        </w:rPr>
        <w:t xml:space="preserve"> aient couvert une étendue commune au même moment ou cœxisté. En revanche, les chevauchements spatio-temporels décrits par </w:t>
      </w:r>
      <w:r w:rsidRPr="1B9E7434">
        <w:rPr>
          <w:rStyle w:val="VerbatimChar"/>
          <w:lang w:val="fr-FR"/>
        </w:rPr>
        <w:t>P132_recoupe_spatio-temporellement</w:t>
      </w:r>
      <w:r w:rsidRPr="1B9E7434">
        <w:rPr>
          <w:lang w:val="fr-FR"/>
        </w:rPr>
        <w:t xml:space="preserve"> sont le total des étendues couvertes simultanément par les volumes spatio-temporels associés.</w:t>
      </w:r>
    </w:p>
    <w:p w14:paraId="6D41B571" w14:textId="77777777" w:rsidR="0084489F" w:rsidRDefault="00110FE6">
      <w:pPr>
        <w:pStyle w:val="BodyText"/>
      </w:pPr>
      <w:r>
        <w:t>Cette propriété est symétrique et réflexive.</w:t>
      </w:r>
    </w:p>
    <w:p w14:paraId="0CDAA757" w14:textId="77777777" w:rsidR="0084489F" w:rsidRDefault="00110FE6">
      <w:pPr>
        <w:pStyle w:val="BodyText"/>
      </w:pPr>
      <w:r>
        <w:rPr>
          <w:b/>
          <w:bCs/>
        </w:rPr>
        <w:t>Exemples</w:t>
      </w:r>
    </w:p>
    <w:p w14:paraId="3B526EAD" w14:textId="0DAE2BC4" w:rsidR="0084489F" w:rsidRDefault="00110FE6" w:rsidP="00806324">
      <w:pPr>
        <w:numPr>
          <w:ilvl w:val="0"/>
          <w:numId w:val="233"/>
        </w:numPr>
      </w:pPr>
      <w:r w:rsidRPr="1B9E7434">
        <w:rPr>
          <w:lang w:val="fr-FR"/>
        </w:rPr>
        <w:t>Le territoire des États-Unis en 2020 (</w:t>
      </w:r>
      <w:r w:rsidRPr="1B9E7434">
        <w:rPr>
          <w:rStyle w:val="VerbatimChar"/>
          <w:lang w:val="fr-FR"/>
        </w:rPr>
        <w:t>E53_Lieu</w:t>
      </w:r>
      <w:r w:rsidRPr="1B9E7434">
        <w:rPr>
          <w:lang w:val="fr-FR"/>
        </w:rPr>
        <w:t>) se superpose partiellement à (</w:t>
      </w:r>
      <w:r w:rsidRPr="1B9E7434">
        <w:rPr>
          <w:rStyle w:val="VerbatimChar"/>
          <w:lang w:val="fr-FR"/>
        </w:rPr>
        <w:t>P121_se_superpose_partiellement_à</w:t>
      </w:r>
      <w:r w:rsidRPr="1B9E7434">
        <w:rPr>
          <w:lang w:val="fr-FR"/>
        </w:rPr>
        <w:t>) l'Arctique (</w:t>
      </w:r>
      <w:r w:rsidRPr="1B9E7434">
        <w:rPr>
          <w:rStyle w:val="VerbatimChar"/>
          <w:lang w:val="fr-FR"/>
        </w:rPr>
        <w:t>E53_Lieu</w:t>
      </w:r>
      <w:r w:rsidRPr="1B9E7434">
        <w:rPr>
          <w:lang w:val="fr-FR"/>
        </w:rPr>
        <w:t>) (Gannett &amp; al, 1904)</w:t>
      </w:r>
    </w:p>
    <w:p w14:paraId="646CB3EB" w14:textId="77777777" w:rsidR="0084489F" w:rsidRDefault="00110FE6" w:rsidP="00806324">
      <w:pPr>
        <w:numPr>
          <w:ilvl w:val="0"/>
          <w:numId w:val="233"/>
        </w:numPr>
      </w:pPr>
      <w:r>
        <w:t>L'étendue maximale du royaume de Grèce (1832-1973) (</w:t>
      </w:r>
      <w:r>
        <w:rPr>
          <w:rStyle w:val="VerbatimChar"/>
        </w:rPr>
        <w:t>E53_Lieu</w:t>
      </w:r>
      <w:r>
        <w:t>) se superpose partiellement à (</w:t>
      </w:r>
      <w:r>
        <w:rPr>
          <w:rStyle w:val="VerbatimChar"/>
        </w:rPr>
        <w:t>P121_se_superpose_partiellement_à</w:t>
      </w:r>
      <w:r>
        <w:t>) l'étendue maximale de la république de Turquie (29 octobre 1923 à aujourd'hui) (</w:t>
      </w:r>
      <w:r>
        <w:rPr>
          <w:rStyle w:val="VerbatimChar"/>
        </w:rPr>
        <w:t>E53_Lieu</w:t>
      </w:r>
      <w:r>
        <w:t>)</w:t>
      </w:r>
    </w:p>
    <w:p w14:paraId="393F2CBE" w14:textId="77777777" w:rsidR="0084489F" w:rsidRDefault="00110FE6">
      <w:pPr>
        <w:pStyle w:val="FirstParagraph"/>
      </w:pPr>
      <w:r>
        <w:rPr>
          <w:b/>
          <w:bCs/>
        </w:rPr>
        <w:t>Logique</w:t>
      </w:r>
    </w:p>
    <w:p w14:paraId="47A43DDB" w14:textId="77777777" w:rsidR="0084489F" w:rsidRDefault="00110FE6">
      <w:pPr>
        <w:pStyle w:val="BodyText"/>
      </w:pPr>
      <w:r w:rsidRPr="1B9E7434">
        <w:rPr>
          <w:lang w:val="fr-FR"/>
        </w:rPr>
        <w:t>P121(x,y) ⇒ E53(x)</w:t>
      </w:r>
    </w:p>
    <w:p w14:paraId="02E5C351" w14:textId="77777777" w:rsidR="0084489F" w:rsidRDefault="00110FE6">
      <w:pPr>
        <w:pStyle w:val="BodyText"/>
      </w:pPr>
      <w:r w:rsidRPr="1B9E7434">
        <w:rPr>
          <w:lang w:val="fr-FR"/>
        </w:rPr>
        <w:t>P121(x,y) ⇒ E53(y)</w:t>
      </w:r>
    </w:p>
    <w:p w14:paraId="4382BC37" w14:textId="77777777" w:rsidR="0084489F" w:rsidRDefault="00110FE6">
      <w:pPr>
        <w:pStyle w:val="BodyText"/>
      </w:pPr>
      <w:r w:rsidRPr="1B9E7434">
        <w:rPr>
          <w:lang w:val="fr-FR"/>
        </w:rPr>
        <w:t>P121(x,y) ⇒ P121(y,x)</w:t>
      </w:r>
    </w:p>
    <w:p w14:paraId="097B4FE5" w14:textId="77777777" w:rsidR="0084489F" w:rsidRDefault="00110FE6">
      <w:pPr>
        <w:pStyle w:val="BodyText"/>
      </w:pPr>
      <w:r w:rsidRPr="1B9E7434">
        <w:rPr>
          <w:lang w:val="fr-FR"/>
        </w:rPr>
        <w:t>P121(x,x)</w:t>
      </w:r>
    </w:p>
    <w:p w14:paraId="5AB4BA5D" w14:textId="77777777" w:rsidR="0084489F" w:rsidRDefault="00110FE6">
      <w:pPr>
        <w:pStyle w:val="BodyText"/>
      </w:pPr>
      <w:r>
        <w:rPr>
          <w:b/>
          <w:bCs/>
        </w:rPr>
        <w:t>Propriétés</w:t>
      </w:r>
    </w:p>
    <w:p w14:paraId="625E6823" w14:textId="77777777" w:rsidR="0084489F" w:rsidRDefault="00110FE6">
      <w:pPr>
        <w:pStyle w:val="BlockText"/>
      </w:pPr>
      <w:r>
        <w:rPr>
          <w:b/>
          <w:bCs/>
          <w:i/>
          <w:iCs/>
        </w:rPr>
        <w:t>Note de traduction</w:t>
      </w:r>
    </w:p>
    <w:p w14:paraId="5ACDE533" w14:textId="77777777" w:rsidR="0084489F" w:rsidRDefault="00110FE6">
      <w:pPr>
        <w:pStyle w:val="BlockText"/>
      </w:pPr>
      <w:r>
        <w:rPr>
          <w:b/>
          <w:bCs/>
          <w:i/>
          <w:iCs/>
        </w:rPr>
        <w:t>Références</w:t>
      </w:r>
    </w:p>
    <w:p w14:paraId="27DEB13E" w14:textId="77777777" w:rsidR="0084489F" w:rsidRDefault="0084489F">
      <w:pPr>
        <w:pStyle w:val="BlockText"/>
      </w:pPr>
    </w:p>
    <w:p w14:paraId="25425797" w14:textId="77777777" w:rsidR="0084489F" w:rsidRDefault="00110FE6">
      <w:pPr>
        <w:pStyle w:val="Heading2"/>
      </w:pPr>
      <w:bookmarkStart w:id="468" w:name="_Toc176864614"/>
      <w:bookmarkStart w:id="469" w:name="p122-est-limitrophe-de"/>
      <w:bookmarkEnd w:id="467"/>
      <w:r>
        <w:t>P122 est limitrophe de</w:t>
      </w:r>
      <w:bookmarkEnd w:id="468"/>
    </w:p>
    <w:p w14:paraId="7D26FAF1" w14:textId="77777777" w:rsidR="0084489F" w:rsidRDefault="00110FE6">
      <w:pPr>
        <w:pStyle w:val="FirstParagraph"/>
      </w:pPr>
      <w:r>
        <w:rPr>
          <w:b/>
          <w:bCs/>
        </w:rPr>
        <w:t>Domaine</w:t>
      </w:r>
    </w:p>
    <w:p w14:paraId="5B75ED81" w14:textId="77777777" w:rsidR="0084489F" w:rsidRDefault="00110FE6">
      <w:pPr>
        <w:pStyle w:val="BodyText"/>
      </w:pPr>
      <w:r>
        <w:rPr>
          <w:rStyle w:val="VerbatimChar"/>
        </w:rPr>
        <w:t>E53_Lieu</w:t>
      </w:r>
    </w:p>
    <w:p w14:paraId="562554BD" w14:textId="77777777" w:rsidR="0084489F" w:rsidRDefault="00110FE6">
      <w:pPr>
        <w:pStyle w:val="BodyText"/>
      </w:pPr>
      <w:r>
        <w:rPr>
          <w:b/>
          <w:bCs/>
        </w:rPr>
        <w:t>Portée</w:t>
      </w:r>
    </w:p>
    <w:p w14:paraId="7130BF8F" w14:textId="77777777" w:rsidR="0084489F" w:rsidRDefault="00110FE6">
      <w:pPr>
        <w:pStyle w:val="BodyText"/>
      </w:pPr>
      <w:r>
        <w:rPr>
          <w:rStyle w:val="VerbatimChar"/>
        </w:rPr>
        <w:t>E53_Lieu</w:t>
      </w:r>
    </w:p>
    <w:p w14:paraId="7631B62D" w14:textId="77777777" w:rsidR="0084489F" w:rsidRDefault="00110FE6">
      <w:pPr>
        <w:pStyle w:val="BodyText"/>
      </w:pPr>
      <w:r>
        <w:rPr>
          <w:b/>
          <w:bCs/>
        </w:rPr>
        <w:t>Sous-propriété de</w:t>
      </w:r>
    </w:p>
    <w:p w14:paraId="6C26C578" w14:textId="77777777" w:rsidR="0084489F" w:rsidRDefault="00110FE6">
      <w:pPr>
        <w:pStyle w:val="BodyText"/>
      </w:pPr>
      <w:r>
        <w:rPr>
          <w:b/>
          <w:bCs/>
        </w:rPr>
        <w:t>Super-propriété de</w:t>
      </w:r>
    </w:p>
    <w:p w14:paraId="267286CE" w14:textId="77777777" w:rsidR="0084489F" w:rsidRDefault="00110FE6" w:rsidP="00FA3C06">
      <w:pPr>
        <w:pStyle w:val="BodyText"/>
        <w:keepNext/>
      </w:pPr>
      <w:r>
        <w:rPr>
          <w:b/>
          <w:bCs/>
        </w:rPr>
        <w:lastRenderedPageBreak/>
        <w:t>Quantification</w:t>
      </w:r>
    </w:p>
    <w:p w14:paraId="12AA4A35" w14:textId="77777777" w:rsidR="0084489F" w:rsidRDefault="00110FE6" w:rsidP="00FA3C06">
      <w:pPr>
        <w:pStyle w:val="BodyText"/>
        <w:keepNext/>
      </w:pPr>
      <w:r w:rsidRPr="1B9E7434">
        <w:rPr>
          <w:lang w:val="fr-FR"/>
        </w:rPr>
        <w:t>plusieurs à plusieurs (0,n:0,n)</w:t>
      </w:r>
    </w:p>
    <w:p w14:paraId="29ED7DAA" w14:textId="77777777" w:rsidR="0084489F" w:rsidRDefault="00110FE6">
      <w:pPr>
        <w:pStyle w:val="BodyText"/>
      </w:pPr>
      <w:r>
        <w:rPr>
          <w:b/>
          <w:bCs/>
        </w:rPr>
        <w:t>Note d’application</w:t>
      </w:r>
    </w:p>
    <w:p w14:paraId="16FAB542" w14:textId="77777777" w:rsidR="0084489F" w:rsidRDefault="00110FE6">
      <w:pPr>
        <w:pStyle w:val="BodyText"/>
      </w:pPr>
      <w:r>
        <w:t xml:space="preserve">Cette propriété symétrique associe une instance de </w:t>
      </w:r>
      <w:r>
        <w:rPr>
          <w:rStyle w:val="VerbatimChar"/>
        </w:rPr>
        <w:t>E53_Lieu</w:t>
      </w:r>
      <w:r>
        <w:t xml:space="preserve"> à une autre instance de </w:t>
      </w:r>
      <w:r>
        <w:rPr>
          <w:rStyle w:val="VerbatimChar"/>
        </w:rPr>
        <w:t>E53_Lieu</w:t>
      </w:r>
      <w:r>
        <w:t xml:space="preserve"> qui partage une partie de sa frontière.</w:t>
      </w:r>
    </w:p>
    <w:p w14:paraId="2B0857EE" w14:textId="77777777" w:rsidR="0084489F" w:rsidRDefault="00110FE6">
      <w:pPr>
        <w:pStyle w:val="BodyText"/>
      </w:pPr>
      <w:r w:rsidRPr="1B9E7434">
        <w:rPr>
          <w:lang w:val="fr-FR"/>
        </w:rPr>
        <w:t xml:space="preserve">Cette propriété est purement spatiale. Cela ne signifie pas que des phénomènes qui définissent, par leur étendue, des lieux liés par </w:t>
      </w:r>
      <w:r w:rsidRPr="1B9E7434">
        <w:rPr>
          <w:rStyle w:val="VerbatimChar"/>
          <w:lang w:val="fr-FR"/>
        </w:rPr>
        <w:t>P122_est_limitrophe_de</w:t>
      </w:r>
      <w:r w:rsidRPr="1B9E7434">
        <w:rPr>
          <w:lang w:val="fr-FR"/>
        </w:rPr>
        <w:t xml:space="preserve"> aient partagé une frontière respective au même moment ou cœxisté. Cela peut notamment être le cas lorsque la frontière commune respective est formée par une caractéristique naturelle.</w:t>
      </w:r>
    </w:p>
    <w:p w14:paraId="7A220CB7" w14:textId="77777777" w:rsidR="0084489F" w:rsidRDefault="00110FE6">
      <w:pPr>
        <w:pStyle w:val="BodyText"/>
      </w:pPr>
      <w:r>
        <w:t>Cette propriété n’est pas transitive, mais elle est symétrique.</w:t>
      </w:r>
    </w:p>
    <w:p w14:paraId="074EBEB9" w14:textId="77777777" w:rsidR="0084489F" w:rsidRDefault="00110FE6">
      <w:pPr>
        <w:pStyle w:val="BodyText"/>
      </w:pPr>
      <w:r>
        <w:rPr>
          <w:b/>
          <w:bCs/>
        </w:rPr>
        <w:t>Exemples</w:t>
      </w:r>
    </w:p>
    <w:p w14:paraId="72F76498" w14:textId="0959694B" w:rsidR="0084489F" w:rsidRDefault="00110FE6" w:rsidP="00806324">
      <w:pPr>
        <w:numPr>
          <w:ilvl w:val="0"/>
          <w:numId w:val="234"/>
        </w:numPr>
      </w:pPr>
      <w:r w:rsidRPr="1B9E7434">
        <w:rPr>
          <w:lang w:val="fr-FR"/>
        </w:rPr>
        <w:t>L'Écosse telle que définie par ses frontières en 1603 (</w:t>
      </w:r>
      <w:r w:rsidRPr="1B9E7434">
        <w:rPr>
          <w:rStyle w:val="VerbatimChar"/>
          <w:lang w:val="fr-FR"/>
        </w:rPr>
        <w:t>E53_Lieu</w:t>
      </w:r>
      <w:r w:rsidRPr="1B9E7434">
        <w:rPr>
          <w:lang w:val="fr-FR"/>
        </w:rPr>
        <w:t>) est limitrophe de (</w:t>
      </w:r>
      <w:r w:rsidRPr="1B9E7434">
        <w:rPr>
          <w:rStyle w:val="VerbatimChar"/>
          <w:lang w:val="fr-FR"/>
        </w:rPr>
        <w:t>P122_est_limitrophe_de</w:t>
      </w:r>
      <w:r w:rsidRPr="1B9E7434">
        <w:rPr>
          <w:lang w:val="fr-FR"/>
        </w:rPr>
        <w:t>) l'Angleterre telle que définie par ses frontières en 1603 (</w:t>
      </w:r>
      <w:r w:rsidRPr="1B9E7434">
        <w:rPr>
          <w:rStyle w:val="VerbatimChar"/>
          <w:lang w:val="fr-FR"/>
        </w:rPr>
        <w:t>E53_Lieu</w:t>
      </w:r>
      <w:r w:rsidRPr="1B9E7434">
        <w:rPr>
          <w:lang w:val="fr-FR"/>
        </w:rPr>
        <w:t>) (Crofton, 2015)</w:t>
      </w:r>
    </w:p>
    <w:p w14:paraId="17DB0D90" w14:textId="77777777" w:rsidR="0084489F" w:rsidRDefault="00110FE6">
      <w:pPr>
        <w:pStyle w:val="FirstParagraph"/>
      </w:pPr>
      <w:r>
        <w:rPr>
          <w:b/>
          <w:bCs/>
        </w:rPr>
        <w:t>Logique</w:t>
      </w:r>
    </w:p>
    <w:p w14:paraId="49A407FB" w14:textId="77777777" w:rsidR="0084489F" w:rsidRDefault="00110FE6">
      <w:pPr>
        <w:pStyle w:val="BodyText"/>
      </w:pPr>
      <w:r w:rsidRPr="1B9E7434">
        <w:rPr>
          <w:lang w:val="fr-FR"/>
        </w:rPr>
        <w:t>P122(x,y) ⇒ E53(x)P122(x,y) ⇒ E53(y)P122(x,y) ⇒ P122(y,x)</w:t>
      </w:r>
    </w:p>
    <w:p w14:paraId="34D30AA4" w14:textId="77777777" w:rsidR="0084489F" w:rsidRDefault="00110FE6">
      <w:pPr>
        <w:pStyle w:val="BodyText"/>
      </w:pPr>
      <w:r>
        <w:rPr>
          <w:b/>
          <w:bCs/>
        </w:rPr>
        <w:t>Propriétés</w:t>
      </w:r>
    </w:p>
    <w:p w14:paraId="1F4C02FB" w14:textId="77777777" w:rsidR="0084489F" w:rsidRDefault="00110FE6">
      <w:pPr>
        <w:pStyle w:val="BlockText"/>
      </w:pPr>
      <w:r>
        <w:rPr>
          <w:b/>
          <w:bCs/>
          <w:i/>
          <w:iCs/>
        </w:rPr>
        <w:t>Note de traduction</w:t>
      </w:r>
    </w:p>
    <w:p w14:paraId="421B2303" w14:textId="77777777" w:rsidR="0084489F" w:rsidRDefault="00110FE6">
      <w:pPr>
        <w:pStyle w:val="BlockText"/>
      </w:pPr>
      <w:r>
        <w:t xml:space="preserve">La note d'application de cette propriété ressemble beaucoup à celle de </w:t>
      </w:r>
      <w:r>
        <w:rPr>
          <w:rStyle w:val="VerbatimChar"/>
        </w:rPr>
        <w:t>P121_se_superpose_partiellement_à</w:t>
      </w:r>
      <w:r>
        <w:t>.</w:t>
      </w:r>
    </w:p>
    <w:p w14:paraId="261AFD0A" w14:textId="77777777" w:rsidR="0084489F" w:rsidRDefault="00110FE6">
      <w:pPr>
        <w:pStyle w:val="BlockText"/>
      </w:pPr>
      <w:r>
        <w:rPr>
          <w:b/>
          <w:bCs/>
          <w:i/>
          <w:iCs/>
        </w:rPr>
        <w:t>Références</w:t>
      </w:r>
    </w:p>
    <w:p w14:paraId="746A1F07" w14:textId="77777777" w:rsidR="0084489F" w:rsidRDefault="0084489F">
      <w:pPr>
        <w:pStyle w:val="BlockText"/>
      </w:pPr>
    </w:p>
    <w:p w14:paraId="26354ACD" w14:textId="77777777" w:rsidR="0084489F" w:rsidRDefault="00110FE6">
      <w:pPr>
        <w:pStyle w:val="Heading2"/>
      </w:pPr>
      <w:bookmarkStart w:id="470" w:name="_Toc176864615"/>
      <w:bookmarkStart w:id="471" w:name="p123-a-eu-pour-resultat-(a-resulte-de)"/>
      <w:bookmarkEnd w:id="469"/>
      <w:r>
        <w:t>P123 a eu pour résultat (a résulté de)</w:t>
      </w:r>
      <w:bookmarkEnd w:id="470"/>
    </w:p>
    <w:p w14:paraId="65836CAB" w14:textId="77777777" w:rsidR="0084489F" w:rsidRDefault="00110FE6">
      <w:pPr>
        <w:pStyle w:val="FirstParagraph"/>
      </w:pPr>
      <w:r>
        <w:rPr>
          <w:b/>
          <w:bCs/>
        </w:rPr>
        <w:t>Domaine</w:t>
      </w:r>
    </w:p>
    <w:p w14:paraId="7DECBFEC" w14:textId="77777777" w:rsidR="0084489F" w:rsidRDefault="00110FE6">
      <w:pPr>
        <w:pStyle w:val="BodyText"/>
      </w:pPr>
      <w:r>
        <w:rPr>
          <w:rStyle w:val="VerbatimChar"/>
        </w:rPr>
        <w:t>E81_Transformation</w:t>
      </w:r>
    </w:p>
    <w:p w14:paraId="7E8BBED6" w14:textId="77777777" w:rsidR="0084489F" w:rsidRDefault="00110FE6">
      <w:pPr>
        <w:pStyle w:val="BodyText"/>
      </w:pPr>
      <w:r>
        <w:rPr>
          <w:b/>
          <w:bCs/>
        </w:rPr>
        <w:t>Portée</w:t>
      </w:r>
    </w:p>
    <w:p w14:paraId="52250C8E" w14:textId="77777777" w:rsidR="0084489F" w:rsidRDefault="00110FE6">
      <w:pPr>
        <w:pStyle w:val="BodyText"/>
      </w:pPr>
      <w:r>
        <w:rPr>
          <w:rStyle w:val="VerbatimChar"/>
        </w:rPr>
        <w:t>E18_Chose_matérielle</w:t>
      </w:r>
    </w:p>
    <w:p w14:paraId="725F8451" w14:textId="77777777" w:rsidR="0084489F" w:rsidRDefault="00110FE6">
      <w:pPr>
        <w:pStyle w:val="BodyText"/>
      </w:pPr>
      <w:r>
        <w:rPr>
          <w:b/>
          <w:bCs/>
        </w:rPr>
        <w:t>Sous-propriété de</w:t>
      </w:r>
    </w:p>
    <w:p w14:paraId="5564045F" w14:textId="77777777" w:rsidR="0084489F" w:rsidRDefault="00110FE6">
      <w:pPr>
        <w:pStyle w:val="BodyText"/>
      </w:pPr>
      <w:r w:rsidRPr="1B9E7434">
        <w:rPr>
          <w:rStyle w:val="VerbatimChar"/>
          <w:lang w:val="fr-FR"/>
        </w:rPr>
        <w:t>E63_Début_d’existence</w:t>
      </w:r>
      <w:r w:rsidRPr="1B9E7434">
        <w:rPr>
          <w:lang w:val="fr-FR"/>
        </w:rPr>
        <w:t xml:space="preserve">. </w:t>
      </w:r>
      <w:r w:rsidRPr="1B9E7434">
        <w:rPr>
          <w:rStyle w:val="VerbatimChar"/>
          <w:lang w:val="fr-FR"/>
        </w:rPr>
        <w:t>P92_a_fait_exister (a_commencé_à_exister_par) </w:t>
      </w:r>
      <w:r w:rsidRPr="1B9E7434">
        <w:rPr>
          <w:lang w:val="fr-FR"/>
        </w:rPr>
        <w:t xml:space="preserve">: </w:t>
      </w:r>
      <w:r w:rsidRPr="1B9E7434">
        <w:rPr>
          <w:rStyle w:val="VerbatimChar"/>
          <w:lang w:val="fr-FR"/>
        </w:rPr>
        <w:t>E77_Entité_persistante</w:t>
      </w:r>
    </w:p>
    <w:p w14:paraId="79088E8B" w14:textId="77777777" w:rsidR="0084489F" w:rsidRDefault="00110FE6">
      <w:pPr>
        <w:pStyle w:val="BodyText"/>
      </w:pPr>
      <w:r>
        <w:rPr>
          <w:b/>
          <w:bCs/>
        </w:rPr>
        <w:t>Super-propriété de</w:t>
      </w:r>
    </w:p>
    <w:p w14:paraId="58516920" w14:textId="77777777" w:rsidR="0084489F" w:rsidRDefault="00110FE6">
      <w:pPr>
        <w:pStyle w:val="BodyText"/>
      </w:pPr>
      <w:r>
        <w:rPr>
          <w:b/>
          <w:bCs/>
        </w:rPr>
        <w:t>Quantification</w:t>
      </w:r>
    </w:p>
    <w:p w14:paraId="463AC991" w14:textId="77777777" w:rsidR="0084489F" w:rsidRDefault="00110FE6">
      <w:pPr>
        <w:pStyle w:val="BodyText"/>
      </w:pPr>
      <w:r w:rsidRPr="1B9E7434">
        <w:rPr>
          <w:lang w:val="fr-FR"/>
        </w:rPr>
        <w:t>plusieurs à plusieurs, nécessaire (1,n:0,n)</w:t>
      </w:r>
    </w:p>
    <w:p w14:paraId="58538A74" w14:textId="77777777" w:rsidR="0084489F" w:rsidRDefault="00110FE6" w:rsidP="00FA3C06">
      <w:pPr>
        <w:pStyle w:val="BodyText"/>
        <w:keepNext/>
      </w:pPr>
      <w:r>
        <w:rPr>
          <w:b/>
          <w:bCs/>
        </w:rPr>
        <w:lastRenderedPageBreak/>
        <w:t>Note d’application</w:t>
      </w:r>
    </w:p>
    <w:p w14:paraId="17F3689F" w14:textId="77777777" w:rsidR="0084489F" w:rsidRDefault="00110FE6" w:rsidP="00FA3C06">
      <w:pPr>
        <w:pStyle w:val="BodyText"/>
        <w:keepNext/>
      </w:pPr>
      <w:r>
        <w:t xml:space="preserve">Cette propriété identifie la ou les instances de </w:t>
      </w:r>
      <w:r>
        <w:rPr>
          <w:rStyle w:val="VerbatimChar"/>
        </w:rPr>
        <w:t>E18_Chose_matérielle</w:t>
      </w:r>
      <w:r>
        <w:t xml:space="preserve"> qui a ou qui ont résulté d’une instance de </w:t>
      </w:r>
      <w:r>
        <w:rPr>
          <w:rStyle w:val="VerbatimChar"/>
        </w:rPr>
        <w:t>E81_Transformation</w:t>
      </w:r>
      <w:r>
        <w:t xml:space="preserve">. Le ou les éléments ayant été transformés cessent d’exister en tant qu’unité de documentation et de nouveaux éléments les remplacent. La continuité physique entre l’élément ancien et nouveau est exprimée par les liens vers l’instance commune de </w:t>
      </w:r>
      <w:r>
        <w:rPr>
          <w:rStyle w:val="VerbatimChar"/>
        </w:rPr>
        <w:t>E81_Transformation</w:t>
      </w:r>
      <w:r>
        <w:t>.</w:t>
      </w:r>
    </w:p>
    <w:p w14:paraId="7001657D" w14:textId="77777777" w:rsidR="0084489F" w:rsidRDefault="00110FE6">
      <w:pPr>
        <w:pStyle w:val="BodyText"/>
      </w:pPr>
      <w:r>
        <w:rPr>
          <w:b/>
          <w:bCs/>
        </w:rPr>
        <w:t>Exemples</w:t>
      </w:r>
    </w:p>
    <w:p w14:paraId="009F626D" w14:textId="77777777" w:rsidR="0084489F" w:rsidRDefault="00110FE6" w:rsidP="00806324">
      <w:pPr>
        <w:numPr>
          <w:ilvl w:val="0"/>
          <w:numId w:val="235"/>
        </w:numPr>
      </w:pPr>
      <w:r>
        <w:t>La transformation de la loggia vénitienne d’Héraklion en hôtel de ville (</w:t>
      </w:r>
      <w:r>
        <w:rPr>
          <w:rStyle w:val="VerbatimChar"/>
        </w:rPr>
        <w:t>E81_Transformation</w:t>
      </w:r>
      <w:r>
        <w:t xml:space="preserve">, </w:t>
      </w:r>
      <w:r>
        <w:rPr>
          <w:rStyle w:val="VerbatimChar"/>
        </w:rPr>
        <w:t>E12_Production</w:t>
      </w:r>
      <w:r>
        <w:t>) a eu pour résultat (</w:t>
      </w:r>
      <w:r>
        <w:rPr>
          <w:rStyle w:val="VerbatimChar"/>
        </w:rPr>
        <w:t>P123_a_eu_pour_résultat</w:t>
      </w:r>
      <w:r>
        <w:t>) l’hôtel de ville d’Héraklion (</w:t>
      </w:r>
      <w:r>
        <w:rPr>
          <w:rStyle w:val="VerbatimChar"/>
        </w:rPr>
        <w:t>E24_Chose_matérielle_élaborée_par_l’humain</w:t>
      </w:r>
      <w:r>
        <w:t>) [ET : a produit (</w:t>
      </w:r>
      <w:r>
        <w:rPr>
          <w:rStyle w:val="VerbatimChar"/>
        </w:rPr>
        <w:t>P108_a_produit</w:t>
      </w:r>
      <w:r>
        <w:t>) l’hôtel de ville d’Héraklion (</w:t>
      </w:r>
      <w:r>
        <w:rPr>
          <w:rStyle w:val="VerbatimChar"/>
        </w:rPr>
        <w:t>E22_Objet_élaboré_par_l’humain</w:t>
      </w:r>
      <w:r>
        <w:t>)] (Municipalité d’Héraklion, 2021)</w:t>
      </w:r>
    </w:p>
    <w:p w14:paraId="7D8FA65E" w14:textId="6D50666C" w:rsidR="0084489F" w:rsidRDefault="00110FE6" w:rsidP="00806324">
      <w:pPr>
        <w:numPr>
          <w:ilvl w:val="0"/>
          <w:numId w:val="235"/>
        </w:numPr>
      </w:pPr>
      <w:r w:rsidRPr="1B9E7434">
        <w:rPr>
          <w:lang w:val="fr-FR"/>
        </w:rPr>
        <w:t>La momification de Toutânkhamon (</w:t>
      </w:r>
      <w:r w:rsidRPr="1B9E7434">
        <w:rPr>
          <w:rStyle w:val="VerbatimChar"/>
          <w:lang w:val="fr-FR"/>
        </w:rPr>
        <w:t>E81_Transformation</w:t>
      </w:r>
      <w:r w:rsidRPr="1B9E7434">
        <w:rPr>
          <w:lang w:val="fr-FR"/>
        </w:rPr>
        <w:t xml:space="preserve">, </w:t>
      </w:r>
      <w:r w:rsidRPr="1B9E7434">
        <w:rPr>
          <w:rStyle w:val="VerbatimChar"/>
          <w:lang w:val="fr-FR"/>
        </w:rPr>
        <w:t>E12_Production</w:t>
      </w:r>
      <w:r w:rsidRPr="1B9E7434">
        <w:rPr>
          <w:lang w:val="fr-FR"/>
        </w:rPr>
        <w:t>) a eu pour résultat (</w:t>
      </w:r>
      <w:r w:rsidRPr="1B9E7434">
        <w:rPr>
          <w:rStyle w:val="VerbatimChar"/>
          <w:lang w:val="fr-FR"/>
        </w:rPr>
        <w:t>P123_a_eu_pour_résultat</w:t>
      </w:r>
      <w:r w:rsidRPr="1B9E7434">
        <w:rPr>
          <w:lang w:val="fr-FR"/>
        </w:rPr>
        <w:t>) la momie de Toutânkhamon (</w:t>
      </w:r>
      <w:r w:rsidRPr="1B9E7434">
        <w:rPr>
          <w:rStyle w:val="VerbatimChar"/>
          <w:lang w:val="fr-FR"/>
        </w:rPr>
        <w:t>E22_Objet_élaboré_par_l’humain</w:t>
      </w:r>
      <w:r w:rsidRPr="1B9E7434">
        <w:rPr>
          <w:lang w:val="fr-FR"/>
        </w:rPr>
        <w:t xml:space="preserve">, </w:t>
      </w:r>
      <w:r w:rsidRPr="1B9E7434">
        <w:rPr>
          <w:rStyle w:val="VerbatimChar"/>
          <w:lang w:val="fr-FR"/>
        </w:rPr>
        <w:t>E20_Objet_biologique</w:t>
      </w:r>
      <w:r w:rsidRPr="1B9E7434">
        <w:rPr>
          <w:lang w:val="fr-FR"/>
        </w:rPr>
        <w:t>) [ET : a produit (</w:t>
      </w:r>
      <w:r w:rsidRPr="1B9E7434">
        <w:rPr>
          <w:rStyle w:val="VerbatimChar"/>
          <w:lang w:val="fr-FR"/>
        </w:rPr>
        <w:t>P108_a_produit</w:t>
      </w:r>
      <w:r w:rsidRPr="1B9E7434">
        <w:rPr>
          <w:lang w:val="fr-FR"/>
        </w:rPr>
        <w:t>) la momie de Toutânkhamon (</w:t>
      </w:r>
      <w:r w:rsidRPr="1B9E7434">
        <w:rPr>
          <w:rStyle w:val="VerbatimChar"/>
          <w:lang w:val="fr-FR"/>
        </w:rPr>
        <w:t>E22_Objet_élaboré_par_l’humain</w:t>
      </w:r>
      <w:r w:rsidRPr="1B9E7434">
        <w:rPr>
          <w:lang w:val="fr-FR"/>
        </w:rPr>
        <w:t xml:space="preserve">, </w:t>
      </w:r>
      <w:r w:rsidRPr="1B9E7434">
        <w:rPr>
          <w:rStyle w:val="VerbatimChar"/>
          <w:lang w:val="fr-FR"/>
        </w:rPr>
        <w:t>E20_Objet_biologique</w:t>
      </w:r>
      <w:r w:rsidRPr="1B9E7434">
        <w:rPr>
          <w:lang w:val="fr-FR"/>
        </w:rPr>
        <w:t>)] (Carter &amp; Mace, 1977)</w:t>
      </w:r>
    </w:p>
    <w:p w14:paraId="0AEE5BE3" w14:textId="77777777" w:rsidR="0084489F" w:rsidRDefault="00110FE6" w:rsidP="00806324">
      <w:pPr>
        <w:numPr>
          <w:ilvl w:val="0"/>
          <w:numId w:val="235"/>
        </w:numPr>
      </w:pPr>
      <w:r>
        <w:t>La mort, la carbonisation et la pétrification de certains habitants de Pompéi en 79 EC provoquées par la chaleur intense d’un nuage pyroclastique et par les cendres provenant de l’éruption du mont Vésuve (</w:t>
      </w:r>
      <w:r>
        <w:rPr>
          <w:rStyle w:val="VerbatimChar"/>
        </w:rPr>
        <w:t>E69_Mort</w:t>
      </w:r>
      <w:r>
        <w:t xml:space="preserve">, </w:t>
      </w:r>
      <w:r>
        <w:rPr>
          <w:rStyle w:val="VerbatimChar"/>
        </w:rPr>
        <w:t>E81_Transformation</w:t>
      </w:r>
      <w:r>
        <w:t>) a eu pour résultat (</w:t>
      </w:r>
      <w:r>
        <w:rPr>
          <w:rStyle w:val="VerbatimChar"/>
        </w:rPr>
        <w:t>P123_a_eu_pour_résultat</w:t>
      </w:r>
      <w:r>
        <w:t>) des corps pétrifiés (</w:t>
      </w:r>
      <w:r>
        <w:rPr>
          <w:rStyle w:val="VerbatimChar"/>
        </w:rPr>
        <w:t>E20_Objet_biologique</w:t>
      </w:r>
      <w:r>
        <w:t>) [certains de ces corps ont pu ensuite être conservés dans du plâtre]</w:t>
      </w:r>
    </w:p>
    <w:p w14:paraId="7547DC84" w14:textId="77777777" w:rsidR="0084489F" w:rsidRDefault="00110FE6">
      <w:pPr>
        <w:pStyle w:val="FirstParagraph"/>
      </w:pPr>
      <w:r>
        <w:rPr>
          <w:b/>
          <w:bCs/>
        </w:rPr>
        <w:t>Logique</w:t>
      </w:r>
    </w:p>
    <w:p w14:paraId="60E3B7FA" w14:textId="77777777" w:rsidR="0084489F" w:rsidRDefault="00110FE6">
      <w:pPr>
        <w:pStyle w:val="BodyText"/>
      </w:pPr>
      <w:r w:rsidRPr="1B9E7434">
        <w:rPr>
          <w:lang w:val="fr-FR"/>
        </w:rPr>
        <w:t>P123(x,y) ⇒ E81(x)</w:t>
      </w:r>
    </w:p>
    <w:p w14:paraId="1B15CDC3" w14:textId="77777777" w:rsidR="0084489F" w:rsidRDefault="00110FE6">
      <w:pPr>
        <w:pStyle w:val="BodyText"/>
      </w:pPr>
      <w:r w:rsidRPr="1B9E7434">
        <w:rPr>
          <w:lang w:val="fr-FR"/>
        </w:rPr>
        <w:t>P123(x,y) ⇒ E18(y)</w:t>
      </w:r>
    </w:p>
    <w:p w14:paraId="2E836072" w14:textId="77777777" w:rsidR="0084489F" w:rsidRDefault="00110FE6">
      <w:pPr>
        <w:pStyle w:val="BodyText"/>
      </w:pPr>
      <w:r w:rsidRPr="1B9E7434">
        <w:rPr>
          <w:lang w:val="fr-FR"/>
        </w:rPr>
        <w:t>P123(x,y) ⇒ P92(x,y)</w:t>
      </w:r>
    </w:p>
    <w:p w14:paraId="0117CE82" w14:textId="77777777" w:rsidR="0084489F" w:rsidRDefault="00110FE6">
      <w:pPr>
        <w:pStyle w:val="BodyText"/>
      </w:pPr>
      <w:r>
        <w:rPr>
          <w:b/>
          <w:bCs/>
        </w:rPr>
        <w:t>Propriétés</w:t>
      </w:r>
    </w:p>
    <w:p w14:paraId="095A0395" w14:textId="77777777" w:rsidR="0084489F" w:rsidRDefault="00110FE6">
      <w:pPr>
        <w:pStyle w:val="BlockText"/>
      </w:pPr>
      <w:r>
        <w:rPr>
          <w:b/>
          <w:bCs/>
          <w:i/>
          <w:iCs/>
        </w:rPr>
        <w:t>Note de traduction</w:t>
      </w:r>
    </w:p>
    <w:p w14:paraId="5D482101" w14:textId="77777777" w:rsidR="0084489F" w:rsidRDefault="00110FE6">
      <w:pPr>
        <w:pStyle w:val="BlockText"/>
      </w:pPr>
      <w:r>
        <w:rPr>
          <w:b/>
          <w:bCs/>
          <w:i/>
          <w:iCs/>
        </w:rPr>
        <w:t>Références</w:t>
      </w:r>
    </w:p>
    <w:p w14:paraId="3326F958" w14:textId="77777777" w:rsidR="0084489F" w:rsidRDefault="0084489F">
      <w:pPr>
        <w:pStyle w:val="BlockText"/>
      </w:pPr>
    </w:p>
    <w:p w14:paraId="79387C2F" w14:textId="77777777" w:rsidR="0084489F" w:rsidRDefault="00110FE6">
      <w:pPr>
        <w:pStyle w:val="Heading2"/>
      </w:pPr>
      <w:bookmarkStart w:id="472" w:name="_Toc176864616"/>
      <w:bookmarkStart w:id="473" w:name="p124-a-transforme-(a-ete-transforme-par)"/>
      <w:bookmarkEnd w:id="471"/>
      <w:r>
        <w:t>P124 a transformé (a été transformé par)</w:t>
      </w:r>
      <w:bookmarkEnd w:id="472"/>
    </w:p>
    <w:p w14:paraId="07010167" w14:textId="77777777" w:rsidR="0084489F" w:rsidRDefault="00110FE6">
      <w:pPr>
        <w:pStyle w:val="FirstParagraph"/>
      </w:pPr>
      <w:r>
        <w:rPr>
          <w:b/>
          <w:bCs/>
        </w:rPr>
        <w:t>Domaine</w:t>
      </w:r>
    </w:p>
    <w:p w14:paraId="4C9F764D" w14:textId="77777777" w:rsidR="0084489F" w:rsidRDefault="00110FE6">
      <w:pPr>
        <w:pStyle w:val="BodyText"/>
      </w:pPr>
      <w:r>
        <w:rPr>
          <w:rStyle w:val="VerbatimChar"/>
        </w:rPr>
        <w:t>E81_Transformation</w:t>
      </w:r>
    </w:p>
    <w:p w14:paraId="1C8A566B" w14:textId="77777777" w:rsidR="0084489F" w:rsidRDefault="00110FE6">
      <w:pPr>
        <w:pStyle w:val="BodyText"/>
      </w:pPr>
      <w:r>
        <w:rPr>
          <w:b/>
          <w:bCs/>
        </w:rPr>
        <w:t>Portée</w:t>
      </w:r>
    </w:p>
    <w:p w14:paraId="022216AC" w14:textId="77777777" w:rsidR="0084489F" w:rsidRDefault="00110FE6">
      <w:pPr>
        <w:pStyle w:val="BodyText"/>
      </w:pPr>
      <w:r>
        <w:rPr>
          <w:rStyle w:val="VerbatimChar"/>
        </w:rPr>
        <w:t>E18_Chose_matérielle</w:t>
      </w:r>
    </w:p>
    <w:p w14:paraId="70CC891E" w14:textId="77777777" w:rsidR="0084489F" w:rsidRDefault="00110FE6">
      <w:pPr>
        <w:pStyle w:val="BodyText"/>
      </w:pPr>
      <w:r>
        <w:rPr>
          <w:b/>
          <w:bCs/>
        </w:rPr>
        <w:t>Sous-propriété de</w:t>
      </w:r>
    </w:p>
    <w:p w14:paraId="71B52C6C" w14:textId="77777777" w:rsidR="0084489F" w:rsidRDefault="00110FE6">
      <w:pPr>
        <w:pStyle w:val="BodyText"/>
      </w:pPr>
      <w:r w:rsidRPr="1B9E7434">
        <w:rPr>
          <w:rStyle w:val="VerbatimChar"/>
          <w:lang w:val="fr-FR"/>
        </w:rPr>
        <w:t>E64_Fin_d’existence</w:t>
      </w:r>
      <w:r w:rsidRPr="1B9E7434">
        <w:rPr>
          <w:lang w:val="fr-FR"/>
        </w:rPr>
        <w:t xml:space="preserve">. </w:t>
      </w:r>
      <w:r w:rsidRPr="1B9E7434">
        <w:rPr>
          <w:rStyle w:val="VerbatimChar"/>
          <w:lang w:val="fr-FR"/>
        </w:rPr>
        <w:t>P93_a_mis_fin_à_l’existence_de (a_cessé_d’exister_par) </w:t>
      </w:r>
      <w:r w:rsidRPr="1B9E7434">
        <w:rPr>
          <w:lang w:val="fr-FR"/>
        </w:rPr>
        <w:t xml:space="preserve">: </w:t>
      </w:r>
      <w:r w:rsidRPr="1B9E7434">
        <w:rPr>
          <w:rStyle w:val="VerbatimChar"/>
          <w:lang w:val="fr-FR"/>
        </w:rPr>
        <w:t>E77_Entité_persistante</w:t>
      </w:r>
    </w:p>
    <w:p w14:paraId="4E762AFD" w14:textId="77777777" w:rsidR="0084489F" w:rsidRDefault="00110FE6">
      <w:pPr>
        <w:pStyle w:val="BodyText"/>
      </w:pPr>
      <w:r>
        <w:rPr>
          <w:b/>
          <w:bCs/>
        </w:rPr>
        <w:t>Super-propriété de</w:t>
      </w:r>
    </w:p>
    <w:p w14:paraId="265BFA36" w14:textId="77777777" w:rsidR="0084489F" w:rsidRDefault="00110FE6" w:rsidP="00FA3C06">
      <w:pPr>
        <w:pStyle w:val="BodyText"/>
        <w:keepNext/>
      </w:pPr>
      <w:r>
        <w:rPr>
          <w:b/>
          <w:bCs/>
        </w:rPr>
        <w:lastRenderedPageBreak/>
        <w:t>Quantification</w:t>
      </w:r>
    </w:p>
    <w:p w14:paraId="319ABC57" w14:textId="77777777" w:rsidR="0084489F" w:rsidRDefault="00110FE6" w:rsidP="00FA3C06">
      <w:pPr>
        <w:pStyle w:val="BodyText"/>
        <w:keepNext/>
      </w:pPr>
      <w:r w:rsidRPr="1B9E7434">
        <w:rPr>
          <w:lang w:val="fr-FR"/>
        </w:rPr>
        <w:t>un à plusieurs, nécessaire (1,n:0,1)</w:t>
      </w:r>
    </w:p>
    <w:p w14:paraId="18381D77" w14:textId="77777777" w:rsidR="0084489F" w:rsidRDefault="00110FE6">
      <w:pPr>
        <w:pStyle w:val="BodyText"/>
      </w:pPr>
      <w:r>
        <w:rPr>
          <w:b/>
          <w:bCs/>
        </w:rPr>
        <w:t>Note d’application</w:t>
      </w:r>
    </w:p>
    <w:p w14:paraId="3BCF1920" w14:textId="77777777" w:rsidR="0084489F" w:rsidRDefault="00110FE6">
      <w:pPr>
        <w:pStyle w:val="BodyText"/>
      </w:pPr>
      <w:r>
        <w:t xml:space="preserve">Cette propriété identifie la ou les instances de </w:t>
      </w:r>
      <w:r>
        <w:rPr>
          <w:rStyle w:val="VerbatimChar"/>
        </w:rPr>
        <w:t>E18_Chose_matérielle</w:t>
      </w:r>
      <w:r>
        <w:t xml:space="preserve"> qui ont cessé d’exister à l’issue d’une instance de </w:t>
      </w:r>
      <w:r>
        <w:rPr>
          <w:rStyle w:val="VerbatimChar"/>
        </w:rPr>
        <w:t>E81_Transformation</w:t>
      </w:r>
      <w:r>
        <w:t>.</w:t>
      </w:r>
    </w:p>
    <w:p w14:paraId="1303B1A0" w14:textId="77777777" w:rsidR="0084489F" w:rsidRDefault="00110FE6">
      <w:pPr>
        <w:pStyle w:val="BodyText"/>
      </w:pPr>
      <w:r>
        <w:t xml:space="preserve">L’élément issu de la transformation a mis fin à l’existence de l’élément qui a été transformé et le remplace. La continuité entre les deux éléments, l’ancien et le nouveau, est exprimée par les liens vers l’instance commune de </w:t>
      </w:r>
      <w:r>
        <w:rPr>
          <w:rStyle w:val="VerbatimChar"/>
        </w:rPr>
        <w:t>E81_Transformation</w:t>
      </w:r>
      <w:r>
        <w:t>.</w:t>
      </w:r>
    </w:p>
    <w:p w14:paraId="0FC2082B" w14:textId="77777777" w:rsidR="0084489F" w:rsidRDefault="00110FE6">
      <w:pPr>
        <w:pStyle w:val="BodyText"/>
      </w:pPr>
      <w:r>
        <w:rPr>
          <w:b/>
          <w:bCs/>
        </w:rPr>
        <w:t>Exemples</w:t>
      </w:r>
    </w:p>
    <w:p w14:paraId="21C00036" w14:textId="77777777" w:rsidR="0084489F" w:rsidRDefault="00110FE6" w:rsidP="00806324">
      <w:pPr>
        <w:numPr>
          <w:ilvl w:val="0"/>
          <w:numId w:val="236"/>
        </w:numPr>
      </w:pPr>
      <w:r>
        <w:t>La transformation de la loggia vénitienne d’Héraklion en hôtel de ville (</w:t>
      </w:r>
      <w:r>
        <w:rPr>
          <w:rStyle w:val="VerbatimChar"/>
        </w:rPr>
        <w:t>E81_Transformation</w:t>
      </w:r>
      <w:r>
        <w:t xml:space="preserve">, </w:t>
      </w:r>
      <w:r>
        <w:rPr>
          <w:rStyle w:val="VerbatimChar"/>
        </w:rPr>
        <w:t>E12_Production</w:t>
      </w:r>
      <w:r>
        <w:t>) a transformé (</w:t>
      </w:r>
      <w:r>
        <w:rPr>
          <w:rStyle w:val="VerbatimChar"/>
        </w:rPr>
        <w:t>P124_a_transformé</w:t>
      </w:r>
      <w:r>
        <w:t>) la loggia vénitienne d’Héraklion (</w:t>
      </w:r>
      <w:r>
        <w:rPr>
          <w:rStyle w:val="VerbatimChar"/>
        </w:rPr>
        <w:t>E24_Chose_matérielle_élaborée_par_l’humain</w:t>
      </w:r>
      <w:r>
        <w:t>) (Municipalité d’Héraklion, 2021)</w:t>
      </w:r>
    </w:p>
    <w:p w14:paraId="5DD4DFFF" w14:textId="07E5EB0E" w:rsidR="0084489F" w:rsidRDefault="00110FE6" w:rsidP="00806324">
      <w:pPr>
        <w:numPr>
          <w:ilvl w:val="0"/>
          <w:numId w:val="236"/>
        </w:numPr>
      </w:pPr>
      <w:r w:rsidRPr="1B9E7434">
        <w:rPr>
          <w:lang w:val="fr-FR"/>
        </w:rPr>
        <w:t>La momification de Toutânkhamon (</w:t>
      </w:r>
      <w:r w:rsidRPr="1B9E7434">
        <w:rPr>
          <w:rStyle w:val="VerbatimChar"/>
          <w:lang w:val="fr-FR"/>
        </w:rPr>
        <w:t>E81_Transformation</w:t>
      </w:r>
      <w:r w:rsidRPr="1B9E7434">
        <w:rPr>
          <w:lang w:val="fr-FR"/>
        </w:rPr>
        <w:t xml:space="preserve">, </w:t>
      </w:r>
      <w:r w:rsidRPr="1B9E7434">
        <w:rPr>
          <w:rStyle w:val="VerbatimChar"/>
          <w:lang w:val="fr-FR"/>
        </w:rPr>
        <w:t>E12_Production</w:t>
      </w:r>
      <w:r w:rsidRPr="1B9E7434">
        <w:rPr>
          <w:lang w:val="fr-FR"/>
        </w:rPr>
        <w:t>) a transformé (</w:t>
      </w:r>
      <w:r w:rsidRPr="1B9E7434">
        <w:rPr>
          <w:rStyle w:val="VerbatimChar"/>
          <w:lang w:val="fr-FR"/>
        </w:rPr>
        <w:t>P124_a_transformé</w:t>
      </w:r>
      <w:r w:rsidRPr="1B9E7434">
        <w:rPr>
          <w:lang w:val="fr-FR"/>
        </w:rPr>
        <w:t>) le pharaon Toutânkhamon décédé (</w:t>
      </w:r>
      <w:r w:rsidRPr="1B9E7434">
        <w:rPr>
          <w:rStyle w:val="VerbatimChar"/>
          <w:lang w:val="fr-FR"/>
        </w:rPr>
        <w:t>E21_Personne</w:t>
      </w:r>
      <w:r w:rsidRPr="1B9E7434">
        <w:rPr>
          <w:lang w:val="fr-FR"/>
        </w:rPr>
        <w:t>) (Carter &amp; Mace, 1977)</w:t>
      </w:r>
    </w:p>
    <w:p w14:paraId="4AA2254F" w14:textId="77777777" w:rsidR="0084489F" w:rsidRDefault="00110FE6" w:rsidP="00806324">
      <w:pPr>
        <w:numPr>
          <w:ilvl w:val="0"/>
          <w:numId w:val="236"/>
        </w:numPr>
      </w:pPr>
      <w:r>
        <w:t>La mort, la carbonisation et la pétrification de certains habitants de Pompéi en 79 EC provoquées par la chaleur intense d’un nuage pyroclastique et par les cendres provenant de l’éruption du mont Vésuve (</w:t>
      </w:r>
      <w:r>
        <w:rPr>
          <w:rStyle w:val="VerbatimChar"/>
        </w:rPr>
        <w:t>E69_Mort</w:t>
      </w:r>
      <w:r>
        <w:t xml:space="preserve">, </w:t>
      </w:r>
      <w:r>
        <w:rPr>
          <w:rStyle w:val="VerbatimChar"/>
        </w:rPr>
        <w:t>E81_Transformation</w:t>
      </w:r>
      <w:r>
        <w:t>) a transformé (</w:t>
      </w:r>
      <w:r>
        <w:rPr>
          <w:rStyle w:val="VerbatimChar"/>
        </w:rPr>
        <w:t>P124_a_transformé</w:t>
      </w:r>
      <w:r>
        <w:t>) certains habitants de Pompéi (</w:t>
      </w:r>
      <w:r>
        <w:rPr>
          <w:rStyle w:val="VerbatimChar"/>
        </w:rPr>
        <w:t>E21_Personne</w:t>
      </w:r>
      <w:r>
        <w:t>) [ET : a été la mort de (</w:t>
      </w:r>
      <w:r>
        <w:rPr>
          <w:rStyle w:val="VerbatimChar"/>
        </w:rPr>
        <w:t>P100_a_été_la_mort_de</w:t>
      </w:r>
      <w:r>
        <w:t>) certains habitants de Pompéi (</w:t>
      </w:r>
      <w:r>
        <w:rPr>
          <w:rStyle w:val="VerbatimChar"/>
        </w:rPr>
        <w:t>E21_Personne</w:t>
      </w:r>
      <w:r>
        <w:t>)]</w:t>
      </w:r>
    </w:p>
    <w:p w14:paraId="497E2236" w14:textId="77777777" w:rsidR="0084489F" w:rsidRDefault="00110FE6">
      <w:pPr>
        <w:pStyle w:val="FirstParagraph"/>
      </w:pPr>
      <w:r>
        <w:rPr>
          <w:b/>
          <w:bCs/>
        </w:rPr>
        <w:t>Logique</w:t>
      </w:r>
    </w:p>
    <w:p w14:paraId="06F35BA5" w14:textId="77777777" w:rsidR="0084489F" w:rsidRDefault="00110FE6">
      <w:pPr>
        <w:pStyle w:val="BodyText"/>
      </w:pPr>
      <w:r w:rsidRPr="1B9E7434">
        <w:rPr>
          <w:lang w:val="fr-FR"/>
        </w:rPr>
        <w:t>P124(x,y) ⇒ E81(x)</w:t>
      </w:r>
    </w:p>
    <w:p w14:paraId="410F7D3E" w14:textId="77777777" w:rsidR="0084489F" w:rsidRDefault="00110FE6">
      <w:pPr>
        <w:pStyle w:val="BodyText"/>
      </w:pPr>
      <w:r w:rsidRPr="1B9E7434">
        <w:rPr>
          <w:lang w:val="fr-FR"/>
        </w:rPr>
        <w:t>P124(x,y) ⇒ E18(y)</w:t>
      </w:r>
    </w:p>
    <w:p w14:paraId="0A448520" w14:textId="77777777" w:rsidR="0084489F" w:rsidRDefault="00110FE6">
      <w:pPr>
        <w:pStyle w:val="BodyText"/>
      </w:pPr>
      <w:r w:rsidRPr="1B9E7434">
        <w:rPr>
          <w:lang w:val="fr-FR"/>
        </w:rPr>
        <w:t>P124(x,y) ⇒ P93(x,y)</w:t>
      </w:r>
    </w:p>
    <w:p w14:paraId="01B3C8B0" w14:textId="77777777" w:rsidR="0084489F" w:rsidRDefault="00110FE6">
      <w:pPr>
        <w:pStyle w:val="BodyText"/>
      </w:pPr>
      <w:r>
        <w:rPr>
          <w:b/>
          <w:bCs/>
        </w:rPr>
        <w:t>Propriétés</w:t>
      </w:r>
    </w:p>
    <w:p w14:paraId="6926B3EB" w14:textId="77777777" w:rsidR="0084489F" w:rsidRDefault="00110FE6">
      <w:pPr>
        <w:pStyle w:val="BlockText"/>
      </w:pPr>
      <w:r>
        <w:rPr>
          <w:b/>
          <w:bCs/>
          <w:i/>
          <w:iCs/>
        </w:rPr>
        <w:t>Note de traduction</w:t>
      </w:r>
    </w:p>
    <w:p w14:paraId="0CD1301E" w14:textId="77777777" w:rsidR="0084489F" w:rsidRDefault="00110FE6">
      <w:pPr>
        <w:pStyle w:val="BlockText"/>
      </w:pPr>
      <w:r>
        <w:rPr>
          <w:b/>
          <w:bCs/>
          <w:i/>
          <w:iCs/>
        </w:rPr>
        <w:t>Références</w:t>
      </w:r>
    </w:p>
    <w:p w14:paraId="502FAF09" w14:textId="77777777" w:rsidR="0084489F" w:rsidRDefault="0084489F">
      <w:pPr>
        <w:pStyle w:val="BlockText"/>
      </w:pPr>
    </w:p>
    <w:p w14:paraId="505AD8B1" w14:textId="77777777" w:rsidR="0084489F" w:rsidRDefault="00110FE6">
      <w:pPr>
        <w:pStyle w:val="Heading2"/>
      </w:pPr>
      <w:bookmarkStart w:id="474" w:name="_Toc176864617"/>
      <w:bookmarkStart w:id="475" w:name="Xa9406f0bb4a7da791160a1a4bd86dfff57af609"/>
      <w:bookmarkEnd w:id="473"/>
      <w:r>
        <w:t>P125 a mobilisé l’objet du type (a été le type d’objet employé pour)</w:t>
      </w:r>
      <w:bookmarkEnd w:id="474"/>
    </w:p>
    <w:p w14:paraId="4837D1C5" w14:textId="77777777" w:rsidR="0084489F" w:rsidRDefault="00110FE6">
      <w:pPr>
        <w:pStyle w:val="FirstParagraph"/>
      </w:pPr>
      <w:r>
        <w:rPr>
          <w:b/>
          <w:bCs/>
        </w:rPr>
        <w:t>Domaine</w:t>
      </w:r>
    </w:p>
    <w:p w14:paraId="207759BF" w14:textId="77777777" w:rsidR="0084489F" w:rsidRDefault="00110FE6">
      <w:pPr>
        <w:pStyle w:val="BodyText"/>
      </w:pPr>
      <w:r>
        <w:rPr>
          <w:rStyle w:val="VerbatimChar"/>
        </w:rPr>
        <w:t>E7_Activité</w:t>
      </w:r>
    </w:p>
    <w:p w14:paraId="1DBAAC6F" w14:textId="77777777" w:rsidR="0084489F" w:rsidRDefault="00110FE6">
      <w:pPr>
        <w:pStyle w:val="BodyText"/>
      </w:pPr>
      <w:r>
        <w:rPr>
          <w:b/>
          <w:bCs/>
        </w:rPr>
        <w:t>Portée</w:t>
      </w:r>
    </w:p>
    <w:p w14:paraId="1D75F312" w14:textId="77777777" w:rsidR="0084489F" w:rsidRDefault="00110FE6">
      <w:pPr>
        <w:pStyle w:val="BodyText"/>
      </w:pPr>
      <w:r>
        <w:rPr>
          <w:rStyle w:val="VerbatimChar"/>
        </w:rPr>
        <w:t>E55_Type</w:t>
      </w:r>
    </w:p>
    <w:p w14:paraId="50FABDB9" w14:textId="77777777" w:rsidR="0084489F" w:rsidRDefault="00110FE6">
      <w:pPr>
        <w:pStyle w:val="BodyText"/>
      </w:pPr>
      <w:r>
        <w:rPr>
          <w:b/>
          <w:bCs/>
        </w:rPr>
        <w:t>Sous-propriété de</w:t>
      </w:r>
    </w:p>
    <w:p w14:paraId="3E4D4749" w14:textId="77777777" w:rsidR="0084489F" w:rsidRDefault="00110FE6">
      <w:pPr>
        <w:pStyle w:val="BodyText"/>
      </w:pPr>
      <w:r>
        <w:rPr>
          <w:b/>
          <w:bCs/>
        </w:rPr>
        <w:t>Super-propriété de</w:t>
      </w:r>
    </w:p>
    <w:p w14:paraId="35B496A2" w14:textId="77777777" w:rsidR="0084489F" w:rsidRDefault="00110FE6">
      <w:pPr>
        <w:pStyle w:val="BodyText"/>
      </w:pPr>
      <w:r w:rsidRPr="1B9E7434">
        <w:rPr>
          <w:rStyle w:val="VerbatimChar"/>
          <w:lang w:val="fr-FR"/>
        </w:rPr>
        <w:t>E7_Activité</w:t>
      </w:r>
      <w:r w:rsidRPr="1B9E7434">
        <w:rPr>
          <w:lang w:val="fr-FR"/>
        </w:rPr>
        <w:t xml:space="preserve"> . </w:t>
      </w:r>
      <w:r w:rsidRPr="1B9E7434">
        <w:rPr>
          <w:rStyle w:val="VerbatimChar"/>
          <w:lang w:val="fr-FR"/>
        </w:rPr>
        <w:t>P32_a_mobilisé_comme_technique_générale (a_été_la_technique_générale_mise_en_œuvre_dans)</w:t>
      </w:r>
      <w:r w:rsidRPr="1B9E7434">
        <w:rPr>
          <w:lang w:val="fr-FR"/>
        </w:rPr>
        <w:t xml:space="preserve"> : </w:t>
      </w:r>
      <w:r w:rsidRPr="1B9E7434">
        <w:rPr>
          <w:rStyle w:val="VerbatimChar"/>
          <w:lang w:val="fr-FR"/>
        </w:rPr>
        <w:t>E55_Type</w:t>
      </w:r>
    </w:p>
    <w:p w14:paraId="6C0399E5" w14:textId="77777777" w:rsidR="0084489F" w:rsidRDefault="00110FE6">
      <w:pPr>
        <w:pStyle w:val="BodyText"/>
      </w:pPr>
      <w:r>
        <w:rPr>
          <w:b/>
          <w:bCs/>
        </w:rPr>
        <w:lastRenderedPageBreak/>
        <w:t>Quantification</w:t>
      </w:r>
    </w:p>
    <w:p w14:paraId="6133C63F" w14:textId="77777777" w:rsidR="0084489F" w:rsidRDefault="00110FE6">
      <w:pPr>
        <w:pStyle w:val="BodyText"/>
      </w:pPr>
      <w:r w:rsidRPr="1B9E7434">
        <w:rPr>
          <w:lang w:val="fr-FR"/>
        </w:rPr>
        <w:t>plusieurs à plusieurs (0,n:0,n)</w:t>
      </w:r>
    </w:p>
    <w:p w14:paraId="1A4959FF" w14:textId="77777777" w:rsidR="0084489F" w:rsidRDefault="00110FE6">
      <w:pPr>
        <w:pStyle w:val="BodyText"/>
      </w:pPr>
      <w:r>
        <w:rPr>
          <w:b/>
          <w:bCs/>
        </w:rPr>
        <w:t>Note d’application</w:t>
      </w:r>
    </w:p>
    <w:p w14:paraId="0B0E4FD3" w14:textId="77777777" w:rsidR="0084489F" w:rsidRDefault="00110FE6">
      <w:pPr>
        <w:pStyle w:val="BodyText"/>
      </w:pPr>
      <w:r w:rsidRPr="1B9E7434">
        <w:rPr>
          <w:lang w:val="fr-FR"/>
        </w:rPr>
        <w:t xml:space="preserve">Cette propriété associe une instance de </w:t>
      </w:r>
      <w:r w:rsidRPr="1B9E7434">
        <w:rPr>
          <w:rStyle w:val="VerbatimChar"/>
          <w:lang w:val="fr-FR"/>
        </w:rPr>
        <w:t>E7_Activité</w:t>
      </w:r>
      <w:r w:rsidRPr="1B9E7434">
        <w:rPr>
          <w:lang w:val="fr-FR"/>
        </w:rPr>
        <w:t xml:space="preserve"> à une instance de </w:t>
      </w:r>
      <w:r w:rsidRPr="1B9E7434">
        <w:rPr>
          <w:rStyle w:val="VerbatimChar"/>
          <w:lang w:val="fr-FR"/>
        </w:rPr>
        <w:t>E55_Type</w:t>
      </w:r>
      <w:r w:rsidRPr="1B9E7434">
        <w:rPr>
          <w:lang w:val="fr-FR"/>
        </w:rPr>
        <w:t xml:space="preserve">. </w:t>
      </w:r>
      <w:r w:rsidRPr="1B9E7434">
        <w:rPr>
          <w:rStyle w:val="VerbatimChar"/>
          <w:lang w:val="fr-FR"/>
        </w:rPr>
        <w:t>P125_a_mobilisé_l'objet_du_type (a_été_le_type_d’objet_employé_pour)</w:t>
      </w:r>
      <w:r w:rsidRPr="1B9E7434">
        <w:rPr>
          <w:lang w:val="fr-FR"/>
        </w:rPr>
        <w:t xml:space="preserve"> est utilisée pour classifier, avec une instance de </w:t>
      </w:r>
      <w:r w:rsidRPr="1B9E7434">
        <w:rPr>
          <w:rStyle w:val="VerbatimChar"/>
          <w:lang w:val="fr-FR"/>
        </w:rPr>
        <w:t>E55_Type</w:t>
      </w:r>
      <w:r w:rsidRPr="1B9E7434">
        <w:rPr>
          <w:lang w:val="fr-FR"/>
        </w:rPr>
        <w:t xml:space="preserve">, une instance de </w:t>
      </w:r>
      <w:r w:rsidRPr="1B9E7434">
        <w:rPr>
          <w:rStyle w:val="VerbatimChar"/>
          <w:lang w:val="fr-FR"/>
        </w:rPr>
        <w:t>E70_Chose</w:t>
      </w:r>
      <w:r w:rsidRPr="1B9E7434">
        <w:rPr>
          <w:lang w:val="fr-FR"/>
        </w:rPr>
        <w:t xml:space="preserve"> utilisée dans une instance de </w:t>
      </w:r>
      <w:r w:rsidRPr="1B9E7434">
        <w:rPr>
          <w:rStyle w:val="VerbatimChar"/>
          <w:lang w:val="fr-FR"/>
        </w:rPr>
        <w:t>E7_Activité</w:t>
      </w:r>
      <w:r w:rsidRPr="1B9E7434">
        <w:rPr>
          <w:lang w:val="fr-FR"/>
        </w:rPr>
        <w:t xml:space="preserve"> lorsque la nature spécifique de cette instance de </w:t>
      </w:r>
      <w:r w:rsidRPr="1B9E7434">
        <w:rPr>
          <w:rStyle w:val="VerbatimChar"/>
          <w:lang w:val="fr-FR"/>
        </w:rPr>
        <w:t>E70_Chose</w:t>
      </w:r>
      <w:r w:rsidRPr="1B9E7434">
        <w:rPr>
          <w:lang w:val="fr-FR"/>
        </w:rPr>
        <w:t xml:space="preserve"> ne présente pas d’intérêt ou est inconnue, comme l'utilisation d'« un marteau ».</w:t>
      </w:r>
    </w:p>
    <w:p w14:paraId="3F19105E" w14:textId="77777777" w:rsidR="0084489F" w:rsidRDefault="00110FE6">
      <w:pPr>
        <w:pStyle w:val="BodyText"/>
      </w:pPr>
      <w:r>
        <w:t xml:space="preserve">Cette propriété est un raccourci du chemin sémantique suivant </w:t>
      </w:r>
      <w:r>
        <w:rPr>
          <w:rStyle w:val="VerbatimChar"/>
        </w:rPr>
        <w:t>E7_Activité</w:t>
      </w:r>
      <w:r>
        <w:t xml:space="preserve">. </w:t>
      </w:r>
      <w:r>
        <w:rPr>
          <w:rStyle w:val="VerbatimChar"/>
        </w:rPr>
        <w:t>P16_a_mobilisé_l’objet_spécifique</w:t>
      </w:r>
      <w:r>
        <w:t xml:space="preserve"> : </w:t>
      </w:r>
      <w:r>
        <w:rPr>
          <w:rStyle w:val="VerbatimChar"/>
        </w:rPr>
        <w:t>E70_Chose</w:t>
      </w:r>
      <w:r>
        <w:t xml:space="preserve">. </w:t>
      </w:r>
      <w:r>
        <w:rPr>
          <w:rStyle w:val="VerbatimChar"/>
        </w:rPr>
        <w:t>P2_a_pour_type</w:t>
      </w:r>
      <w:r>
        <w:t xml:space="preserve"> : </w:t>
      </w:r>
      <w:r>
        <w:rPr>
          <w:rStyle w:val="VerbatimChar"/>
        </w:rPr>
        <w:t>E55_Type</w:t>
      </w:r>
      <w:r>
        <w:t>.</w:t>
      </w:r>
    </w:p>
    <w:p w14:paraId="3F95C143" w14:textId="77777777" w:rsidR="0084489F" w:rsidRDefault="00110FE6">
      <w:pPr>
        <w:pStyle w:val="BodyText"/>
      </w:pPr>
      <w:r>
        <w:rPr>
          <w:b/>
          <w:bCs/>
        </w:rPr>
        <w:t>Exemples</w:t>
      </w:r>
    </w:p>
    <w:p w14:paraId="6F23FC62" w14:textId="77777777" w:rsidR="0084489F" w:rsidRDefault="00110FE6" w:rsidP="00806324">
      <w:pPr>
        <w:numPr>
          <w:ilvl w:val="0"/>
          <w:numId w:val="237"/>
        </w:numPr>
      </w:pPr>
      <w:r>
        <w:t>Les activités des archers anglais lors de la bataille d’Azincourt (</w:t>
      </w:r>
      <w:r>
        <w:rPr>
          <w:rStyle w:val="VerbatimChar"/>
        </w:rPr>
        <w:t>E7_Activité</w:t>
      </w:r>
      <w:r>
        <w:t>) ont mobilisé les objets du type (</w:t>
      </w:r>
      <w:r>
        <w:rPr>
          <w:rStyle w:val="VerbatimChar"/>
        </w:rPr>
        <w:t>P125_a_mobilisé_l'objet_du_type</w:t>
      </w:r>
      <w:r>
        <w:t>) « arc long » (</w:t>
      </w:r>
      <w:r>
        <w:rPr>
          <w:rStyle w:val="VerbatimChar"/>
        </w:rPr>
        <w:t>E55_Type</w:t>
      </w:r>
      <w:r>
        <w:t>) (Curry, 2015)</w:t>
      </w:r>
    </w:p>
    <w:p w14:paraId="52961BA9" w14:textId="77777777" w:rsidR="0084489F" w:rsidRDefault="00110FE6">
      <w:pPr>
        <w:pStyle w:val="FirstParagraph"/>
      </w:pPr>
      <w:r>
        <w:rPr>
          <w:b/>
          <w:bCs/>
        </w:rPr>
        <w:t>Logique</w:t>
      </w:r>
    </w:p>
    <w:p w14:paraId="63AFF723" w14:textId="77777777" w:rsidR="0084489F" w:rsidRDefault="00110FE6">
      <w:pPr>
        <w:pStyle w:val="BodyText"/>
      </w:pPr>
      <w:r w:rsidRPr="1B9E7434">
        <w:rPr>
          <w:lang w:val="fr-FR"/>
        </w:rPr>
        <w:t>P125(x,y) ⇒ E7(x)</w:t>
      </w:r>
    </w:p>
    <w:p w14:paraId="70A8E443" w14:textId="77777777" w:rsidR="0084489F" w:rsidRDefault="00110FE6">
      <w:pPr>
        <w:pStyle w:val="BodyText"/>
      </w:pPr>
      <w:r w:rsidRPr="1B9E7434">
        <w:rPr>
          <w:lang w:val="fr-FR"/>
        </w:rPr>
        <w:t>P125(x,y) ⇒ E55(y)</w:t>
      </w:r>
    </w:p>
    <w:p w14:paraId="1A49C36C" w14:textId="77777777" w:rsidR="0084489F" w:rsidRDefault="00110FE6">
      <w:pPr>
        <w:pStyle w:val="BodyText"/>
      </w:pPr>
      <w:r w:rsidRPr="1B9E7434">
        <w:rPr>
          <w:lang w:val="fr-FR"/>
        </w:rPr>
        <w:t>P125(x,y) ⇔ (∃z) [E70(z) ∧ P16(x,z) ∧ P2(z,y)]</w:t>
      </w:r>
    </w:p>
    <w:p w14:paraId="1ADABB10" w14:textId="77777777" w:rsidR="0084489F" w:rsidRDefault="00110FE6">
      <w:pPr>
        <w:pStyle w:val="BodyText"/>
      </w:pPr>
      <w:r>
        <w:rPr>
          <w:b/>
          <w:bCs/>
        </w:rPr>
        <w:t>Propriétés</w:t>
      </w:r>
    </w:p>
    <w:p w14:paraId="54470A76" w14:textId="77777777" w:rsidR="0084489F" w:rsidRDefault="00110FE6">
      <w:pPr>
        <w:pStyle w:val="BlockText"/>
      </w:pPr>
      <w:r>
        <w:rPr>
          <w:b/>
          <w:bCs/>
          <w:i/>
          <w:iCs/>
        </w:rPr>
        <w:t>Note de traduction</w:t>
      </w:r>
    </w:p>
    <w:p w14:paraId="44692CCE" w14:textId="77777777" w:rsidR="0084489F" w:rsidRDefault="00110FE6">
      <w:pPr>
        <w:pStyle w:val="BlockText"/>
      </w:pPr>
      <w:r>
        <w:rPr>
          <w:b/>
          <w:bCs/>
          <w:i/>
          <w:iCs/>
        </w:rPr>
        <w:t>Références</w:t>
      </w:r>
    </w:p>
    <w:p w14:paraId="11E8AFCF" w14:textId="77777777" w:rsidR="0084489F" w:rsidRDefault="0084489F">
      <w:pPr>
        <w:pStyle w:val="BlockText"/>
      </w:pPr>
    </w:p>
    <w:p w14:paraId="26AD4AED" w14:textId="77777777" w:rsidR="0084489F" w:rsidRDefault="00110FE6">
      <w:pPr>
        <w:pStyle w:val="Heading2"/>
      </w:pPr>
      <w:bookmarkStart w:id="476" w:name="_Toc176864618"/>
      <w:bookmarkStart w:id="477" w:name="p126-a-employe-(a-ete-employe-dans)"/>
      <w:bookmarkEnd w:id="475"/>
      <w:r>
        <w:t>P126 a employé (a été employé dans)</w:t>
      </w:r>
      <w:bookmarkEnd w:id="476"/>
    </w:p>
    <w:p w14:paraId="61203ED0" w14:textId="77777777" w:rsidR="0084489F" w:rsidRDefault="00110FE6">
      <w:pPr>
        <w:pStyle w:val="FirstParagraph"/>
      </w:pPr>
      <w:r>
        <w:rPr>
          <w:b/>
          <w:bCs/>
        </w:rPr>
        <w:t>Domaine</w:t>
      </w:r>
    </w:p>
    <w:p w14:paraId="2D168DCD" w14:textId="77777777" w:rsidR="0084489F" w:rsidRDefault="00110FE6">
      <w:pPr>
        <w:pStyle w:val="BodyText"/>
      </w:pPr>
      <w:r>
        <w:rPr>
          <w:rStyle w:val="VerbatimChar"/>
        </w:rPr>
        <w:t>E11_Modification</w:t>
      </w:r>
    </w:p>
    <w:p w14:paraId="554ABBF3" w14:textId="77777777" w:rsidR="0084489F" w:rsidRDefault="00110FE6">
      <w:pPr>
        <w:pStyle w:val="BodyText"/>
      </w:pPr>
      <w:r>
        <w:rPr>
          <w:b/>
          <w:bCs/>
        </w:rPr>
        <w:t>Portée</w:t>
      </w:r>
    </w:p>
    <w:p w14:paraId="2F19483F" w14:textId="77777777" w:rsidR="0084489F" w:rsidRDefault="00110FE6">
      <w:pPr>
        <w:pStyle w:val="BodyText"/>
      </w:pPr>
      <w:r>
        <w:rPr>
          <w:rStyle w:val="VerbatimChar"/>
        </w:rPr>
        <w:t>E57_Matériau</w:t>
      </w:r>
    </w:p>
    <w:p w14:paraId="77F57319" w14:textId="77777777" w:rsidR="0084489F" w:rsidRDefault="00110FE6">
      <w:pPr>
        <w:pStyle w:val="BodyText"/>
      </w:pPr>
      <w:r>
        <w:rPr>
          <w:b/>
          <w:bCs/>
        </w:rPr>
        <w:t>Sous-propriété de</w:t>
      </w:r>
    </w:p>
    <w:p w14:paraId="1E4D7A99" w14:textId="77777777" w:rsidR="0084489F" w:rsidRDefault="00110FE6">
      <w:pPr>
        <w:pStyle w:val="BodyText"/>
      </w:pPr>
      <w:r>
        <w:rPr>
          <w:b/>
          <w:bCs/>
        </w:rPr>
        <w:t>Super-propriété de</w:t>
      </w:r>
    </w:p>
    <w:p w14:paraId="1D650472" w14:textId="77777777" w:rsidR="0084489F" w:rsidRDefault="00110FE6">
      <w:pPr>
        <w:pStyle w:val="BodyText"/>
      </w:pPr>
      <w:r>
        <w:rPr>
          <w:b/>
          <w:bCs/>
        </w:rPr>
        <w:t>Quantification</w:t>
      </w:r>
    </w:p>
    <w:p w14:paraId="47683A1E" w14:textId="77777777" w:rsidR="0084489F" w:rsidRDefault="00110FE6">
      <w:pPr>
        <w:pStyle w:val="BodyText"/>
      </w:pPr>
      <w:r w:rsidRPr="1B9E7434">
        <w:rPr>
          <w:lang w:val="fr-FR"/>
        </w:rPr>
        <w:t>plusieurs à plusieurs (0,n:0,n)</w:t>
      </w:r>
    </w:p>
    <w:p w14:paraId="048A6D4A" w14:textId="77777777" w:rsidR="0084489F" w:rsidRDefault="00110FE6">
      <w:pPr>
        <w:pStyle w:val="BodyText"/>
      </w:pPr>
      <w:r>
        <w:rPr>
          <w:b/>
          <w:bCs/>
        </w:rPr>
        <w:t>Note d’application</w:t>
      </w:r>
    </w:p>
    <w:p w14:paraId="4D8F61EF" w14:textId="77777777" w:rsidR="0084489F" w:rsidRDefault="00110FE6">
      <w:pPr>
        <w:pStyle w:val="BodyText"/>
      </w:pPr>
      <w:r>
        <w:t xml:space="preserve">Cette propriété identifie une instance de </w:t>
      </w:r>
      <w:r>
        <w:rPr>
          <w:rStyle w:val="VerbatimChar"/>
        </w:rPr>
        <w:t>E57_Matériau</w:t>
      </w:r>
      <w:r>
        <w:t xml:space="preserve"> employée dans le cadre d'une instance de </w:t>
      </w:r>
      <w:r>
        <w:rPr>
          <w:rStyle w:val="VerbatimChar"/>
        </w:rPr>
        <w:t>E11_Modification</w:t>
      </w:r>
      <w:r>
        <w:t>.</w:t>
      </w:r>
    </w:p>
    <w:p w14:paraId="10ACF48E" w14:textId="77777777" w:rsidR="0084489F" w:rsidRDefault="00110FE6">
      <w:pPr>
        <w:pStyle w:val="BodyText"/>
      </w:pPr>
      <w:r>
        <w:lastRenderedPageBreak/>
        <w:t xml:space="preserve">L'instance de </w:t>
      </w:r>
      <w:r>
        <w:rPr>
          <w:rStyle w:val="VerbatimChar"/>
        </w:rPr>
        <w:t>E57_Matériau</w:t>
      </w:r>
      <w:r>
        <w:t xml:space="preserve"> utilisée dans le cadre de l'instance de </w:t>
      </w:r>
      <w:r>
        <w:rPr>
          <w:rStyle w:val="VerbatimChar"/>
        </w:rPr>
        <w:t>E11_Modification</w:t>
      </w:r>
      <w:r>
        <w:t xml:space="preserve"> n'est pas par défaut incorporée dans l'instance de </w:t>
      </w:r>
      <w:r>
        <w:rPr>
          <w:rStyle w:val="VerbatimChar"/>
        </w:rPr>
        <w:t>E24_Chose_matérielle_élaborée_par_l’humain</w:t>
      </w:r>
      <w:r>
        <w:t xml:space="preserve"> sujette à l'instance de </w:t>
      </w:r>
      <w:r>
        <w:rPr>
          <w:rStyle w:val="VerbatimChar"/>
        </w:rPr>
        <w:t>E11_Modification</w:t>
      </w:r>
      <w:r>
        <w:t>.</w:t>
      </w:r>
    </w:p>
    <w:p w14:paraId="562EA02F" w14:textId="77777777" w:rsidR="0084489F" w:rsidRDefault="00110FE6">
      <w:pPr>
        <w:pStyle w:val="BodyText"/>
      </w:pPr>
      <w:r>
        <w:rPr>
          <w:b/>
          <w:bCs/>
        </w:rPr>
        <w:t>Exemples</w:t>
      </w:r>
    </w:p>
    <w:p w14:paraId="55C4188B" w14:textId="77777777" w:rsidR="0084489F" w:rsidRDefault="00110FE6" w:rsidP="00806324">
      <w:pPr>
        <w:numPr>
          <w:ilvl w:val="0"/>
          <w:numId w:val="238"/>
        </w:numPr>
      </w:pPr>
      <w:r>
        <w:t>La réparation du RMS Queen Mary (</w:t>
      </w:r>
      <w:r>
        <w:rPr>
          <w:rStyle w:val="VerbatimChar"/>
        </w:rPr>
        <w:t>E11_Modification</w:t>
      </w:r>
      <w:r>
        <w:t>) a employé (</w:t>
      </w:r>
      <w:r>
        <w:rPr>
          <w:rStyle w:val="VerbatimChar"/>
        </w:rPr>
        <w:t>P126_a_employé</w:t>
      </w:r>
      <w:r>
        <w:t>) de l'acier (</w:t>
      </w:r>
      <w:r>
        <w:rPr>
          <w:rStyle w:val="VerbatimChar"/>
        </w:rPr>
        <w:t>E57_Matériau</w:t>
      </w:r>
      <w:r>
        <w:t>) [à compter d'octobre 1942] (Britton, 2012)</w:t>
      </w:r>
    </w:p>
    <w:p w14:paraId="5EEE74CB" w14:textId="5EFA19C7" w:rsidR="0084489F" w:rsidRDefault="00110FE6" w:rsidP="00806324">
      <w:pPr>
        <w:numPr>
          <w:ilvl w:val="0"/>
          <w:numId w:val="238"/>
        </w:numPr>
      </w:pPr>
      <w:r w:rsidRPr="1B9E7434">
        <w:rPr>
          <w:lang w:val="fr-FR"/>
        </w:rPr>
        <w:t>De l'eau distillée (</w:t>
      </w:r>
      <w:r w:rsidRPr="1B9E7434">
        <w:rPr>
          <w:rStyle w:val="VerbatimChar"/>
          <w:lang w:val="fr-FR"/>
        </w:rPr>
        <w:t>E57_Matériau</w:t>
      </w:r>
      <w:r w:rsidRPr="1B9E7434">
        <w:rPr>
          <w:lang w:val="fr-FR"/>
        </w:rPr>
        <w:t>) a été employée (</w:t>
      </w:r>
      <w:r w:rsidRPr="1B9E7434">
        <w:rPr>
          <w:rStyle w:val="VerbatimChar"/>
          <w:lang w:val="fr-FR"/>
        </w:rPr>
        <w:t>P126i_a_été_employé_dans</w:t>
      </w:r>
      <w:r w:rsidRPr="1B9E7434">
        <w:rPr>
          <w:lang w:val="fr-FR"/>
        </w:rPr>
        <w:t>) dans la restauration de la chapelle Sixtine (</w:t>
      </w:r>
      <w:r w:rsidRPr="1B9E7434">
        <w:rPr>
          <w:rStyle w:val="VerbatimChar"/>
          <w:lang w:val="fr-FR"/>
        </w:rPr>
        <w:t>E11_Modification</w:t>
      </w:r>
      <w:r w:rsidRPr="1B9E7434">
        <w:rPr>
          <w:lang w:val="fr-FR"/>
        </w:rPr>
        <w:t>) (Pietrangeli, 1986)</w:t>
      </w:r>
    </w:p>
    <w:p w14:paraId="7D0389F3" w14:textId="77777777" w:rsidR="0084489F" w:rsidRDefault="00110FE6">
      <w:pPr>
        <w:pStyle w:val="FirstParagraph"/>
      </w:pPr>
      <w:r>
        <w:rPr>
          <w:b/>
          <w:bCs/>
        </w:rPr>
        <w:t>Logique</w:t>
      </w:r>
    </w:p>
    <w:p w14:paraId="0BD0394C" w14:textId="77777777" w:rsidR="0084489F" w:rsidRDefault="00110FE6">
      <w:pPr>
        <w:pStyle w:val="BodyText"/>
      </w:pPr>
      <w:r w:rsidRPr="1B9E7434">
        <w:rPr>
          <w:lang w:val="fr-FR"/>
        </w:rPr>
        <w:t>P126(x,y) ⇒ E11(x)</w:t>
      </w:r>
    </w:p>
    <w:p w14:paraId="4E32E290" w14:textId="77777777" w:rsidR="0084489F" w:rsidRDefault="00110FE6">
      <w:pPr>
        <w:pStyle w:val="BodyText"/>
      </w:pPr>
      <w:r w:rsidRPr="1B9E7434">
        <w:rPr>
          <w:lang w:val="fr-FR"/>
        </w:rPr>
        <w:t>P126(x,y) ⇒ E57(y)</w:t>
      </w:r>
    </w:p>
    <w:p w14:paraId="112A92DF" w14:textId="77777777" w:rsidR="0084489F" w:rsidRDefault="00110FE6">
      <w:pPr>
        <w:pStyle w:val="BodyText"/>
      </w:pPr>
      <w:r>
        <w:rPr>
          <w:b/>
          <w:bCs/>
        </w:rPr>
        <w:t>Propriétés</w:t>
      </w:r>
    </w:p>
    <w:p w14:paraId="29511F59" w14:textId="77777777" w:rsidR="0084489F" w:rsidRDefault="00110FE6">
      <w:pPr>
        <w:pStyle w:val="BlockText"/>
      </w:pPr>
      <w:r>
        <w:rPr>
          <w:b/>
          <w:bCs/>
          <w:i/>
          <w:iCs/>
        </w:rPr>
        <w:t>Note de traduction</w:t>
      </w:r>
    </w:p>
    <w:p w14:paraId="282C64DD" w14:textId="77777777" w:rsidR="0084489F" w:rsidRDefault="00110FE6">
      <w:pPr>
        <w:pStyle w:val="BlockText"/>
      </w:pPr>
      <w:r>
        <w:rPr>
          <w:b/>
          <w:bCs/>
          <w:i/>
          <w:iCs/>
        </w:rPr>
        <w:t>Références</w:t>
      </w:r>
    </w:p>
    <w:p w14:paraId="4A26295B" w14:textId="77777777" w:rsidR="0084489F" w:rsidRDefault="0084489F">
      <w:pPr>
        <w:pStyle w:val="BlockText"/>
      </w:pPr>
    </w:p>
    <w:p w14:paraId="350D754E" w14:textId="77777777" w:rsidR="0084489F" w:rsidRDefault="00110FE6">
      <w:pPr>
        <w:pStyle w:val="Heading2"/>
      </w:pPr>
      <w:bookmarkStart w:id="478" w:name="_Toc176864619"/>
      <w:bookmarkStart w:id="479" w:name="X094737d87bf72b57170c273be8da954cc0b43e2"/>
      <w:bookmarkEnd w:id="477"/>
      <w:r>
        <w:t>P127 a pour terme général (a pour terme spécifique)</w:t>
      </w:r>
      <w:bookmarkEnd w:id="478"/>
    </w:p>
    <w:p w14:paraId="605A04BB" w14:textId="77777777" w:rsidR="0084489F" w:rsidRDefault="00110FE6">
      <w:pPr>
        <w:pStyle w:val="FirstParagraph"/>
      </w:pPr>
      <w:r>
        <w:rPr>
          <w:b/>
          <w:bCs/>
        </w:rPr>
        <w:t>Domaine</w:t>
      </w:r>
    </w:p>
    <w:p w14:paraId="78745A23" w14:textId="77777777" w:rsidR="0084489F" w:rsidRDefault="00110FE6">
      <w:pPr>
        <w:pStyle w:val="BodyText"/>
      </w:pPr>
      <w:r>
        <w:rPr>
          <w:rStyle w:val="VerbatimChar"/>
        </w:rPr>
        <w:t>E55_Type</w:t>
      </w:r>
    </w:p>
    <w:p w14:paraId="22B2F99C" w14:textId="77777777" w:rsidR="0084489F" w:rsidRDefault="00110FE6">
      <w:pPr>
        <w:pStyle w:val="BodyText"/>
      </w:pPr>
      <w:r>
        <w:rPr>
          <w:b/>
          <w:bCs/>
        </w:rPr>
        <w:t>Portée</w:t>
      </w:r>
    </w:p>
    <w:p w14:paraId="471EAA1E" w14:textId="77777777" w:rsidR="0084489F" w:rsidRDefault="00110FE6">
      <w:pPr>
        <w:pStyle w:val="BodyText"/>
      </w:pPr>
      <w:r>
        <w:rPr>
          <w:rStyle w:val="VerbatimChar"/>
        </w:rPr>
        <w:t>E55_Type</w:t>
      </w:r>
    </w:p>
    <w:p w14:paraId="7E710F92" w14:textId="77777777" w:rsidR="0084489F" w:rsidRDefault="00110FE6">
      <w:pPr>
        <w:pStyle w:val="BodyText"/>
      </w:pPr>
      <w:r>
        <w:rPr>
          <w:b/>
          <w:bCs/>
        </w:rPr>
        <w:t>Sous-propriété de</w:t>
      </w:r>
    </w:p>
    <w:p w14:paraId="526F499A" w14:textId="77777777" w:rsidR="0084489F" w:rsidRDefault="00110FE6">
      <w:pPr>
        <w:pStyle w:val="BodyText"/>
      </w:pPr>
      <w:r>
        <w:rPr>
          <w:b/>
          <w:bCs/>
        </w:rPr>
        <w:t>Super-propriété de</w:t>
      </w:r>
    </w:p>
    <w:p w14:paraId="126772A3" w14:textId="77777777" w:rsidR="0084489F" w:rsidRDefault="00110FE6">
      <w:pPr>
        <w:pStyle w:val="BodyText"/>
      </w:pPr>
      <w:r>
        <w:rPr>
          <w:b/>
          <w:bCs/>
        </w:rPr>
        <w:t>Quantification</w:t>
      </w:r>
    </w:p>
    <w:p w14:paraId="25A59AF4" w14:textId="77777777" w:rsidR="0084489F" w:rsidRDefault="00110FE6">
      <w:pPr>
        <w:pStyle w:val="BodyText"/>
      </w:pPr>
      <w:r w:rsidRPr="1B9E7434">
        <w:rPr>
          <w:lang w:val="fr-FR"/>
        </w:rPr>
        <w:t>plusieurs à plusieurs (0,n:0,n)</w:t>
      </w:r>
    </w:p>
    <w:p w14:paraId="5D363DE8" w14:textId="77777777" w:rsidR="0084489F" w:rsidRDefault="00110FE6">
      <w:pPr>
        <w:pStyle w:val="BodyText"/>
      </w:pPr>
      <w:r>
        <w:rPr>
          <w:b/>
          <w:bCs/>
        </w:rPr>
        <w:t>Note d’application</w:t>
      </w:r>
    </w:p>
    <w:p w14:paraId="04F1E120" w14:textId="77777777" w:rsidR="0084489F" w:rsidRDefault="00110FE6">
      <w:pPr>
        <w:pStyle w:val="BodyText"/>
      </w:pPr>
      <w:r>
        <w:t xml:space="preserve">Cette propriété associe une instance de </w:t>
      </w:r>
      <w:r>
        <w:rPr>
          <w:rStyle w:val="VerbatimChar"/>
        </w:rPr>
        <w:t>E55_Type</w:t>
      </w:r>
      <w:r>
        <w:t xml:space="preserve"> à une autre instance de </w:t>
      </w:r>
      <w:r>
        <w:rPr>
          <w:rStyle w:val="VerbatimChar"/>
        </w:rPr>
        <w:t>E55_Type</w:t>
      </w:r>
      <w:r>
        <w:t xml:space="preserve"> qui a une signification plus générale.</w:t>
      </w:r>
    </w:p>
    <w:p w14:paraId="4E56350F" w14:textId="77777777" w:rsidR="0084489F" w:rsidRDefault="00110FE6">
      <w:pPr>
        <w:pStyle w:val="BodyText"/>
      </w:pPr>
      <w:r w:rsidRPr="1B9E7434">
        <w:rPr>
          <w:lang w:val="fr-FR"/>
        </w:rPr>
        <w:t xml:space="preserve">Cette propriété permet aux instances de </w:t>
      </w:r>
      <w:r w:rsidRPr="1B9E7434">
        <w:rPr>
          <w:rStyle w:val="VerbatimChar"/>
          <w:lang w:val="fr-FR"/>
        </w:rPr>
        <w:t>E55_Type</w:t>
      </w:r>
      <w:r w:rsidRPr="1B9E7434">
        <w:rPr>
          <w:lang w:val="fr-FR"/>
        </w:rPr>
        <w:t xml:space="preserve"> d’être organisées en hiérarchies. Cela explique le sens du « terme générique (général) (TGG) » tel que défini par la norme ISO 25964-2:2013 (International Organization for Standardization, 2013).</w:t>
      </w:r>
    </w:p>
    <w:p w14:paraId="5C3E4F46" w14:textId="77777777" w:rsidR="0084489F" w:rsidRDefault="00110FE6">
      <w:pPr>
        <w:pStyle w:val="BodyText"/>
      </w:pPr>
      <w:r>
        <w:t>Cette propriété est transitive et asymétrique.</w:t>
      </w:r>
    </w:p>
    <w:p w14:paraId="5D740D90" w14:textId="77777777" w:rsidR="0084489F" w:rsidRDefault="00110FE6">
      <w:pPr>
        <w:pStyle w:val="BodyText"/>
      </w:pPr>
      <w:r>
        <w:rPr>
          <w:b/>
          <w:bCs/>
        </w:rPr>
        <w:t>Exemples</w:t>
      </w:r>
    </w:p>
    <w:p w14:paraId="4839450C" w14:textId="77777777" w:rsidR="0084489F" w:rsidRDefault="00110FE6" w:rsidP="00806324">
      <w:pPr>
        <w:numPr>
          <w:ilvl w:val="0"/>
          <w:numId w:val="239"/>
        </w:numPr>
      </w:pPr>
      <w:r>
        <w:t>La pièce de dix cents (</w:t>
      </w:r>
      <w:r>
        <w:rPr>
          <w:rStyle w:val="VerbatimChar"/>
        </w:rPr>
        <w:t>E55_Type</w:t>
      </w:r>
      <w:r>
        <w:t>) a pour terme général (</w:t>
      </w:r>
      <w:r>
        <w:rPr>
          <w:rStyle w:val="VerbatimChar"/>
        </w:rPr>
        <w:t>P127_a_pour_terme_général</w:t>
      </w:r>
      <w:r>
        <w:t>) monnaie (</w:t>
      </w:r>
      <w:r>
        <w:rPr>
          <w:rStyle w:val="VerbatimChar"/>
        </w:rPr>
        <w:t>E55_Type</w:t>
      </w:r>
      <w:r>
        <w:t>) (Yerkes, 1989)</w:t>
      </w:r>
    </w:p>
    <w:p w14:paraId="581AC13D" w14:textId="77777777" w:rsidR="0084489F" w:rsidRDefault="00110FE6">
      <w:pPr>
        <w:pStyle w:val="FirstParagraph"/>
      </w:pPr>
      <w:r>
        <w:rPr>
          <w:b/>
          <w:bCs/>
        </w:rPr>
        <w:lastRenderedPageBreak/>
        <w:t>Logique</w:t>
      </w:r>
    </w:p>
    <w:p w14:paraId="15741FDF" w14:textId="77777777" w:rsidR="0084489F" w:rsidRDefault="00110FE6">
      <w:pPr>
        <w:pStyle w:val="BodyText"/>
      </w:pPr>
      <w:r w:rsidRPr="1B9E7434">
        <w:rPr>
          <w:lang w:val="fr-FR"/>
        </w:rPr>
        <w:t>P127(x,y) ⇒ E55(x)</w:t>
      </w:r>
    </w:p>
    <w:p w14:paraId="22F77845" w14:textId="77777777" w:rsidR="0084489F" w:rsidRDefault="00110FE6">
      <w:pPr>
        <w:pStyle w:val="BodyText"/>
      </w:pPr>
      <w:r w:rsidRPr="1B9E7434">
        <w:rPr>
          <w:lang w:val="fr-FR"/>
        </w:rPr>
        <w:t>P127(x,y) ⇒ E55(y)</w:t>
      </w:r>
    </w:p>
    <w:p w14:paraId="0ACDA2C5" w14:textId="77777777" w:rsidR="0084489F" w:rsidRDefault="00110FE6">
      <w:pPr>
        <w:pStyle w:val="BodyText"/>
      </w:pPr>
      <w:r w:rsidRPr="1B9E7434">
        <w:rPr>
          <w:lang w:val="fr-FR"/>
        </w:rPr>
        <w:t>[P127(x,y) ∧ P127(y,z)] ⇒ P127(x,z)</w:t>
      </w:r>
    </w:p>
    <w:p w14:paraId="0DEA1FC9" w14:textId="77777777" w:rsidR="0084489F" w:rsidRDefault="00110FE6">
      <w:pPr>
        <w:pStyle w:val="BodyText"/>
      </w:pPr>
      <w:r w:rsidRPr="1B9E7434">
        <w:rPr>
          <w:lang w:val="fr-FR"/>
        </w:rPr>
        <w:t>P127(x,y) ⇒ ¬P127(y,x)</w:t>
      </w:r>
    </w:p>
    <w:p w14:paraId="69D208AE" w14:textId="77777777" w:rsidR="0084489F" w:rsidRDefault="00110FE6">
      <w:pPr>
        <w:pStyle w:val="BodyText"/>
      </w:pPr>
      <w:r>
        <w:rPr>
          <w:b/>
          <w:bCs/>
        </w:rPr>
        <w:t>Propriétés</w:t>
      </w:r>
    </w:p>
    <w:p w14:paraId="39A3F0ED" w14:textId="77777777" w:rsidR="0084489F" w:rsidRDefault="00110FE6">
      <w:pPr>
        <w:pStyle w:val="BlockText"/>
      </w:pPr>
      <w:r>
        <w:rPr>
          <w:b/>
          <w:bCs/>
          <w:i/>
          <w:iCs/>
        </w:rPr>
        <w:t>Note de traduction</w:t>
      </w:r>
    </w:p>
    <w:p w14:paraId="615E7549" w14:textId="77777777" w:rsidR="0084489F" w:rsidRDefault="00110FE6">
      <w:pPr>
        <w:pStyle w:val="BlockText"/>
      </w:pPr>
      <w:r>
        <w:rPr>
          <w:b/>
          <w:bCs/>
          <w:i/>
          <w:iCs/>
        </w:rPr>
        <w:t>Références</w:t>
      </w:r>
    </w:p>
    <w:p w14:paraId="7FC64C67" w14:textId="77777777" w:rsidR="0084489F" w:rsidRDefault="0084489F">
      <w:pPr>
        <w:pStyle w:val="BlockText"/>
      </w:pPr>
    </w:p>
    <w:p w14:paraId="756E1848" w14:textId="77777777" w:rsidR="0084489F" w:rsidRDefault="00110FE6">
      <w:pPr>
        <w:pStyle w:val="Heading2"/>
      </w:pPr>
      <w:bookmarkStart w:id="480" w:name="_Toc176864620"/>
      <w:bookmarkStart w:id="481" w:name="p128-est-le-support-de-(a-pour-support)"/>
      <w:bookmarkEnd w:id="479"/>
      <w:r>
        <w:t>P128 est le support de (a pour support)</w:t>
      </w:r>
      <w:bookmarkEnd w:id="480"/>
    </w:p>
    <w:p w14:paraId="1BA66E94" w14:textId="77777777" w:rsidR="0084489F" w:rsidRDefault="00110FE6">
      <w:pPr>
        <w:pStyle w:val="FirstParagraph"/>
      </w:pPr>
      <w:r>
        <w:rPr>
          <w:b/>
          <w:bCs/>
        </w:rPr>
        <w:t>Domaine</w:t>
      </w:r>
    </w:p>
    <w:p w14:paraId="5AECF74F" w14:textId="77777777" w:rsidR="0084489F" w:rsidRDefault="00110FE6">
      <w:pPr>
        <w:pStyle w:val="BodyText"/>
      </w:pPr>
      <w:r>
        <w:rPr>
          <w:rStyle w:val="VerbatimChar"/>
        </w:rPr>
        <w:t>E18_Chose_matérielle</w:t>
      </w:r>
    </w:p>
    <w:p w14:paraId="4FD87FD8" w14:textId="77777777" w:rsidR="0084489F" w:rsidRDefault="00110FE6">
      <w:pPr>
        <w:pStyle w:val="BodyText"/>
      </w:pPr>
      <w:r>
        <w:rPr>
          <w:b/>
          <w:bCs/>
        </w:rPr>
        <w:t>Portée</w:t>
      </w:r>
    </w:p>
    <w:p w14:paraId="3FAD5BC2" w14:textId="77777777" w:rsidR="0084489F" w:rsidRDefault="00110FE6">
      <w:pPr>
        <w:pStyle w:val="BodyText"/>
      </w:pPr>
      <w:r>
        <w:rPr>
          <w:rStyle w:val="VerbatimChar"/>
        </w:rPr>
        <w:t>E90_Objet_symbolique</w:t>
      </w:r>
    </w:p>
    <w:p w14:paraId="78A5F698" w14:textId="77777777" w:rsidR="0084489F" w:rsidRDefault="00110FE6">
      <w:pPr>
        <w:pStyle w:val="BodyText"/>
      </w:pPr>
      <w:r>
        <w:rPr>
          <w:b/>
          <w:bCs/>
        </w:rPr>
        <w:t>Sous-propriété de</w:t>
      </w:r>
    </w:p>
    <w:p w14:paraId="11F20C40" w14:textId="77777777" w:rsidR="0084489F" w:rsidRDefault="00110FE6">
      <w:pPr>
        <w:pStyle w:val="BodyText"/>
      </w:pPr>
      <w:r w:rsidRPr="1B9E7434">
        <w:rPr>
          <w:rStyle w:val="VerbatimChar"/>
          <w:lang w:val="fr-FR"/>
        </w:rPr>
        <w:t>E70_Chose</w:t>
      </w:r>
      <w:r w:rsidRPr="1B9E7434">
        <w:rPr>
          <w:lang w:val="fr-FR"/>
        </w:rPr>
        <w:t xml:space="preserve">. </w:t>
      </w:r>
      <w:r w:rsidRPr="1B9E7434">
        <w:rPr>
          <w:rStyle w:val="VerbatimChar"/>
          <w:lang w:val="fr-FR"/>
        </w:rPr>
        <w:t>P130_présente_les_caractéristiques_de (a_les_caractéristiques_également_présentes_sur)</w:t>
      </w:r>
      <w:r w:rsidRPr="1B9E7434">
        <w:rPr>
          <w:lang w:val="fr-FR"/>
        </w:rPr>
        <w:t xml:space="preserve"> : </w:t>
      </w:r>
      <w:r w:rsidRPr="1B9E7434">
        <w:rPr>
          <w:rStyle w:val="VerbatimChar"/>
          <w:lang w:val="fr-FR"/>
        </w:rPr>
        <w:t>E70_Chose</w:t>
      </w:r>
    </w:p>
    <w:p w14:paraId="0DCC9D70" w14:textId="77777777" w:rsidR="0084489F" w:rsidRDefault="00110FE6">
      <w:pPr>
        <w:pStyle w:val="BodyText"/>
      </w:pPr>
      <w:r>
        <w:rPr>
          <w:b/>
          <w:bCs/>
        </w:rPr>
        <w:t>Super-propriété de</w:t>
      </w:r>
    </w:p>
    <w:p w14:paraId="7DC08F46" w14:textId="77777777" w:rsidR="0084489F" w:rsidRDefault="00110FE6">
      <w:pPr>
        <w:pStyle w:val="BodyText"/>
      </w:pPr>
      <w:r w:rsidRPr="1B9E7434">
        <w:rPr>
          <w:rStyle w:val="VerbatimChar"/>
          <w:lang w:val="fr-FR"/>
        </w:rPr>
        <w:t>E24_Chose_matérielle_élaborée_par_l’humain</w:t>
      </w:r>
      <w:r w:rsidRPr="1B9E7434">
        <w:rPr>
          <w:lang w:val="fr-FR"/>
        </w:rPr>
        <w:t xml:space="preserve">. </w:t>
      </w:r>
      <w:r w:rsidRPr="1B9E7434">
        <w:rPr>
          <w:rStyle w:val="VerbatimChar"/>
          <w:lang w:val="fr-FR"/>
        </w:rPr>
        <w:t>P65_représente_l’entité_visuelle (est_représenté_par)</w:t>
      </w:r>
      <w:r w:rsidRPr="1B9E7434">
        <w:rPr>
          <w:lang w:val="fr-FR"/>
        </w:rPr>
        <w:t xml:space="preserve"> : </w:t>
      </w:r>
      <w:r w:rsidRPr="1B9E7434">
        <w:rPr>
          <w:rStyle w:val="VerbatimChar"/>
          <w:lang w:val="fr-FR"/>
        </w:rPr>
        <w:t>E36_Entité_visuelle</w:t>
      </w:r>
    </w:p>
    <w:p w14:paraId="5F457C78" w14:textId="77777777" w:rsidR="0084489F" w:rsidRDefault="00110FE6">
      <w:pPr>
        <w:pStyle w:val="BodyText"/>
      </w:pPr>
      <w:r>
        <w:rPr>
          <w:b/>
          <w:bCs/>
        </w:rPr>
        <w:t>Quantification</w:t>
      </w:r>
    </w:p>
    <w:p w14:paraId="07C4F42B" w14:textId="77777777" w:rsidR="0084489F" w:rsidRDefault="00110FE6">
      <w:pPr>
        <w:pStyle w:val="BodyText"/>
      </w:pPr>
      <w:r w:rsidRPr="1B9E7434">
        <w:rPr>
          <w:lang w:val="fr-FR"/>
        </w:rPr>
        <w:t>plusieurs à plusieurs (0,n:0,n)</w:t>
      </w:r>
    </w:p>
    <w:p w14:paraId="29D7D0AB" w14:textId="77777777" w:rsidR="0084489F" w:rsidRDefault="00110FE6">
      <w:pPr>
        <w:pStyle w:val="BodyText"/>
      </w:pPr>
      <w:r>
        <w:rPr>
          <w:b/>
          <w:bCs/>
        </w:rPr>
        <w:t>Note d’application</w:t>
      </w:r>
    </w:p>
    <w:p w14:paraId="576CE8B1" w14:textId="77777777" w:rsidR="0084489F" w:rsidRDefault="00110FE6">
      <w:pPr>
        <w:pStyle w:val="BodyText"/>
      </w:pPr>
      <w:r>
        <w:t xml:space="preserve">Cette propriété identifie une instance de </w:t>
      </w:r>
      <w:r>
        <w:rPr>
          <w:rStyle w:val="VerbatimChar"/>
        </w:rPr>
        <w:t>E90_Objet_symbolique</w:t>
      </w:r>
      <w:r>
        <w:t xml:space="preserve"> qui a pour support une instance de </w:t>
      </w:r>
      <w:r>
        <w:rPr>
          <w:rStyle w:val="VerbatimChar"/>
        </w:rPr>
        <w:t>E18_Chose_matérielle</w:t>
      </w:r>
      <w:r>
        <w:t>.</w:t>
      </w:r>
    </w:p>
    <w:p w14:paraId="0827AD77" w14:textId="77777777" w:rsidR="0084489F" w:rsidRDefault="00110FE6">
      <w:pPr>
        <w:pStyle w:val="BodyText"/>
      </w:pPr>
      <w:r>
        <w:t xml:space="preserve">Puisqu’une instance de </w:t>
      </w:r>
      <w:r>
        <w:rPr>
          <w:rStyle w:val="VerbatimChar"/>
        </w:rPr>
        <w:t>E90_Objet_symbolique</w:t>
      </w:r>
      <w:r>
        <w:t xml:space="preserve"> est définie comme étant une idéalisation immatérielle portée par des supports potentiellement multiples, toute concrétisation spécifique de cette idéalisation sur un support physique peut être défectueuse par rapport à l'idéal visé, en raison d’une détérioration ou de lacunes dans le processus de création de la réalisation.</w:t>
      </w:r>
    </w:p>
    <w:p w14:paraId="75365591" w14:textId="77777777" w:rsidR="0084489F" w:rsidRDefault="00110FE6">
      <w:pPr>
        <w:pStyle w:val="BodyText"/>
      </w:pPr>
      <w:r>
        <w:t xml:space="preserve">Tant que ces défauts n’affectent pas substantiellement la reconnaissance complète de l’objet symbolique, ce dernier est toujours considéré comme porteur d'une instance de </w:t>
      </w:r>
      <w:r>
        <w:rPr>
          <w:rStyle w:val="VerbatimChar"/>
        </w:rPr>
        <w:t>E90_Objet_symbolique</w:t>
      </w:r>
      <w:r>
        <w:t xml:space="preserve">. Si ces défauts présentent un intérêt scientifique, la concrétisation spécifique peut être modélisée comme une instance de </w:t>
      </w:r>
      <w:r>
        <w:rPr>
          <w:rStyle w:val="VerbatimChar"/>
        </w:rPr>
        <w:t>E25_Caractéristique_élaborée_par_l’humain</w:t>
      </w:r>
      <w:r>
        <w:t>.</w:t>
      </w:r>
    </w:p>
    <w:p w14:paraId="407D8360" w14:textId="77777777" w:rsidR="0084489F" w:rsidRDefault="00110FE6">
      <w:pPr>
        <w:pStyle w:val="BodyText"/>
      </w:pPr>
      <w:r w:rsidRPr="1B9E7434">
        <w:rPr>
          <w:lang w:val="fr-FR"/>
        </w:rPr>
        <w:t xml:space="preserve">Il est à noter que toute instance de </w:t>
      </w:r>
      <w:r w:rsidRPr="1B9E7434">
        <w:rPr>
          <w:rStyle w:val="VerbatimChar"/>
          <w:lang w:val="fr-FR"/>
        </w:rPr>
        <w:t>E90_Objet_symbolique</w:t>
      </w:r>
      <w:r w:rsidRPr="1B9E7434">
        <w:rPr>
          <w:lang w:val="fr-FR"/>
        </w:rPr>
        <w:t xml:space="preserve"> incluse dans (</w:t>
      </w:r>
      <w:r w:rsidRPr="1B9E7434">
        <w:rPr>
          <w:rStyle w:val="VerbatimChar"/>
          <w:lang w:val="fr-FR"/>
        </w:rPr>
        <w:t>P165_inclut (est_inclus_dans</w:t>
      </w:r>
      <w:r w:rsidRPr="1B9E7434">
        <w:rPr>
          <w:lang w:val="fr-FR"/>
        </w:rPr>
        <w:t xml:space="preserve">) l'objet symbolique supporté est également supportée par la même instance de </w:t>
      </w:r>
      <w:r w:rsidRPr="1B9E7434">
        <w:rPr>
          <w:rStyle w:val="VerbatimChar"/>
          <w:lang w:val="fr-FR"/>
        </w:rPr>
        <w:t>E18_Chose_matérielle</w:t>
      </w:r>
      <w:r w:rsidRPr="1B9E7434">
        <w:rPr>
          <w:lang w:val="fr-FR"/>
        </w:rPr>
        <w:t>.</w:t>
      </w:r>
    </w:p>
    <w:p w14:paraId="2A25E2B4" w14:textId="77777777" w:rsidR="0084489F" w:rsidRDefault="00110FE6">
      <w:pPr>
        <w:pStyle w:val="BodyText"/>
      </w:pPr>
      <w:r>
        <w:rPr>
          <w:b/>
          <w:bCs/>
        </w:rPr>
        <w:lastRenderedPageBreak/>
        <w:t>Exemples</w:t>
      </w:r>
    </w:p>
    <w:p w14:paraId="0A76CB4A" w14:textId="1D6427BB" w:rsidR="0084489F" w:rsidRDefault="00110FE6" w:rsidP="00806324">
      <w:pPr>
        <w:numPr>
          <w:ilvl w:val="0"/>
          <w:numId w:val="240"/>
        </w:numPr>
      </w:pPr>
      <w:r w:rsidRPr="1B9E7434">
        <w:rPr>
          <w:lang w:val="fr-FR"/>
        </w:rPr>
        <w:t xml:space="preserve">L’exemplaire broché de </w:t>
      </w:r>
      <w:r w:rsidRPr="1B9E7434">
        <w:rPr>
          <w:i/>
          <w:iCs/>
          <w:lang w:val="fr-FR"/>
        </w:rPr>
        <w:t>Reach for the Sky</w:t>
      </w:r>
      <w:r w:rsidRPr="1B9E7434">
        <w:rPr>
          <w:lang w:val="fr-FR"/>
        </w:rPr>
        <w:t xml:space="preserve"> (</w:t>
      </w:r>
      <w:r w:rsidRPr="1B9E7434">
        <w:rPr>
          <w:rStyle w:val="VerbatimChar"/>
          <w:lang w:val="fr-FR"/>
        </w:rPr>
        <w:t>E18_Chose_matérielle</w:t>
      </w:r>
      <w:r w:rsidRPr="1B9E7434">
        <w:rPr>
          <w:lang w:val="fr-FR"/>
        </w:rPr>
        <w:t>) que possède Mathieu est le support (</w:t>
      </w:r>
      <w:r w:rsidRPr="1B9E7434">
        <w:rPr>
          <w:rStyle w:val="VerbatimChar"/>
          <w:lang w:val="fr-FR"/>
        </w:rPr>
        <w:t>P128_est_le_support_de</w:t>
      </w:r>
      <w:r w:rsidRPr="1B9E7434">
        <w:rPr>
          <w:lang w:val="fr-FR"/>
        </w:rPr>
        <w:t xml:space="preserve">) du texte de </w:t>
      </w:r>
      <w:r w:rsidRPr="1B9E7434">
        <w:rPr>
          <w:i/>
          <w:iCs/>
          <w:lang w:val="fr-FR"/>
        </w:rPr>
        <w:t>Reach for the Sky</w:t>
      </w:r>
      <w:r w:rsidRPr="1B9E7434">
        <w:rPr>
          <w:lang w:val="fr-FR"/>
        </w:rPr>
        <w:t xml:space="preserve"> (</w:t>
      </w:r>
      <w:r w:rsidRPr="1B9E7434">
        <w:rPr>
          <w:rStyle w:val="VerbatimChar"/>
          <w:lang w:val="fr-FR"/>
        </w:rPr>
        <w:t>E73_Objet_informationnel</w:t>
      </w:r>
      <w:r w:rsidRPr="1B9E7434">
        <w:rPr>
          <w:lang w:val="fr-FR"/>
        </w:rPr>
        <w:t>) [voir aussi (Brickhill, 2001)] (fictif)</w:t>
      </w:r>
    </w:p>
    <w:p w14:paraId="0A619CB2" w14:textId="77777777" w:rsidR="0084489F" w:rsidRDefault="00110FE6">
      <w:pPr>
        <w:pStyle w:val="FirstParagraph"/>
      </w:pPr>
      <w:r>
        <w:rPr>
          <w:b/>
          <w:bCs/>
        </w:rPr>
        <w:t>Logique</w:t>
      </w:r>
    </w:p>
    <w:p w14:paraId="5DC4FEBA" w14:textId="77777777" w:rsidR="0084489F" w:rsidRDefault="00110FE6">
      <w:pPr>
        <w:pStyle w:val="BodyText"/>
      </w:pPr>
      <w:r w:rsidRPr="1B9E7434">
        <w:rPr>
          <w:lang w:val="fr-FR"/>
        </w:rPr>
        <w:t>P128(x,y) ⇒ E18(x)</w:t>
      </w:r>
    </w:p>
    <w:p w14:paraId="696D09E6" w14:textId="77777777" w:rsidR="0084489F" w:rsidRDefault="00110FE6">
      <w:pPr>
        <w:pStyle w:val="BodyText"/>
      </w:pPr>
      <w:r w:rsidRPr="1B9E7434">
        <w:rPr>
          <w:lang w:val="fr-FR"/>
        </w:rPr>
        <w:t>P128(x,y) ⇒ E90(y)</w:t>
      </w:r>
    </w:p>
    <w:p w14:paraId="17219EB7" w14:textId="77777777" w:rsidR="0084489F" w:rsidRDefault="00110FE6">
      <w:pPr>
        <w:pStyle w:val="BodyText"/>
      </w:pPr>
      <w:r w:rsidRPr="1B9E7434">
        <w:rPr>
          <w:lang w:val="fr-FR"/>
        </w:rPr>
        <w:t>P128(x,y) ⇒ P130(x,y)</w:t>
      </w:r>
    </w:p>
    <w:p w14:paraId="7FD28401" w14:textId="77777777" w:rsidR="0084489F" w:rsidRDefault="00110FE6">
      <w:pPr>
        <w:pStyle w:val="BodyText"/>
      </w:pPr>
      <w:r>
        <w:rPr>
          <w:b/>
          <w:bCs/>
        </w:rPr>
        <w:t>Propriétés</w:t>
      </w:r>
    </w:p>
    <w:p w14:paraId="4A1F1D0A" w14:textId="77777777" w:rsidR="0084489F" w:rsidRDefault="00110FE6">
      <w:pPr>
        <w:pStyle w:val="BlockText"/>
      </w:pPr>
      <w:r>
        <w:rPr>
          <w:b/>
          <w:bCs/>
          <w:i/>
          <w:iCs/>
        </w:rPr>
        <w:t>Note de traduction</w:t>
      </w:r>
    </w:p>
    <w:p w14:paraId="26A9DA15" w14:textId="77777777" w:rsidR="0084489F" w:rsidRDefault="00110FE6">
      <w:pPr>
        <w:pStyle w:val="BlockText"/>
      </w:pPr>
      <w:r>
        <w:rPr>
          <w:b/>
          <w:bCs/>
          <w:i/>
          <w:iCs/>
        </w:rPr>
        <w:t>Références</w:t>
      </w:r>
    </w:p>
    <w:p w14:paraId="5D201C1D" w14:textId="77777777" w:rsidR="0084489F" w:rsidRDefault="0084489F">
      <w:pPr>
        <w:pStyle w:val="BlockText"/>
      </w:pPr>
    </w:p>
    <w:p w14:paraId="33E35F20" w14:textId="77777777" w:rsidR="0084489F" w:rsidRDefault="00110FE6" w:rsidP="00453C68">
      <w:pPr>
        <w:pStyle w:val="Heading2"/>
      </w:pPr>
      <w:bookmarkStart w:id="482" w:name="_Toc176864621"/>
      <w:bookmarkStart w:id="483" w:name="p129-a-pour-sujet-(est-le-sujet-de)"/>
      <w:bookmarkEnd w:id="481"/>
      <w:r>
        <w:t>P129 a pour sujet (est le sujet de)</w:t>
      </w:r>
      <w:bookmarkEnd w:id="482"/>
    </w:p>
    <w:p w14:paraId="34C51941" w14:textId="77777777" w:rsidR="0084489F" w:rsidRDefault="00110FE6" w:rsidP="00453C68">
      <w:pPr>
        <w:pStyle w:val="FirstParagraph"/>
        <w:keepNext/>
        <w:keepLines/>
      </w:pPr>
      <w:r>
        <w:rPr>
          <w:b/>
          <w:bCs/>
        </w:rPr>
        <w:t>Domaine</w:t>
      </w:r>
    </w:p>
    <w:p w14:paraId="0866A929" w14:textId="77777777" w:rsidR="0084489F" w:rsidRDefault="00110FE6" w:rsidP="00453C68">
      <w:pPr>
        <w:pStyle w:val="BodyText"/>
        <w:keepNext/>
        <w:keepLines/>
      </w:pPr>
      <w:r>
        <w:rPr>
          <w:rStyle w:val="VerbatimChar"/>
        </w:rPr>
        <w:t>E89_Objet_propositionnel</w:t>
      </w:r>
    </w:p>
    <w:p w14:paraId="65743580" w14:textId="77777777" w:rsidR="0084489F" w:rsidRDefault="00110FE6">
      <w:pPr>
        <w:pStyle w:val="BodyText"/>
      </w:pPr>
      <w:r>
        <w:rPr>
          <w:b/>
          <w:bCs/>
        </w:rPr>
        <w:t>Portée</w:t>
      </w:r>
    </w:p>
    <w:p w14:paraId="363564C4" w14:textId="77777777" w:rsidR="0084489F" w:rsidRDefault="00110FE6">
      <w:pPr>
        <w:pStyle w:val="BodyText"/>
      </w:pPr>
      <w:r>
        <w:rPr>
          <w:rStyle w:val="VerbatimChar"/>
        </w:rPr>
        <w:t>E1_Entité_CRM</w:t>
      </w:r>
    </w:p>
    <w:p w14:paraId="396770F2" w14:textId="77777777" w:rsidR="0084489F" w:rsidRDefault="00110FE6">
      <w:pPr>
        <w:pStyle w:val="BodyText"/>
      </w:pPr>
      <w:r>
        <w:rPr>
          <w:b/>
          <w:bCs/>
        </w:rPr>
        <w:t>Sous-propriété de</w:t>
      </w:r>
    </w:p>
    <w:p w14:paraId="5064C12A" w14:textId="77777777" w:rsidR="0084489F" w:rsidRDefault="00110FE6">
      <w:pPr>
        <w:pStyle w:val="BodyText"/>
      </w:pPr>
      <w:r w:rsidRPr="1B9E7434">
        <w:rPr>
          <w:rStyle w:val="VerbatimChar"/>
          <w:lang w:val="fr-FR"/>
        </w:rPr>
        <w:t>E89_Objet_propositionnel</w:t>
      </w:r>
      <w:r w:rsidRPr="1B9E7434">
        <w:rPr>
          <w:lang w:val="fr-FR"/>
        </w:rPr>
        <w:t xml:space="preserve">. </w:t>
      </w:r>
      <w:r w:rsidRPr="1B9E7434">
        <w:rPr>
          <w:rStyle w:val="VerbatimChar"/>
          <w:lang w:val="fr-FR"/>
        </w:rPr>
        <w:t>P67_renvoie_à (fait_l’objet_d’un_renvoi_par)</w:t>
      </w:r>
      <w:r w:rsidRPr="1B9E7434">
        <w:rPr>
          <w:lang w:val="fr-FR"/>
        </w:rPr>
        <w:t xml:space="preserve"> : </w:t>
      </w:r>
      <w:r w:rsidRPr="1B9E7434">
        <w:rPr>
          <w:rStyle w:val="VerbatimChar"/>
          <w:lang w:val="fr-FR"/>
        </w:rPr>
        <w:t>E1_Entité_CRM</w:t>
      </w:r>
    </w:p>
    <w:p w14:paraId="44534C83" w14:textId="77777777" w:rsidR="0084489F" w:rsidRDefault="00110FE6">
      <w:pPr>
        <w:pStyle w:val="BodyText"/>
      </w:pPr>
      <w:r>
        <w:rPr>
          <w:b/>
          <w:bCs/>
        </w:rPr>
        <w:t>Super-propriété de</w:t>
      </w:r>
    </w:p>
    <w:p w14:paraId="4AAB18C7" w14:textId="77777777" w:rsidR="0084489F" w:rsidRDefault="00110FE6">
      <w:pPr>
        <w:pStyle w:val="BodyText"/>
      </w:pPr>
      <w:r>
        <w:rPr>
          <w:b/>
          <w:bCs/>
        </w:rPr>
        <w:t>Quantification</w:t>
      </w:r>
    </w:p>
    <w:p w14:paraId="20E2664F" w14:textId="77777777" w:rsidR="0084489F" w:rsidRDefault="00110FE6">
      <w:pPr>
        <w:pStyle w:val="BodyText"/>
      </w:pPr>
      <w:r w:rsidRPr="1B9E7434">
        <w:rPr>
          <w:lang w:val="fr-FR"/>
        </w:rPr>
        <w:t>plusieurs à plusieurs (0,n:0,n)</w:t>
      </w:r>
    </w:p>
    <w:p w14:paraId="287B9A46" w14:textId="77777777" w:rsidR="0084489F" w:rsidRDefault="00110FE6">
      <w:pPr>
        <w:pStyle w:val="BodyText"/>
      </w:pPr>
      <w:r>
        <w:rPr>
          <w:b/>
          <w:bCs/>
        </w:rPr>
        <w:t>Note d’application</w:t>
      </w:r>
    </w:p>
    <w:p w14:paraId="28DA4466" w14:textId="77777777" w:rsidR="0084489F" w:rsidRDefault="00110FE6">
      <w:pPr>
        <w:pStyle w:val="BodyText"/>
      </w:pPr>
      <w:r>
        <w:t xml:space="preserve">Cette propriété documente qu'une instance de </w:t>
      </w:r>
      <w:r>
        <w:rPr>
          <w:rStyle w:val="VerbatimChar"/>
        </w:rPr>
        <w:t>E89_Objet_propositionnel</w:t>
      </w:r>
      <w:r>
        <w:t xml:space="preserve"> a pour sujet une instance de </w:t>
      </w:r>
      <w:r>
        <w:rPr>
          <w:rStyle w:val="VerbatimChar"/>
        </w:rPr>
        <w:t>E1_Entité_CRM</w:t>
      </w:r>
      <w:r>
        <w:t>.</w:t>
      </w:r>
    </w:p>
    <w:p w14:paraId="587ED625" w14:textId="77777777" w:rsidR="0084489F" w:rsidRDefault="00110FE6">
      <w:pPr>
        <w:pStyle w:val="BodyText"/>
      </w:pPr>
      <w:r w:rsidRPr="1B9E7434">
        <w:rPr>
          <w:lang w:val="fr-FR"/>
        </w:rPr>
        <w:t xml:space="preserve">La propriété </w:t>
      </w:r>
      <w:r w:rsidRPr="1B9E7434">
        <w:rPr>
          <w:rStyle w:val="VerbatimChar"/>
          <w:lang w:val="fr-FR"/>
        </w:rPr>
        <w:t>P129_a_pour_sujet (est_le_sujet_de)</w:t>
      </w:r>
      <w:r w:rsidRPr="1B9E7434">
        <w:rPr>
          <w:lang w:val="fr-FR"/>
        </w:rPr>
        <w:t xml:space="preserve"> diffère de </w:t>
      </w:r>
      <w:r w:rsidRPr="1B9E7434">
        <w:rPr>
          <w:rStyle w:val="VerbatimChar"/>
          <w:lang w:val="fr-FR"/>
        </w:rPr>
        <w:t>P67_renvoie_à (fait_l’objet_d’un_renvoi_par)</w:t>
      </w:r>
      <w:r w:rsidRPr="1B9E7434">
        <w:rPr>
          <w:lang w:val="fr-FR"/>
        </w:rPr>
        <w:t xml:space="preserve">, qui réfère à une instance de </w:t>
      </w:r>
      <w:r w:rsidRPr="1B9E7434">
        <w:rPr>
          <w:rStyle w:val="VerbatimChar"/>
          <w:lang w:val="fr-FR"/>
        </w:rPr>
        <w:t>E1_Entité_CRM</w:t>
      </w:r>
      <w:r w:rsidRPr="1B9E7434">
        <w:rPr>
          <w:lang w:val="fr-FR"/>
        </w:rPr>
        <w:t xml:space="preserve">, en ce qu'elle décrit le ou les sujets principaux d'une instance de </w:t>
      </w:r>
      <w:r w:rsidRPr="1B9E7434">
        <w:rPr>
          <w:rStyle w:val="VerbatimChar"/>
          <w:lang w:val="fr-FR"/>
        </w:rPr>
        <w:t>E89_Objet_propositionnel</w:t>
      </w:r>
      <w:r w:rsidRPr="1B9E7434">
        <w:rPr>
          <w:lang w:val="fr-FR"/>
        </w:rPr>
        <w:t>.</w:t>
      </w:r>
    </w:p>
    <w:p w14:paraId="14EA2229" w14:textId="77777777" w:rsidR="0084489F" w:rsidRDefault="00110FE6">
      <w:pPr>
        <w:pStyle w:val="BodyText"/>
      </w:pPr>
      <w:r>
        <w:rPr>
          <w:b/>
          <w:bCs/>
        </w:rPr>
        <w:t>Exemples</w:t>
      </w:r>
    </w:p>
    <w:p w14:paraId="752D34C4" w14:textId="4452E865" w:rsidR="0084489F" w:rsidRDefault="00110FE6" w:rsidP="00806324">
      <w:pPr>
        <w:numPr>
          <w:ilvl w:val="0"/>
          <w:numId w:val="241"/>
        </w:numPr>
      </w:pPr>
      <w:r w:rsidRPr="1B9E7434">
        <w:rPr>
          <w:lang w:val="fr-FR"/>
        </w:rPr>
        <w:t>Le texte intitulé « Reach for the sky » (</w:t>
      </w:r>
      <w:r w:rsidRPr="1B9E7434">
        <w:rPr>
          <w:rStyle w:val="VerbatimChar"/>
          <w:lang w:val="fr-FR"/>
        </w:rPr>
        <w:t>E33_Objet_linguistique</w:t>
      </w:r>
      <w:r w:rsidRPr="1B9E7434">
        <w:rPr>
          <w:lang w:val="fr-FR"/>
        </w:rPr>
        <w:t>) a pour sujet (</w:t>
      </w:r>
      <w:r w:rsidRPr="1B9E7434">
        <w:rPr>
          <w:rStyle w:val="VerbatimChar"/>
          <w:lang w:val="fr-FR"/>
        </w:rPr>
        <w:t>P129_a_pour_sujet</w:t>
      </w:r>
      <w:r w:rsidRPr="1B9E7434">
        <w:rPr>
          <w:lang w:val="fr-FR"/>
        </w:rPr>
        <w:t>) Douglas Bader (</w:t>
      </w:r>
      <w:r w:rsidRPr="1B9E7434">
        <w:rPr>
          <w:rStyle w:val="VerbatimChar"/>
          <w:lang w:val="fr-FR"/>
        </w:rPr>
        <w:t>E21_Personne</w:t>
      </w:r>
      <w:r w:rsidRPr="1B9E7434">
        <w:rPr>
          <w:lang w:val="fr-FR"/>
        </w:rPr>
        <w:t>) (Brickhill, 2001)</w:t>
      </w:r>
    </w:p>
    <w:p w14:paraId="624E340B" w14:textId="77777777" w:rsidR="0084489F" w:rsidRDefault="00110FE6">
      <w:pPr>
        <w:pStyle w:val="FirstParagraph"/>
      </w:pPr>
      <w:r>
        <w:rPr>
          <w:b/>
          <w:bCs/>
        </w:rPr>
        <w:t>Logique</w:t>
      </w:r>
    </w:p>
    <w:p w14:paraId="6D2F791D" w14:textId="77777777" w:rsidR="0084489F" w:rsidRDefault="00110FE6">
      <w:pPr>
        <w:pStyle w:val="BodyText"/>
      </w:pPr>
      <w:r w:rsidRPr="1B9E7434">
        <w:rPr>
          <w:lang w:val="fr-FR"/>
        </w:rPr>
        <w:t>P129(x,y) ⇒ E89(x)</w:t>
      </w:r>
    </w:p>
    <w:p w14:paraId="514635AF" w14:textId="77777777" w:rsidR="0084489F" w:rsidRDefault="00110FE6">
      <w:pPr>
        <w:pStyle w:val="BodyText"/>
      </w:pPr>
      <w:r w:rsidRPr="1B9E7434">
        <w:rPr>
          <w:lang w:val="fr-FR"/>
        </w:rPr>
        <w:t>P129(x,y) ⇒ E1(y)</w:t>
      </w:r>
    </w:p>
    <w:p w14:paraId="0D866700" w14:textId="77777777" w:rsidR="0084489F" w:rsidRDefault="00110FE6">
      <w:pPr>
        <w:pStyle w:val="BodyText"/>
      </w:pPr>
      <w:r w:rsidRPr="1B9E7434">
        <w:rPr>
          <w:lang w:val="fr-FR"/>
        </w:rPr>
        <w:lastRenderedPageBreak/>
        <w:t>P129(x,y) ⇒ P67(x,y)</w:t>
      </w:r>
    </w:p>
    <w:p w14:paraId="782A181B" w14:textId="77777777" w:rsidR="0084489F" w:rsidRDefault="00110FE6">
      <w:pPr>
        <w:pStyle w:val="BodyText"/>
      </w:pPr>
      <w:r>
        <w:rPr>
          <w:b/>
          <w:bCs/>
        </w:rPr>
        <w:t>Propriétés</w:t>
      </w:r>
    </w:p>
    <w:p w14:paraId="01EBAAFD" w14:textId="77777777" w:rsidR="0084489F" w:rsidRDefault="00110FE6">
      <w:pPr>
        <w:pStyle w:val="BlockText"/>
      </w:pPr>
      <w:r>
        <w:rPr>
          <w:b/>
          <w:bCs/>
          <w:i/>
          <w:iCs/>
        </w:rPr>
        <w:t>Note de traduction</w:t>
      </w:r>
    </w:p>
    <w:p w14:paraId="490B6408" w14:textId="77777777" w:rsidR="0084489F" w:rsidRDefault="00110FE6">
      <w:pPr>
        <w:pStyle w:val="BlockText"/>
      </w:pPr>
      <w:r>
        <w:rPr>
          <w:b/>
          <w:bCs/>
          <w:i/>
          <w:iCs/>
        </w:rPr>
        <w:t>Références</w:t>
      </w:r>
    </w:p>
    <w:p w14:paraId="5509629F" w14:textId="77777777" w:rsidR="0084489F" w:rsidRDefault="0084489F">
      <w:pPr>
        <w:pStyle w:val="BlockText"/>
      </w:pPr>
    </w:p>
    <w:p w14:paraId="641944D4" w14:textId="77777777" w:rsidR="0084489F" w:rsidRDefault="00110FE6">
      <w:pPr>
        <w:pStyle w:val="Heading2"/>
      </w:pPr>
      <w:bookmarkStart w:id="484" w:name="_Toc176864622"/>
      <w:bookmarkStart w:id="485" w:name="X57d65e58978cf08e977f08af0a36929d91cbf7a"/>
      <w:bookmarkEnd w:id="483"/>
      <w:r>
        <w:t>P130 présente les caractéristiques de (a les caractéristiques aussi présentes sur)</w:t>
      </w:r>
      <w:bookmarkEnd w:id="484"/>
    </w:p>
    <w:p w14:paraId="38725567" w14:textId="77777777" w:rsidR="0084489F" w:rsidRDefault="00110FE6">
      <w:pPr>
        <w:pStyle w:val="FirstParagraph"/>
      </w:pPr>
      <w:r>
        <w:rPr>
          <w:b/>
          <w:bCs/>
        </w:rPr>
        <w:t>Domaine</w:t>
      </w:r>
    </w:p>
    <w:p w14:paraId="154328D6" w14:textId="77777777" w:rsidR="0084489F" w:rsidRDefault="00110FE6">
      <w:pPr>
        <w:pStyle w:val="BodyText"/>
      </w:pPr>
      <w:r>
        <w:rPr>
          <w:rStyle w:val="VerbatimChar"/>
        </w:rPr>
        <w:t>E70_Chose</w:t>
      </w:r>
    </w:p>
    <w:p w14:paraId="4C825A1B" w14:textId="77777777" w:rsidR="0084489F" w:rsidRDefault="00110FE6">
      <w:pPr>
        <w:pStyle w:val="BodyText"/>
      </w:pPr>
      <w:r>
        <w:rPr>
          <w:b/>
          <w:bCs/>
        </w:rPr>
        <w:t>Portée</w:t>
      </w:r>
    </w:p>
    <w:p w14:paraId="3FC798C6" w14:textId="77777777" w:rsidR="0084489F" w:rsidRDefault="00110FE6">
      <w:pPr>
        <w:pStyle w:val="BodyText"/>
      </w:pPr>
      <w:r>
        <w:rPr>
          <w:rStyle w:val="VerbatimChar"/>
        </w:rPr>
        <w:t>E70_Chose</w:t>
      </w:r>
    </w:p>
    <w:p w14:paraId="673CAB09" w14:textId="77777777" w:rsidR="0084489F" w:rsidRDefault="00110FE6">
      <w:pPr>
        <w:pStyle w:val="BodyText"/>
      </w:pPr>
      <w:r>
        <w:rPr>
          <w:b/>
          <w:bCs/>
        </w:rPr>
        <w:t>Sous-propriété de</w:t>
      </w:r>
    </w:p>
    <w:p w14:paraId="1D7A6092" w14:textId="77777777" w:rsidR="0084489F" w:rsidRDefault="00110FE6">
      <w:pPr>
        <w:pStyle w:val="BodyText"/>
      </w:pPr>
      <w:r>
        <w:rPr>
          <w:b/>
          <w:bCs/>
        </w:rPr>
        <w:t>Super-propriété de</w:t>
      </w:r>
    </w:p>
    <w:p w14:paraId="7AD794E1" w14:textId="77777777" w:rsidR="0084489F" w:rsidRDefault="00110FE6">
      <w:pPr>
        <w:pStyle w:val="BodyText"/>
      </w:pPr>
      <w:r>
        <w:rPr>
          <w:rStyle w:val="VerbatimChar"/>
        </w:rPr>
        <w:t>E33_Objet_linguistique</w:t>
      </w:r>
      <w:r>
        <w:t xml:space="preserve">. </w:t>
      </w:r>
      <w:r>
        <w:rPr>
          <w:rStyle w:val="VerbatimChar"/>
        </w:rPr>
        <w:t>P73i_est_traduction_de</w:t>
      </w:r>
      <w:r>
        <w:t xml:space="preserve"> : </w:t>
      </w:r>
      <w:r>
        <w:rPr>
          <w:rStyle w:val="VerbatimChar"/>
        </w:rPr>
        <w:t>E33_Objet_linguistique</w:t>
      </w:r>
    </w:p>
    <w:p w14:paraId="3B7785C2"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P128_est_le_support_de (a_pour_support)</w:t>
      </w:r>
      <w:r w:rsidRPr="1B9E7434">
        <w:rPr>
          <w:lang w:val="fr-FR"/>
        </w:rPr>
        <w:t xml:space="preserve"> : </w:t>
      </w:r>
      <w:r w:rsidRPr="1B9E7434">
        <w:rPr>
          <w:rStyle w:val="VerbatimChar"/>
          <w:lang w:val="fr-FR"/>
        </w:rPr>
        <w:t>E90_Objet_symbolique</w:t>
      </w:r>
      <w:r w:rsidRPr="1B9E7434">
        <w:rPr>
          <w:lang w:val="fr-FR"/>
        </w:rPr>
        <w:t xml:space="preserve"> </w:t>
      </w:r>
    </w:p>
    <w:p w14:paraId="73532D6E" w14:textId="77777777" w:rsidR="0084489F" w:rsidRDefault="00110FE6">
      <w:pPr>
        <w:pStyle w:val="BodyText"/>
      </w:pPr>
      <w:r>
        <w:rPr>
          <w:b/>
          <w:bCs/>
        </w:rPr>
        <w:t>Quantification</w:t>
      </w:r>
    </w:p>
    <w:p w14:paraId="5902B983" w14:textId="77777777" w:rsidR="0084489F" w:rsidRDefault="00110FE6">
      <w:pPr>
        <w:pStyle w:val="BodyText"/>
      </w:pPr>
      <w:r w:rsidRPr="1B9E7434">
        <w:rPr>
          <w:lang w:val="fr-FR"/>
        </w:rPr>
        <w:t>plusieurs à plusieurs (0,n:0,n)</w:t>
      </w:r>
    </w:p>
    <w:p w14:paraId="5893CDCD" w14:textId="77777777" w:rsidR="0084489F" w:rsidRDefault="00110FE6">
      <w:pPr>
        <w:pStyle w:val="BodyText"/>
      </w:pPr>
      <w:r>
        <w:rPr>
          <w:b/>
          <w:bCs/>
        </w:rPr>
        <w:t>Note d’application</w:t>
      </w:r>
    </w:p>
    <w:p w14:paraId="394B0AF0" w14:textId="77777777" w:rsidR="0084489F" w:rsidRDefault="00110FE6">
      <w:pPr>
        <w:pStyle w:val="BodyText"/>
      </w:pPr>
      <w:r>
        <w:t>Cette propriété généralise les notions de « copie de » et « similaire à » en une relation directe, où le domaine témoigne de l’élément dérivé ou influencé et la portée témoigne de la source ou de l’élément exerçant l’influence, lorsqu’une telle direction peut être établie. La propriété peut également être utilisée afin d’exprimer la similitude dans les cas où celle-ci peut être déclarée entre deux objets seulement, sans connaissance historique quant aux raisons liées à cette similitude. Cette propriété exprime une relation symétrique lorsqu’aucune direction quant à l’influence d’un élément sur un autre ne peut être établie, soit par le biais d’une preuve sur l’élément lui-même, soit par la connaissance historique. Cela vaut en particulier pour les éléments découlant d’un même processus de dérivation d’une source commune ou pour des parallèles culturels non causals, tels que des motifs de tissage.</w:t>
      </w:r>
    </w:p>
    <w:p w14:paraId="0EEF6E62" w14:textId="77777777" w:rsidR="0084489F" w:rsidRDefault="00110FE6">
      <w:pPr>
        <w:pStyle w:val="BodyText"/>
      </w:pPr>
      <w:r w:rsidRPr="1B9E7434">
        <w:rPr>
          <w:lang w:val="fr-FR"/>
        </w:rPr>
        <w:t xml:space="preserve">La propriété </w:t>
      </w:r>
      <w:r w:rsidRPr="1B9E7434">
        <w:rPr>
          <w:rStyle w:val="VerbatimChar"/>
          <w:lang w:val="fr-FR"/>
        </w:rPr>
        <w:t>P130.1_sorte_de_similarité</w:t>
      </w:r>
      <w:r w:rsidRPr="1B9E7434">
        <w:rPr>
          <w:lang w:val="fr-FR"/>
        </w:rPr>
        <w:t xml:space="preserve"> de la propriété </w:t>
      </w:r>
      <w:r w:rsidRPr="1B9E7434">
        <w:rPr>
          <w:rStyle w:val="VerbatimChar"/>
          <w:lang w:val="fr-FR"/>
        </w:rPr>
        <w:t>P130_présente_les_caractéristiques de (a_les_caractéristiques_aussi_présentes_sur)</w:t>
      </w:r>
      <w:r w:rsidRPr="1B9E7434">
        <w:rPr>
          <w:lang w:val="fr-FR"/>
        </w:rPr>
        <w:t xml:space="preserve"> permet de clarifier davantage la relation entre le domaine et la portée, le cas échéant. Par exemple, la précision peut être exprimée si les deux éléments sont des produits « du même moule », ou si deux textes « contiennent des paragraphes identiques ».</w:t>
      </w:r>
    </w:p>
    <w:p w14:paraId="126A6D3C" w14:textId="77777777" w:rsidR="0084489F" w:rsidRDefault="00110FE6">
      <w:pPr>
        <w:pStyle w:val="BodyText"/>
      </w:pPr>
      <w:r>
        <w:t xml:space="preserve">Si la cause de la similitude est un type de processus de dérivation, c.-à-d. que le créateur a utilisé ou avait en tête la forme d’une chose particulière durant la création ou la production, ce processus doit être explicitement modélisé. Dans ces situations, </w:t>
      </w:r>
      <w:r>
        <w:rPr>
          <w:rStyle w:val="VerbatimChar"/>
        </w:rPr>
        <w:t>P130_présente_les_caractéristiques_de</w:t>
      </w:r>
      <w:r>
        <w:t xml:space="preserve"> peut être considéré comme un raccourci d’un tel processus. Cependant, le présent modèle ne propose pas de chemin assez spécifique pour permettre l’inférence de cette propriété. Des extensions du CIDOC CRM pourraient cependant être plus explicites, en décrivant par exemple l’utilisation de moules.</w:t>
      </w:r>
    </w:p>
    <w:p w14:paraId="17ED6327" w14:textId="77777777" w:rsidR="0084489F" w:rsidRDefault="00110FE6">
      <w:pPr>
        <w:pStyle w:val="BodyText"/>
      </w:pPr>
      <w:r w:rsidRPr="1B9E7434">
        <w:rPr>
          <w:lang w:val="fr-FR"/>
        </w:rPr>
        <w:t>Cette propriété n’est pas transitive et est irréflexive.</w:t>
      </w:r>
    </w:p>
    <w:p w14:paraId="0901862B" w14:textId="77777777" w:rsidR="0084489F" w:rsidRDefault="00110FE6">
      <w:pPr>
        <w:pStyle w:val="BodyText"/>
      </w:pPr>
      <w:r>
        <w:rPr>
          <w:b/>
          <w:bCs/>
        </w:rPr>
        <w:lastRenderedPageBreak/>
        <w:t>Exemples</w:t>
      </w:r>
    </w:p>
    <w:p w14:paraId="1A84DF8A" w14:textId="68DF2F13" w:rsidR="0084489F" w:rsidRDefault="00110FE6" w:rsidP="00806324">
      <w:pPr>
        <w:numPr>
          <w:ilvl w:val="0"/>
          <w:numId w:val="242"/>
        </w:numPr>
      </w:pPr>
      <w:r w:rsidRPr="1B9E7434">
        <w:rPr>
          <w:i/>
          <w:iCs/>
          <w:lang w:val="fr-FR"/>
        </w:rPr>
        <w:t>Cymbeline</w:t>
      </w:r>
      <w:r w:rsidRPr="1B9E7434">
        <w:rPr>
          <w:lang w:val="fr-FR"/>
        </w:rPr>
        <w:t xml:space="preserve"> de Mary Lamb, issue des </w:t>
      </w:r>
      <w:r w:rsidRPr="1B9E7434">
        <w:rPr>
          <w:i/>
          <w:iCs/>
          <w:lang w:val="fr-FR"/>
        </w:rPr>
        <w:t>Contes d’après Shakespeare</w:t>
      </w:r>
      <w:r w:rsidRPr="1B9E7434">
        <w:rPr>
          <w:lang w:val="fr-FR"/>
        </w:rPr>
        <w:t xml:space="preserve"> de Charles et Mary Lamb (</w:t>
      </w:r>
      <w:r w:rsidRPr="1B9E7434">
        <w:rPr>
          <w:rStyle w:val="VerbatimChar"/>
          <w:lang w:val="fr-FR"/>
        </w:rPr>
        <w:t>E89_Objet_propositionnel</w:t>
      </w:r>
      <w:r w:rsidRPr="1B9E7434">
        <w:rPr>
          <w:lang w:val="fr-FR"/>
        </w:rPr>
        <w:t>), présente les caractéristiques de (</w:t>
      </w:r>
      <w:r w:rsidRPr="1B9E7434">
        <w:rPr>
          <w:rStyle w:val="VerbatimChar"/>
          <w:lang w:val="fr-FR"/>
        </w:rPr>
        <w:t>P130_présente_les_caractéristiques_de</w:t>
      </w:r>
      <w:r w:rsidRPr="1B9E7434">
        <w:rPr>
          <w:lang w:val="fr-FR"/>
        </w:rPr>
        <w:t xml:space="preserve">) </w:t>
      </w:r>
      <w:r w:rsidRPr="1B9E7434">
        <w:rPr>
          <w:i/>
          <w:iCs/>
          <w:lang w:val="fr-FR"/>
        </w:rPr>
        <w:t>Cymbeline</w:t>
      </w:r>
      <w:r w:rsidRPr="1B9E7434">
        <w:rPr>
          <w:lang w:val="fr-FR"/>
        </w:rPr>
        <w:t xml:space="preserve"> de William Shakespeare (</w:t>
      </w:r>
      <w:r w:rsidRPr="1B9E7434">
        <w:rPr>
          <w:rStyle w:val="VerbatimChar"/>
          <w:lang w:val="fr-FR"/>
        </w:rPr>
        <w:t>E89_Objet_propositionnel</w:t>
      </w:r>
      <w:r w:rsidRPr="1B9E7434">
        <w:rPr>
          <w:lang w:val="fr-FR"/>
        </w:rPr>
        <w:t>) (Carrington, 1954)</w:t>
      </w:r>
    </w:p>
    <w:p w14:paraId="76806248" w14:textId="77777777" w:rsidR="0084489F" w:rsidRDefault="00110FE6" w:rsidP="00806324">
      <w:pPr>
        <w:numPr>
          <w:ilvl w:val="0"/>
          <w:numId w:val="242"/>
        </w:numPr>
      </w:pPr>
      <w:r>
        <w:t xml:space="preserve">L’enregistrement audio de la lecture, par Enrico de Negri, de l’œuvre </w:t>
      </w:r>
      <w:r>
        <w:rPr>
          <w:i/>
          <w:iCs/>
        </w:rPr>
        <w:t>Divine Comédie</w:t>
      </w:r>
      <w:r>
        <w:t xml:space="preserve"> de Dante Alighieri (</w:t>
      </w:r>
      <w:r>
        <w:rPr>
          <w:rStyle w:val="VerbatimChar"/>
        </w:rPr>
        <w:t>E73_Objet_informationnel</w:t>
      </w:r>
      <w:r>
        <w:t>) présente les caractéristiques du (</w:t>
      </w:r>
      <w:r>
        <w:rPr>
          <w:rStyle w:val="VerbatimChar"/>
        </w:rPr>
        <w:t>P130_présente_les_caractéristiques_de</w:t>
      </w:r>
      <w:r>
        <w:t xml:space="preserve">) texte de la </w:t>
      </w:r>
      <w:r>
        <w:rPr>
          <w:i/>
          <w:iCs/>
        </w:rPr>
        <w:t>Divine Comédie</w:t>
      </w:r>
      <w:r>
        <w:t xml:space="preserve"> de Dante Alighieri (</w:t>
      </w:r>
      <w:r>
        <w:rPr>
          <w:rStyle w:val="VerbatimChar"/>
        </w:rPr>
        <w:t>E89_Objet_propositionnel</w:t>
      </w:r>
      <w:r>
        <w:t>) (Alighieri, 1956)</w:t>
      </w:r>
    </w:p>
    <w:p w14:paraId="36476A5B" w14:textId="77777777" w:rsidR="0084489F" w:rsidRDefault="00110FE6">
      <w:pPr>
        <w:pStyle w:val="FirstParagraph"/>
      </w:pPr>
      <w:r>
        <w:rPr>
          <w:b/>
          <w:bCs/>
        </w:rPr>
        <w:t>Logique</w:t>
      </w:r>
    </w:p>
    <w:p w14:paraId="6CC7E4D2" w14:textId="77777777" w:rsidR="0084489F" w:rsidRDefault="00110FE6">
      <w:pPr>
        <w:pStyle w:val="BodyText"/>
      </w:pPr>
      <w:r w:rsidRPr="1B9E7434">
        <w:rPr>
          <w:lang w:val="fr-FR"/>
        </w:rPr>
        <w:t>P130(x,y) ⇒ E70(x)</w:t>
      </w:r>
    </w:p>
    <w:p w14:paraId="4BA23C3B" w14:textId="77777777" w:rsidR="0084489F" w:rsidRDefault="00110FE6">
      <w:pPr>
        <w:pStyle w:val="BodyText"/>
      </w:pPr>
      <w:r w:rsidRPr="1B9E7434">
        <w:rPr>
          <w:lang w:val="fr-FR"/>
        </w:rPr>
        <w:t>P130(x,y) ⇒ E70(y)</w:t>
      </w:r>
    </w:p>
    <w:p w14:paraId="29ED8BA9" w14:textId="77777777" w:rsidR="0084489F" w:rsidRDefault="00110FE6">
      <w:pPr>
        <w:pStyle w:val="BodyText"/>
      </w:pPr>
      <w:r w:rsidRPr="1B9E7434">
        <w:rPr>
          <w:lang w:val="fr-FR"/>
        </w:rPr>
        <w:t>P130(x,y,z) ⇒ [P130(x,y) ∧ E55(z)]</w:t>
      </w:r>
    </w:p>
    <w:p w14:paraId="19139F46" w14:textId="77777777" w:rsidR="0084489F" w:rsidRDefault="00110FE6">
      <w:pPr>
        <w:pStyle w:val="BodyText"/>
      </w:pPr>
      <w:r w:rsidRPr="1B9E7434">
        <w:rPr>
          <w:lang w:val="fr-FR"/>
        </w:rPr>
        <w:t>¬P130(x,x)</w:t>
      </w:r>
    </w:p>
    <w:p w14:paraId="20D201D8" w14:textId="77777777" w:rsidR="0084489F" w:rsidRDefault="00110FE6">
      <w:pPr>
        <w:pStyle w:val="BodyText"/>
      </w:pPr>
      <w:r>
        <w:rPr>
          <w:b/>
          <w:bCs/>
        </w:rPr>
        <w:t>Propriétés</w:t>
      </w:r>
    </w:p>
    <w:p w14:paraId="339D84E6" w14:textId="77777777" w:rsidR="0084489F" w:rsidRDefault="00110FE6">
      <w:pPr>
        <w:pStyle w:val="BodyText"/>
      </w:pPr>
      <w:r>
        <w:rPr>
          <w:rStyle w:val="VerbatimChar"/>
        </w:rPr>
        <w:t>P130.1_sorte_de_similarité</w:t>
      </w:r>
      <w:r>
        <w:t xml:space="preserve"> : </w:t>
      </w:r>
      <w:r>
        <w:rPr>
          <w:rStyle w:val="VerbatimChar"/>
        </w:rPr>
        <w:t>E55_Type</w:t>
      </w:r>
    </w:p>
    <w:p w14:paraId="3D0045B2" w14:textId="77777777" w:rsidR="0084489F" w:rsidRDefault="00110FE6">
      <w:pPr>
        <w:pStyle w:val="BlockText"/>
      </w:pPr>
      <w:r>
        <w:rPr>
          <w:b/>
          <w:bCs/>
          <w:i/>
          <w:iCs/>
        </w:rPr>
        <w:t>Note de traduction</w:t>
      </w:r>
    </w:p>
    <w:p w14:paraId="4E7E84D8" w14:textId="77777777" w:rsidR="0084489F" w:rsidRDefault="00110FE6">
      <w:pPr>
        <w:pStyle w:val="BlockText"/>
      </w:pPr>
      <w:r>
        <w:rPr>
          <w:b/>
          <w:bCs/>
          <w:i/>
          <w:iCs/>
        </w:rPr>
        <w:t>Références</w:t>
      </w:r>
    </w:p>
    <w:p w14:paraId="66BB41BC" w14:textId="77777777" w:rsidR="0084489F" w:rsidRDefault="0084489F">
      <w:pPr>
        <w:pStyle w:val="BlockText"/>
      </w:pPr>
    </w:p>
    <w:p w14:paraId="38D5BF62" w14:textId="77777777" w:rsidR="0084489F" w:rsidRDefault="00110FE6">
      <w:pPr>
        <w:pStyle w:val="Heading2"/>
      </w:pPr>
      <w:bookmarkStart w:id="486" w:name="_Toc176864623"/>
      <w:bookmarkStart w:id="487" w:name="p132-recoupe-spatio-temporellement"/>
      <w:bookmarkEnd w:id="485"/>
      <w:r w:rsidRPr="1B9E7434">
        <w:rPr>
          <w:lang w:val="fr-FR"/>
        </w:rPr>
        <w:t>P132 recoupe spatio-temporellement</w:t>
      </w:r>
      <w:bookmarkEnd w:id="486"/>
    </w:p>
    <w:p w14:paraId="7B1BF6A1" w14:textId="77777777" w:rsidR="0084489F" w:rsidRDefault="00110FE6">
      <w:pPr>
        <w:pStyle w:val="FirstParagraph"/>
      </w:pPr>
      <w:r>
        <w:rPr>
          <w:b/>
          <w:bCs/>
        </w:rPr>
        <w:t>Domaine</w:t>
      </w:r>
    </w:p>
    <w:p w14:paraId="7AD16B22" w14:textId="77777777" w:rsidR="0084489F" w:rsidRDefault="00110FE6">
      <w:pPr>
        <w:pStyle w:val="BodyText"/>
      </w:pPr>
      <w:r>
        <w:rPr>
          <w:rStyle w:val="VerbatimChar"/>
        </w:rPr>
        <w:t>E92_Volume_spatio-temporel</w:t>
      </w:r>
    </w:p>
    <w:p w14:paraId="4F07DFE0" w14:textId="77777777" w:rsidR="0084489F" w:rsidRDefault="00110FE6">
      <w:pPr>
        <w:pStyle w:val="BodyText"/>
      </w:pPr>
      <w:r>
        <w:rPr>
          <w:b/>
          <w:bCs/>
        </w:rPr>
        <w:t>Portée</w:t>
      </w:r>
    </w:p>
    <w:p w14:paraId="7C247D32" w14:textId="77777777" w:rsidR="0084489F" w:rsidRDefault="00110FE6">
      <w:pPr>
        <w:pStyle w:val="BodyText"/>
      </w:pPr>
      <w:r>
        <w:rPr>
          <w:rStyle w:val="VerbatimChar"/>
        </w:rPr>
        <w:t>E92_Volume_spatio-temporel</w:t>
      </w:r>
    </w:p>
    <w:p w14:paraId="1EE3EBCA" w14:textId="77777777" w:rsidR="0084489F" w:rsidRDefault="00110FE6">
      <w:pPr>
        <w:pStyle w:val="BodyText"/>
      </w:pPr>
      <w:r>
        <w:rPr>
          <w:b/>
          <w:bCs/>
        </w:rPr>
        <w:t>Sous-propriété de</w:t>
      </w:r>
    </w:p>
    <w:p w14:paraId="28D96B57" w14:textId="77777777" w:rsidR="0084489F" w:rsidRDefault="00110FE6">
      <w:pPr>
        <w:pStyle w:val="BodyText"/>
      </w:pPr>
      <w:r>
        <w:rPr>
          <w:b/>
          <w:bCs/>
        </w:rPr>
        <w:t>Super-propriété de</w:t>
      </w:r>
    </w:p>
    <w:p w14:paraId="37F7C2F8" w14:textId="77777777" w:rsidR="0084489F" w:rsidRDefault="00110FE6">
      <w:pPr>
        <w:pStyle w:val="BodyText"/>
      </w:pPr>
      <w:r>
        <w:rPr>
          <w:rStyle w:val="VerbatimChar"/>
        </w:rPr>
        <w:t>E92_Volume_spatio-temporel</w:t>
      </w:r>
      <w:r>
        <w:t xml:space="preserve">. </w:t>
      </w:r>
      <w:r>
        <w:rPr>
          <w:rStyle w:val="VerbatimChar"/>
        </w:rPr>
        <w:t>P10_s’insère_dans (contient)</w:t>
      </w:r>
      <w:r>
        <w:t xml:space="preserve"> : </w:t>
      </w:r>
      <w:r>
        <w:rPr>
          <w:rStyle w:val="VerbatimChar"/>
        </w:rPr>
        <w:t>E92_Volume_spatio-temporel</w:t>
      </w:r>
    </w:p>
    <w:p w14:paraId="36FF802E" w14:textId="77777777" w:rsidR="0084489F" w:rsidRDefault="00110FE6">
      <w:pPr>
        <w:pStyle w:val="BodyText"/>
      </w:pPr>
      <w:r>
        <w:rPr>
          <w:b/>
          <w:bCs/>
        </w:rPr>
        <w:t>Quantification</w:t>
      </w:r>
    </w:p>
    <w:p w14:paraId="02E5479F" w14:textId="77777777" w:rsidR="0084489F" w:rsidRDefault="00110FE6">
      <w:pPr>
        <w:pStyle w:val="BodyText"/>
      </w:pPr>
      <w:r w:rsidRPr="1B9E7434">
        <w:rPr>
          <w:lang w:val="fr-FR"/>
        </w:rPr>
        <w:t>plusieurs à plusieurs (0,n:0,n)</w:t>
      </w:r>
    </w:p>
    <w:p w14:paraId="30F9493F" w14:textId="77777777" w:rsidR="0084489F" w:rsidRDefault="00110FE6">
      <w:pPr>
        <w:pStyle w:val="BodyText"/>
      </w:pPr>
      <w:r>
        <w:rPr>
          <w:b/>
          <w:bCs/>
        </w:rPr>
        <w:t>Note d’application</w:t>
      </w:r>
    </w:p>
    <w:p w14:paraId="667BCF5A" w14:textId="77777777" w:rsidR="0084489F" w:rsidRDefault="00110FE6">
      <w:pPr>
        <w:pStyle w:val="BodyText"/>
      </w:pPr>
      <w:r>
        <w:t xml:space="preserve">Cette propriété symétrique associe deux instances de </w:t>
      </w:r>
      <w:r>
        <w:rPr>
          <w:rStyle w:val="VerbatimChar"/>
        </w:rPr>
        <w:t>E92_Volume_spatio-temporel</w:t>
      </w:r>
      <w:r>
        <w:t xml:space="preserve"> qui possèdent une part de leur étendue en commun.</w:t>
      </w:r>
    </w:p>
    <w:p w14:paraId="36CE9BE5" w14:textId="77777777" w:rsidR="0084489F" w:rsidRDefault="00110FE6">
      <w:pPr>
        <w:pStyle w:val="BodyText"/>
      </w:pPr>
      <w:r>
        <w:t xml:space="preserve">Si le recoupement ne concerne que les limites floues des instances de </w:t>
      </w:r>
      <w:r>
        <w:rPr>
          <w:rStyle w:val="VerbatimChar"/>
        </w:rPr>
        <w:t>E92_Volume_spatio-temporel</w:t>
      </w:r>
      <w:r>
        <w:t xml:space="preserve">, la propriété </w:t>
      </w:r>
      <w:r>
        <w:rPr>
          <w:rStyle w:val="VerbatimChar"/>
        </w:rPr>
        <w:t>P132_recoupe_spatio-temporellement</w:t>
      </w:r>
      <w:r>
        <w:t xml:space="preserve"> ne peut être déterminée par la seule observation et ne devrait donc pas être utilisée. Cependant, certaines situations peuvent justifier que les deux instances de </w:t>
      </w:r>
      <w:r>
        <w:rPr>
          <w:rStyle w:val="VerbatimChar"/>
        </w:rPr>
        <w:lastRenderedPageBreak/>
        <w:t>E92_Volume_spatio-temporel</w:t>
      </w:r>
      <w:r>
        <w:t xml:space="preserve"> partagent une partie de leur étendue en commun, sans qu’il soit nécessaire de préciser où et quand.</w:t>
      </w:r>
    </w:p>
    <w:p w14:paraId="2F3F5EC2" w14:textId="77777777" w:rsidR="0084489F" w:rsidRDefault="00110FE6">
      <w:pPr>
        <w:pStyle w:val="BodyText"/>
      </w:pPr>
      <w:r>
        <w:t xml:space="preserve">Si cette propriété s’applique à deux instances de </w:t>
      </w:r>
      <w:r>
        <w:rPr>
          <w:rStyle w:val="VerbatimChar"/>
        </w:rPr>
        <w:t>E92_Volume_spatio-temporel</w:t>
      </w:r>
      <w:r>
        <w:t xml:space="preserve">, alors il n’est pas possible que ces deux instances soient aussi reliées par la propriété </w:t>
      </w:r>
      <w:r>
        <w:rPr>
          <w:rStyle w:val="VerbatimChar"/>
        </w:rPr>
        <w:t>P133_est_distinct_spatio-temporellement_de</w:t>
      </w:r>
      <w:r>
        <w:t xml:space="preserve">. De plus, il existe des cas où ni la propriété </w:t>
      </w:r>
      <w:r>
        <w:rPr>
          <w:rStyle w:val="VerbatimChar"/>
        </w:rPr>
        <w:t>P132_recoupe_spatio-temporellement_et_partiellement</w:t>
      </w:r>
      <w:r>
        <w:t xml:space="preserve"> ni la propriété </w:t>
      </w:r>
      <w:r>
        <w:rPr>
          <w:rStyle w:val="VerbatimChar"/>
        </w:rPr>
        <w:t>P133_est_distinct_spatio-temporellement_de</w:t>
      </w:r>
      <w:r>
        <w:t xml:space="preserve"> ne peuvent s’appliquer entre deux instances de </w:t>
      </w:r>
      <w:r>
        <w:rPr>
          <w:rStyle w:val="VerbatimChar"/>
        </w:rPr>
        <w:t>E92_Volume_spatio-temporel</w:t>
      </w:r>
      <w:r>
        <w:t>, notamment lorsque les deux instances ne se recoupent qu’à leurs limites floues et qu’aucun témoignage ou preuve n’est disponible pour valider ou invalider la relation.</w:t>
      </w:r>
    </w:p>
    <w:p w14:paraId="2D2305A7" w14:textId="77777777" w:rsidR="0084489F" w:rsidRDefault="00110FE6">
      <w:pPr>
        <w:pStyle w:val="BodyText"/>
      </w:pPr>
      <w:r>
        <w:t>Cette propriété n'est pas transitive, mais elle est symétrique et réflexive.</w:t>
      </w:r>
    </w:p>
    <w:p w14:paraId="339CB4F4" w14:textId="77777777" w:rsidR="0084489F" w:rsidRDefault="00110FE6">
      <w:pPr>
        <w:pStyle w:val="BodyText"/>
      </w:pPr>
      <w:r>
        <w:rPr>
          <w:b/>
          <w:bCs/>
        </w:rPr>
        <w:t>Exemples</w:t>
      </w:r>
    </w:p>
    <w:p w14:paraId="1DD6D3F4" w14:textId="60E7B82E" w:rsidR="0084489F" w:rsidRDefault="00110FE6" w:rsidP="00806324">
      <w:pPr>
        <w:numPr>
          <w:ilvl w:val="0"/>
          <w:numId w:val="243"/>
        </w:numPr>
      </w:pPr>
      <w:r w:rsidRPr="1B9E7434">
        <w:rPr>
          <w:lang w:val="fr-FR"/>
        </w:rPr>
        <w:t>La période de la culture des champs d’urne (</w:t>
      </w:r>
      <w:r w:rsidRPr="1B9E7434">
        <w:rPr>
          <w:rStyle w:val="VerbatimChar"/>
          <w:lang w:val="fr-FR"/>
        </w:rPr>
        <w:t>E4_Période</w:t>
      </w:r>
      <w:r w:rsidRPr="1B9E7434">
        <w:rPr>
          <w:lang w:val="fr-FR"/>
        </w:rPr>
        <w:t>) recoupe spatio-temporellement (</w:t>
      </w:r>
      <w:r w:rsidRPr="1B9E7434">
        <w:rPr>
          <w:rStyle w:val="VerbatimChar"/>
          <w:lang w:val="fr-FR"/>
        </w:rPr>
        <w:t>P132_recoupe_spatio-temporellement</w:t>
      </w:r>
      <w:r w:rsidRPr="1B9E7434">
        <w:rPr>
          <w:lang w:val="fr-FR"/>
        </w:rPr>
        <w:t>) la période de Hallstatt (</w:t>
      </w:r>
      <w:r w:rsidRPr="1B9E7434">
        <w:rPr>
          <w:rStyle w:val="VerbatimChar"/>
          <w:lang w:val="fr-FR"/>
        </w:rPr>
        <w:t>E4_Période</w:t>
      </w:r>
      <w:r w:rsidRPr="1B9E7434">
        <w:rPr>
          <w:lang w:val="fr-FR"/>
        </w:rPr>
        <w:t>) (Gimbutas, 1965)</w:t>
      </w:r>
    </w:p>
    <w:p w14:paraId="558DECEA" w14:textId="77777777" w:rsidR="0084489F" w:rsidRDefault="00110FE6">
      <w:pPr>
        <w:pStyle w:val="FirstParagraph"/>
      </w:pPr>
      <w:r>
        <w:rPr>
          <w:b/>
          <w:bCs/>
        </w:rPr>
        <w:t>Logique</w:t>
      </w:r>
    </w:p>
    <w:p w14:paraId="40C6AC77" w14:textId="77777777" w:rsidR="0084489F" w:rsidRDefault="00110FE6">
      <w:pPr>
        <w:pStyle w:val="BodyText"/>
      </w:pPr>
      <w:r w:rsidRPr="1B9E7434">
        <w:rPr>
          <w:lang w:val="fr-FR"/>
        </w:rPr>
        <w:t>P132(x,y) ⇒ E92(x)</w:t>
      </w:r>
    </w:p>
    <w:p w14:paraId="20D33ACF" w14:textId="77777777" w:rsidR="0084489F" w:rsidRDefault="00110FE6">
      <w:pPr>
        <w:pStyle w:val="BodyText"/>
      </w:pPr>
      <w:r w:rsidRPr="1B9E7434">
        <w:rPr>
          <w:lang w:val="fr-FR"/>
        </w:rPr>
        <w:t>P132(x,y) ⇒ E92(y)</w:t>
      </w:r>
    </w:p>
    <w:p w14:paraId="6283C80D" w14:textId="77777777" w:rsidR="0084489F" w:rsidRDefault="00110FE6">
      <w:pPr>
        <w:pStyle w:val="BodyText"/>
      </w:pPr>
      <w:r w:rsidRPr="1B9E7434">
        <w:rPr>
          <w:lang w:val="fr-FR"/>
        </w:rPr>
        <w:t>P132(x,y) ⇒ P132(y,x)</w:t>
      </w:r>
    </w:p>
    <w:p w14:paraId="749E850B" w14:textId="77777777" w:rsidR="0084489F" w:rsidRDefault="00110FE6">
      <w:pPr>
        <w:pStyle w:val="BodyText"/>
      </w:pPr>
      <w:r w:rsidRPr="1B9E7434">
        <w:rPr>
          <w:lang w:val="fr-FR"/>
        </w:rPr>
        <w:t>P132(x,y) ⇒ P132 (x,y)</w:t>
      </w:r>
    </w:p>
    <w:p w14:paraId="0062ED89" w14:textId="77777777" w:rsidR="0084489F" w:rsidRDefault="00110FE6">
      <w:pPr>
        <w:pStyle w:val="BodyText"/>
      </w:pPr>
      <w:r w:rsidRPr="1B9E7434">
        <w:rPr>
          <w:lang w:val="fr-FR"/>
        </w:rPr>
        <w:t>P132(x,x)</w:t>
      </w:r>
    </w:p>
    <w:p w14:paraId="6E3F6208" w14:textId="77777777" w:rsidR="0084489F" w:rsidRDefault="00110FE6">
      <w:pPr>
        <w:pStyle w:val="BodyText"/>
      </w:pPr>
      <w:r>
        <w:rPr>
          <w:b/>
          <w:bCs/>
        </w:rPr>
        <w:t>Propriétés</w:t>
      </w:r>
    </w:p>
    <w:p w14:paraId="10A0AEC4" w14:textId="77777777" w:rsidR="0084489F" w:rsidRDefault="00110FE6">
      <w:pPr>
        <w:pStyle w:val="BlockText"/>
      </w:pPr>
      <w:r>
        <w:rPr>
          <w:b/>
          <w:bCs/>
          <w:i/>
          <w:iCs/>
        </w:rPr>
        <w:t>Note de traduction</w:t>
      </w:r>
    </w:p>
    <w:p w14:paraId="7F5D5F9A" w14:textId="77777777" w:rsidR="0084489F" w:rsidRDefault="00110FE6">
      <w:pPr>
        <w:pStyle w:val="BlockText"/>
      </w:pPr>
      <w:r>
        <w:rPr>
          <w:b/>
          <w:bCs/>
          <w:i/>
          <w:iCs/>
        </w:rPr>
        <w:t>Références</w:t>
      </w:r>
    </w:p>
    <w:p w14:paraId="3C29A54F" w14:textId="77777777" w:rsidR="0084489F" w:rsidRDefault="0084489F">
      <w:pPr>
        <w:pStyle w:val="BlockText"/>
      </w:pPr>
    </w:p>
    <w:p w14:paraId="24B7A609" w14:textId="77777777" w:rsidR="0084489F" w:rsidRDefault="00110FE6">
      <w:pPr>
        <w:pStyle w:val="Heading2"/>
      </w:pPr>
      <w:bookmarkStart w:id="488" w:name="_Toc176864624"/>
      <w:bookmarkStart w:id="489" w:name="X64e7cf2106da7c1f40e0b06a1642da9b45bea0c"/>
      <w:bookmarkEnd w:id="487"/>
      <w:r w:rsidRPr="1B9E7434">
        <w:rPr>
          <w:lang w:val="fr-FR"/>
        </w:rPr>
        <w:t>P133 est distinct spatio-temporellement de</w:t>
      </w:r>
      <w:bookmarkEnd w:id="488"/>
    </w:p>
    <w:p w14:paraId="3469750C" w14:textId="77777777" w:rsidR="0084489F" w:rsidRDefault="00110FE6">
      <w:pPr>
        <w:pStyle w:val="FirstParagraph"/>
      </w:pPr>
      <w:r>
        <w:rPr>
          <w:b/>
          <w:bCs/>
        </w:rPr>
        <w:t>Domaine</w:t>
      </w:r>
    </w:p>
    <w:p w14:paraId="4CBC15AA" w14:textId="77777777" w:rsidR="0084489F" w:rsidRDefault="00110FE6">
      <w:pPr>
        <w:pStyle w:val="BodyText"/>
      </w:pPr>
      <w:r>
        <w:rPr>
          <w:rStyle w:val="VerbatimChar"/>
        </w:rPr>
        <w:t>E92_Volume_spatio-temporel</w:t>
      </w:r>
    </w:p>
    <w:p w14:paraId="6697FF76" w14:textId="77777777" w:rsidR="0084489F" w:rsidRDefault="00110FE6">
      <w:pPr>
        <w:pStyle w:val="BodyText"/>
      </w:pPr>
      <w:r>
        <w:rPr>
          <w:b/>
          <w:bCs/>
        </w:rPr>
        <w:t>Portée</w:t>
      </w:r>
    </w:p>
    <w:p w14:paraId="70303080" w14:textId="77777777" w:rsidR="0084489F" w:rsidRDefault="00110FE6">
      <w:pPr>
        <w:pStyle w:val="BodyText"/>
      </w:pPr>
      <w:r>
        <w:rPr>
          <w:rStyle w:val="VerbatimChar"/>
        </w:rPr>
        <w:t>E92_Volume_spatio-temporel</w:t>
      </w:r>
    </w:p>
    <w:p w14:paraId="03C18827" w14:textId="77777777" w:rsidR="0084489F" w:rsidRDefault="00110FE6">
      <w:pPr>
        <w:pStyle w:val="BodyText"/>
      </w:pPr>
      <w:r>
        <w:rPr>
          <w:b/>
          <w:bCs/>
        </w:rPr>
        <w:t>Sous-propriété de</w:t>
      </w:r>
    </w:p>
    <w:p w14:paraId="3290F824" w14:textId="77777777" w:rsidR="0084489F" w:rsidRDefault="00110FE6">
      <w:pPr>
        <w:pStyle w:val="BodyText"/>
      </w:pPr>
      <w:r>
        <w:rPr>
          <w:b/>
          <w:bCs/>
        </w:rPr>
        <w:t>Super-propriété de</w:t>
      </w:r>
    </w:p>
    <w:p w14:paraId="7E8C4ADA" w14:textId="77777777" w:rsidR="0084489F" w:rsidRDefault="00110FE6">
      <w:pPr>
        <w:pStyle w:val="BodyText"/>
      </w:pPr>
      <w:r>
        <w:rPr>
          <w:b/>
          <w:bCs/>
        </w:rPr>
        <w:t>Quantification</w:t>
      </w:r>
    </w:p>
    <w:p w14:paraId="67207BDD" w14:textId="77777777" w:rsidR="0084489F" w:rsidRDefault="00110FE6">
      <w:pPr>
        <w:pStyle w:val="BodyText"/>
      </w:pPr>
      <w:r w:rsidRPr="1B9E7434">
        <w:rPr>
          <w:lang w:val="fr-FR"/>
        </w:rPr>
        <w:t>plusieurs à plusieurs (0,n:0,n)</w:t>
      </w:r>
    </w:p>
    <w:p w14:paraId="643CB210" w14:textId="77777777" w:rsidR="0084489F" w:rsidRDefault="00110FE6">
      <w:pPr>
        <w:pStyle w:val="BodyText"/>
      </w:pPr>
      <w:r>
        <w:rPr>
          <w:b/>
          <w:bCs/>
        </w:rPr>
        <w:t>Note d’application</w:t>
      </w:r>
    </w:p>
    <w:p w14:paraId="0787F56B" w14:textId="77777777" w:rsidR="0084489F" w:rsidRDefault="00110FE6">
      <w:pPr>
        <w:pStyle w:val="BodyText"/>
      </w:pPr>
      <w:r>
        <w:t xml:space="preserve">Cette propriété symétrique associe deux instances de </w:t>
      </w:r>
      <w:r>
        <w:rPr>
          <w:rStyle w:val="VerbatimChar"/>
        </w:rPr>
        <w:t>E92_Volume_spatio-temporel</w:t>
      </w:r>
      <w:r>
        <w:t xml:space="preserve"> qui n’ont pas d’étendue en commun.</w:t>
      </w:r>
    </w:p>
    <w:p w14:paraId="05DEC90A" w14:textId="77777777" w:rsidR="0084489F" w:rsidRDefault="00110FE6">
      <w:pPr>
        <w:pStyle w:val="BodyText"/>
      </w:pPr>
      <w:r>
        <w:lastRenderedPageBreak/>
        <w:t xml:space="preserve">Si le recoupement ne concerne que les limites floues des instances de </w:t>
      </w:r>
      <w:r>
        <w:rPr>
          <w:rStyle w:val="VerbatimChar"/>
        </w:rPr>
        <w:t>E92_Volume_spatio-temporel</w:t>
      </w:r>
      <w:r>
        <w:t xml:space="preserve">, la propriété </w:t>
      </w:r>
      <w:r>
        <w:rPr>
          <w:rStyle w:val="VerbatimChar"/>
        </w:rPr>
        <w:t>P133_est_distinct_spatio-temporellement_de</w:t>
      </w:r>
      <w:r>
        <w:t xml:space="preserve"> ne peut être déterminée par la seule observation et ne devrait donc pas être utilisée. Cependant, certaines situations peuvent justifier que les deux instances de </w:t>
      </w:r>
      <w:r>
        <w:rPr>
          <w:rStyle w:val="VerbatimChar"/>
        </w:rPr>
        <w:t>E92_Volume_spatio-temporel</w:t>
      </w:r>
      <w:r>
        <w:t xml:space="preserve"> ne partagent aucune de leur étendue, sans qu’il soit nécessaire de préciser où et quand.</w:t>
      </w:r>
    </w:p>
    <w:p w14:paraId="4ED33CD4" w14:textId="77777777" w:rsidR="0084489F" w:rsidRDefault="00110FE6">
      <w:pPr>
        <w:pStyle w:val="BodyText"/>
      </w:pPr>
      <w:r>
        <w:t xml:space="preserve">Si cette propriété s’applique à deux instances de </w:t>
      </w:r>
      <w:r>
        <w:rPr>
          <w:rStyle w:val="VerbatimChar"/>
        </w:rPr>
        <w:t>E92_Volume_spatio-temporel</w:t>
      </w:r>
      <w:r>
        <w:t xml:space="preserve">, alors il n’est pas possible que ces deux instances soient aussi reliées par la propriété </w:t>
      </w:r>
      <w:r>
        <w:rPr>
          <w:rStyle w:val="VerbatimChar"/>
        </w:rPr>
        <w:t>P132_recoupe_spatio-temporellement</w:t>
      </w:r>
      <w:r>
        <w:t xml:space="preserve">. De plus, il existe des cas où ni la propriété </w:t>
      </w:r>
      <w:r>
        <w:rPr>
          <w:rStyle w:val="VerbatimChar"/>
        </w:rPr>
        <w:t>P132_recoupe_spatio-temporellement</w:t>
      </w:r>
      <w:r>
        <w:t xml:space="preserve"> ni la </w:t>
      </w:r>
      <w:r>
        <w:rPr>
          <w:rStyle w:val="VerbatimChar"/>
        </w:rPr>
        <w:t>P133_est_distinct_spatio-temporellement_de</w:t>
      </w:r>
      <w:r>
        <w:t xml:space="preserve"> ne peut s’appliquer entre deux instances de </w:t>
      </w:r>
      <w:r>
        <w:rPr>
          <w:rStyle w:val="VerbatimChar"/>
        </w:rPr>
        <w:t>E92_Volume_spatio-temporel</w:t>
      </w:r>
      <w:r>
        <w:t>. Cela se produit lorsque les limites floues des deux instances se recoupent et qu’aucune autre indication quant à la temporalité n’est disponible.</w:t>
      </w:r>
    </w:p>
    <w:p w14:paraId="18D173B3" w14:textId="77777777" w:rsidR="0084489F" w:rsidRDefault="00110FE6">
      <w:pPr>
        <w:pStyle w:val="BodyText"/>
      </w:pPr>
      <w:r w:rsidRPr="1B9E7434">
        <w:rPr>
          <w:lang w:val="fr-FR"/>
        </w:rPr>
        <w:t>Cette propriété n’est pas transitive, mais elle est symétrique et irréflexive.</w:t>
      </w:r>
    </w:p>
    <w:p w14:paraId="365055F9" w14:textId="77777777" w:rsidR="0084489F" w:rsidRDefault="00110FE6">
      <w:pPr>
        <w:pStyle w:val="BodyText"/>
      </w:pPr>
      <w:r>
        <w:rPr>
          <w:b/>
          <w:bCs/>
        </w:rPr>
        <w:t>Exemples</w:t>
      </w:r>
    </w:p>
    <w:p w14:paraId="42FEF0EC" w14:textId="5FDE1553" w:rsidR="0084489F" w:rsidRDefault="00110FE6" w:rsidP="00806324">
      <w:pPr>
        <w:numPr>
          <w:ilvl w:val="0"/>
          <w:numId w:val="244"/>
        </w:numPr>
      </w:pPr>
      <w:r w:rsidRPr="1B9E7434">
        <w:rPr>
          <w:lang w:val="fr-FR"/>
        </w:rPr>
        <w:t>La période de la Hallstatt (</w:t>
      </w:r>
      <w:r w:rsidRPr="1B9E7434">
        <w:rPr>
          <w:rStyle w:val="VerbatimChar"/>
          <w:lang w:val="fr-FR"/>
        </w:rPr>
        <w:t>E4_Période</w:t>
      </w:r>
      <w:r w:rsidRPr="1B9E7434">
        <w:rPr>
          <w:lang w:val="fr-FR"/>
        </w:rPr>
        <w:t>) est distincte spatio-temporellement de (</w:t>
      </w:r>
      <w:r w:rsidRPr="1B9E7434">
        <w:rPr>
          <w:rStyle w:val="VerbatimChar"/>
          <w:lang w:val="fr-FR"/>
        </w:rPr>
        <w:t>P133_est_distinct_spatio-temporellement_de</w:t>
      </w:r>
      <w:r w:rsidRPr="1B9E7434">
        <w:rPr>
          <w:lang w:val="fr-FR"/>
        </w:rPr>
        <w:t>) l’ère de La Tène (</w:t>
      </w:r>
      <w:r w:rsidRPr="1B9E7434">
        <w:rPr>
          <w:rStyle w:val="VerbatimChar"/>
          <w:lang w:val="fr-FR"/>
        </w:rPr>
        <w:t>E4_Période</w:t>
      </w:r>
      <w:r w:rsidRPr="1B9E7434">
        <w:rPr>
          <w:lang w:val="fr-FR"/>
        </w:rPr>
        <w:t>) (Marion, 2004)</w:t>
      </w:r>
    </w:p>
    <w:p w14:paraId="496D61CE" w14:textId="659107FD" w:rsidR="0084489F" w:rsidRDefault="00110FE6" w:rsidP="00806324">
      <w:pPr>
        <w:numPr>
          <w:ilvl w:val="0"/>
          <w:numId w:val="244"/>
        </w:numPr>
      </w:pPr>
      <w:r w:rsidRPr="1B9E7434">
        <w:rPr>
          <w:lang w:val="fr-FR"/>
        </w:rPr>
        <w:t>Le royaume de Grèce (1831-1924) (</w:t>
      </w:r>
      <w:r w:rsidRPr="1B9E7434">
        <w:rPr>
          <w:rStyle w:val="VerbatimChar"/>
          <w:lang w:val="fr-FR"/>
        </w:rPr>
        <w:t>E92_Volume_spatio-temporel</w:t>
      </w:r>
      <w:r w:rsidRPr="1B9E7434">
        <w:rPr>
          <w:lang w:val="fr-FR"/>
        </w:rPr>
        <w:t>) est distinct spatio-temporellement de (</w:t>
      </w:r>
      <w:r w:rsidRPr="1B9E7434">
        <w:rPr>
          <w:rStyle w:val="VerbatimChar"/>
          <w:lang w:val="fr-FR"/>
        </w:rPr>
        <w:t>P133_est_distinct_spatio-temporellement_de</w:t>
      </w:r>
      <w:r w:rsidRPr="1B9E7434">
        <w:rPr>
          <w:lang w:val="fr-FR"/>
        </w:rPr>
        <w:t>) l’Empire ottoman (1299-1922) (</w:t>
      </w:r>
      <w:r w:rsidRPr="1B9E7434">
        <w:rPr>
          <w:rStyle w:val="VerbatimChar"/>
          <w:lang w:val="fr-FR"/>
        </w:rPr>
        <w:t>E92_Volume_spatio-temporel</w:t>
      </w:r>
      <w:r w:rsidRPr="1B9E7434">
        <w:rPr>
          <w:lang w:val="fr-FR"/>
        </w:rPr>
        <w:t>)</w:t>
      </w:r>
    </w:p>
    <w:p w14:paraId="044DEE09" w14:textId="776BB4E1" w:rsidR="0084489F" w:rsidRDefault="00110FE6" w:rsidP="00806324">
      <w:pPr>
        <w:numPr>
          <w:ilvl w:val="0"/>
          <w:numId w:val="244"/>
        </w:numPr>
      </w:pPr>
      <w:r w:rsidRPr="1B9E7434">
        <w:rPr>
          <w:lang w:val="fr-FR"/>
        </w:rPr>
        <w:t>Le parcours de l'armée d'Alexandre (335-323 AEC) (</w:t>
      </w:r>
      <w:r w:rsidRPr="1B9E7434">
        <w:rPr>
          <w:rStyle w:val="VerbatimChar"/>
          <w:lang w:val="fr-FR"/>
        </w:rPr>
        <w:t>E7_Activité</w:t>
      </w:r>
      <w:r w:rsidRPr="1B9E7434">
        <w:rPr>
          <w:lang w:val="fr-FR"/>
        </w:rPr>
        <w:t>) est distinct spatio-temporellement de (</w:t>
      </w:r>
      <w:r w:rsidRPr="1B9E7434">
        <w:rPr>
          <w:rStyle w:val="VerbatimChar"/>
          <w:lang w:val="fr-FR"/>
        </w:rPr>
        <w:t>P133_est_distinct_spatio-temporellement_de</w:t>
      </w:r>
      <w:r w:rsidRPr="1B9E7434">
        <w:rPr>
          <w:lang w:val="fr-FR"/>
        </w:rPr>
        <w:t>) l'Empire maurya (environ 321 à 185 AEC) (</w:t>
      </w:r>
      <w:r w:rsidRPr="1B9E7434">
        <w:rPr>
          <w:rStyle w:val="VerbatimChar"/>
          <w:lang w:val="fr-FR"/>
        </w:rPr>
        <w:t>E4_Période</w:t>
      </w:r>
      <w:r w:rsidRPr="1B9E7434">
        <w:rPr>
          <w:lang w:val="fr-FR"/>
        </w:rPr>
        <w:t>) (Lane Fox, 2004)</w:t>
      </w:r>
    </w:p>
    <w:p w14:paraId="3CB18CB6" w14:textId="77777777" w:rsidR="0084489F" w:rsidRDefault="00110FE6">
      <w:pPr>
        <w:pStyle w:val="FirstParagraph"/>
      </w:pPr>
      <w:r>
        <w:rPr>
          <w:b/>
          <w:bCs/>
        </w:rPr>
        <w:t>Logique</w:t>
      </w:r>
    </w:p>
    <w:p w14:paraId="026FF9DD" w14:textId="77777777" w:rsidR="0084489F" w:rsidRDefault="00110FE6">
      <w:pPr>
        <w:pStyle w:val="BodyText"/>
      </w:pPr>
      <w:r w:rsidRPr="1B9E7434">
        <w:rPr>
          <w:lang w:val="fr-FR"/>
        </w:rPr>
        <w:t>P133(x,y) ⇒ E92(x)</w:t>
      </w:r>
    </w:p>
    <w:p w14:paraId="1CD13B4D" w14:textId="77777777" w:rsidR="0084489F" w:rsidRDefault="00110FE6">
      <w:pPr>
        <w:pStyle w:val="BodyText"/>
      </w:pPr>
      <w:r w:rsidRPr="1B9E7434">
        <w:rPr>
          <w:lang w:val="fr-FR"/>
        </w:rPr>
        <w:t>P133(x,y) ⇒ E92(y)</w:t>
      </w:r>
    </w:p>
    <w:p w14:paraId="21DCAC4E" w14:textId="77777777" w:rsidR="0084489F" w:rsidRDefault="00110FE6">
      <w:pPr>
        <w:pStyle w:val="BodyText"/>
      </w:pPr>
      <w:r w:rsidRPr="1B9E7434">
        <w:rPr>
          <w:lang w:val="fr-FR"/>
        </w:rPr>
        <w:t>P133(x,y) ⇒ P133(y,x)</w:t>
      </w:r>
    </w:p>
    <w:p w14:paraId="29CAE0B6" w14:textId="77777777" w:rsidR="0084489F" w:rsidRDefault="00110FE6">
      <w:pPr>
        <w:pStyle w:val="BodyText"/>
      </w:pPr>
      <w:r w:rsidRPr="1B9E7434">
        <w:rPr>
          <w:lang w:val="fr-FR"/>
        </w:rPr>
        <w:t>P133(x,y) ⇒ ¬P133 (x,y)</w:t>
      </w:r>
    </w:p>
    <w:p w14:paraId="671B7EAE" w14:textId="77777777" w:rsidR="0084489F" w:rsidRDefault="00110FE6">
      <w:pPr>
        <w:pStyle w:val="BodyText"/>
      </w:pPr>
      <w:r w:rsidRPr="1B9E7434">
        <w:rPr>
          <w:lang w:val="fr-FR"/>
        </w:rPr>
        <w:t>¬P133(x,x)</w:t>
      </w:r>
    </w:p>
    <w:p w14:paraId="24D7CDE0" w14:textId="77777777" w:rsidR="0084489F" w:rsidRDefault="00110FE6">
      <w:pPr>
        <w:pStyle w:val="BodyText"/>
      </w:pPr>
      <w:r>
        <w:rPr>
          <w:b/>
          <w:bCs/>
        </w:rPr>
        <w:t>Propriétés</w:t>
      </w:r>
    </w:p>
    <w:p w14:paraId="0601DD1A" w14:textId="77777777" w:rsidR="0084489F" w:rsidRDefault="00110FE6">
      <w:pPr>
        <w:pStyle w:val="BlockText"/>
      </w:pPr>
      <w:r>
        <w:rPr>
          <w:b/>
          <w:bCs/>
          <w:i/>
          <w:iCs/>
        </w:rPr>
        <w:t>Note de traduction</w:t>
      </w:r>
    </w:p>
    <w:p w14:paraId="108BCFF1" w14:textId="77777777" w:rsidR="0084489F" w:rsidRDefault="00110FE6">
      <w:pPr>
        <w:pStyle w:val="BlockText"/>
      </w:pPr>
      <w:r>
        <w:rPr>
          <w:b/>
          <w:bCs/>
          <w:i/>
          <w:iCs/>
        </w:rPr>
        <w:t>Références</w:t>
      </w:r>
    </w:p>
    <w:p w14:paraId="5EB50B71" w14:textId="77777777" w:rsidR="0084489F" w:rsidRDefault="0084489F">
      <w:pPr>
        <w:pStyle w:val="BlockText"/>
      </w:pPr>
    </w:p>
    <w:p w14:paraId="6284E569" w14:textId="77777777" w:rsidR="0084489F" w:rsidRDefault="00110FE6">
      <w:pPr>
        <w:pStyle w:val="Heading2"/>
      </w:pPr>
      <w:bookmarkStart w:id="490" w:name="_Toc176864625"/>
      <w:bookmarkStart w:id="491" w:name="p134-a-continue-(a-ete-continue-par)"/>
      <w:bookmarkEnd w:id="489"/>
      <w:r>
        <w:t>P134 a continué (a été continué par)</w:t>
      </w:r>
      <w:bookmarkEnd w:id="490"/>
    </w:p>
    <w:p w14:paraId="1F61D48C" w14:textId="77777777" w:rsidR="0084489F" w:rsidRDefault="00110FE6">
      <w:pPr>
        <w:pStyle w:val="FirstParagraph"/>
      </w:pPr>
      <w:r>
        <w:rPr>
          <w:b/>
          <w:bCs/>
        </w:rPr>
        <w:t>Domaine</w:t>
      </w:r>
    </w:p>
    <w:p w14:paraId="0723CBD1" w14:textId="77777777" w:rsidR="0084489F" w:rsidRDefault="00110FE6">
      <w:pPr>
        <w:pStyle w:val="BodyText"/>
      </w:pPr>
      <w:r>
        <w:rPr>
          <w:rStyle w:val="VerbatimChar"/>
        </w:rPr>
        <w:t>E7_Activité</w:t>
      </w:r>
    </w:p>
    <w:p w14:paraId="034EB2F2" w14:textId="77777777" w:rsidR="0084489F" w:rsidRDefault="00110FE6">
      <w:pPr>
        <w:pStyle w:val="BodyText"/>
      </w:pPr>
      <w:r>
        <w:rPr>
          <w:b/>
          <w:bCs/>
        </w:rPr>
        <w:t>Portée</w:t>
      </w:r>
    </w:p>
    <w:p w14:paraId="7D33B338" w14:textId="77777777" w:rsidR="0084489F" w:rsidRDefault="00110FE6">
      <w:pPr>
        <w:pStyle w:val="BodyText"/>
      </w:pPr>
      <w:r>
        <w:rPr>
          <w:rStyle w:val="VerbatimChar"/>
        </w:rPr>
        <w:t>E7_Activité</w:t>
      </w:r>
    </w:p>
    <w:p w14:paraId="436F6C39" w14:textId="77777777" w:rsidR="0084489F" w:rsidRDefault="00110FE6" w:rsidP="00FA3C06">
      <w:pPr>
        <w:pStyle w:val="BodyText"/>
        <w:keepNext/>
      </w:pPr>
      <w:r>
        <w:rPr>
          <w:b/>
          <w:bCs/>
        </w:rPr>
        <w:lastRenderedPageBreak/>
        <w:t>Sous-propriété de</w:t>
      </w:r>
    </w:p>
    <w:p w14:paraId="2497A172" w14:textId="77777777" w:rsidR="0084489F" w:rsidRDefault="00110FE6" w:rsidP="00FA3C06">
      <w:pPr>
        <w:pStyle w:val="BodyText"/>
        <w:keepNext/>
      </w:pPr>
      <w:r w:rsidRPr="1B9E7434">
        <w:rPr>
          <w:rStyle w:val="VerbatimChar"/>
          <w:lang w:val="fr-FR"/>
        </w:rPr>
        <w:t>E7_Activité</w:t>
      </w:r>
      <w:r w:rsidRPr="1B9E7434">
        <w:rPr>
          <w:lang w:val="fr-FR"/>
        </w:rPr>
        <w:t xml:space="preserve"> . </w:t>
      </w:r>
      <w:r w:rsidRPr="1B9E7434">
        <w:rPr>
          <w:rStyle w:val="VerbatimChar"/>
          <w:lang w:val="fr-FR"/>
        </w:rPr>
        <w:t>P15_a_été_influencé_par (a_influencé)</w:t>
      </w:r>
      <w:r w:rsidRPr="1B9E7434">
        <w:rPr>
          <w:lang w:val="fr-FR"/>
        </w:rPr>
        <w:t xml:space="preserve"> : </w:t>
      </w:r>
      <w:r w:rsidRPr="1B9E7434">
        <w:rPr>
          <w:rStyle w:val="VerbatimChar"/>
          <w:lang w:val="fr-FR"/>
        </w:rPr>
        <w:t>E1_Entité_CRM</w:t>
      </w:r>
    </w:p>
    <w:p w14:paraId="68196AFA" w14:textId="77777777" w:rsidR="0084489F" w:rsidRDefault="00110FE6">
      <w:pPr>
        <w:pStyle w:val="BodyText"/>
      </w:pPr>
      <w:r w:rsidRPr="1B9E7434">
        <w:rPr>
          <w:rStyle w:val="VerbatimChar"/>
          <w:lang w:val="fr-FR"/>
        </w:rPr>
        <w:t>E2_Entité_temporelle</w:t>
      </w:r>
      <w:r w:rsidRPr="1B9E7434">
        <w:rPr>
          <w:lang w:val="fr-FR"/>
        </w:rPr>
        <w:t xml:space="preserve"> . </w:t>
      </w:r>
      <w:r w:rsidRPr="1B9E7434">
        <w:rPr>
          <w:rStyle w:val="VerbatimChar"/>
          <w:lang w:val="fr-FR"/>
        </w:rPr>
        <w:t>P176i_commence_après_le_début_de (commence_avant_le_début_de)</w:t>
      </w:r>
      <w:r w:rsidRPr="1B9E7434">
        <w:rPr>
          <w:lang w:val="fr-FR"/>
        </w:rPr>
        <w:t xml:space="preserve"> : </w:t>
      </w:r>
      <w:r w:rsidRPr="1B9E7434">
        <w:rPr>
          <w:rStyle w:val="VerbatimChar"/>
          <w:lang w:val="fr-FR"/>
        </w:rPr>
        <w:t>E2_Entité_temporelle</w:t>
      </w:r>
    </w:p>
    <w:p w14:paraId="3229ED7C" w14:textId="77777777" w:rsidR="0084489F" w:rsidRDefault="00110FE6">
      <w:pPr>
        <w:pStyle w:val="BodyText"/>
      </w:pPr>
      <w:r>
        <w:rPr>
          <w:b/>
          <w:bCs/>
        </w:rPr>
        <w:t>Super-propriété de</w:t>
      </w:r>
    </w:p>
    <w:p w14:paraId="0D8880C5" w14:textId="77777777" w:rsidR="0084489F" w:rsidRDefault="00110FE6">
      <w:pPr>
        <w:pStyle w:val="BodyText"/>
      </w:pPr>
      <w:r>
        <w:rPr>
          <w:b/>
          <w:bCs/>
        </w:rPr>
        <w:t>Quantification</w:t>
      </w:r>
    </w:p>
    <w:p w14:paraId="48C0CD6C" w14:textId="77777777" w:rsidR="0084489F" w:rsidRDefault="00110FE6">
      <w:pPr>
        <w:pStyle w:val="BodyText"/>
      </w:pPr>
      <w:r w:rsidRPr="1B9E7434">
        <w:rPr>
          <w:lang w:val="fr-FR"/>
        </w:rPr>
        <w:t>plusieurs à plusieurs (0,n:0,n)</w:t>
      </w:r>
    </w:p>
    <w:p w14:paraId="2795897E" w14:textId="77777777" w:rsidR="0084489F" w:rsidRDefault="00110FE6">
      <w:pPr>
        <w:pStyle w:val="BodyText"/>
      </w:pPr>
      <w:r>
        <w:rPr>
          <w:b/>
          <w:bCs/>
        </w:rPr>
        <w:t>Note d’application</w:t>
      </w:r>
    </w:p>
    <w:p w14:paraId="2EC877C6" w14:textId="77777777" w:rsidR="0084489F" w:rsidRDefault="00110FE6">
      <w:pPr>
        <w:pStyle w:val="BodyText"/>
      </w:pPr>
      <w:r>
        <w:t xml:space="preserve">Cette propriété associe deux instances de </w:t>
      </w:r>
      <w:r>
        <w:rPr>
          <w:rStyle w:val="VerbatimChar"/>
        </w:rPr>
        <w:t>E7_Activité</w:t>
      </w:r>
      <w:r>
        <w:t xml:space="preserve"> lorsque le domaine de la propriété est considéré être une continuation intentionnelle de sa portée.</w:t>
      </w:r>
    </w:p>
    <w:p w14:paraId="5BA7A7F7" w14:textId="77777777" w:rsidR="0084489F" w:rsidRDefault="00110FE6">
      <w:pPr>
        <w:pStyle w:val="BodyText"/>
      </w:pPr>
      <w:r>
        <w:t>La continuation d’une activité peut se produire soit lorsque cette dernière est toujours en cours, soit après que cette activité a complètement pris fin. Une activité en cours peut avoir commencé avant d’être devenue une continuation d’une autre activité. La continuation suppose une cohérence dans les intentions et les résultats attendus des activités impliquées.</w:t>
      </w:r>
    </w:p>
    <w:p w14:paraId="49E3A20B" w14:textId="77777777" w:rsidR="0084489F" w:rsidRDefault="00110FE6">
      <w:pPr>
        <w:pStyle w:val="BodyText"/>
      </w:pPr>
      <w:r>
        <w:t>Cette propriété n’est pas transitive et est asymétrique.</w:t>
      </w:r>
    </w:p>
    <w:p w14:paraId="3CCC6EBE" w14:textId="77777777" w:rsidR="0084489F" w:rsidRDefault="00110FE6">
      <w:pPr>
        <w:pStyle w:val="BodyText"/>
      </w:pPr>
      <w:r>
        <w:rPr>
          <w:b/>
          <w:bCs/>
        </w:rPr>
        <w:t>Exemples</w:t>
      </w:r>
    </w:p>
    <w:p w14:paraId="09C13456" w14:textId="77777777" w:rsidR="0084489F" w:rsidRDefault="00110FE6" w:rsidP="00806324">
      <w:pPr>
        <w:numPr>
          <w:ilvl w:val="0"/>
          <w:numId w:val="245"/>
        </w:numPr>
      </w:pPr>
      <w:r>
        <w:t>La construction de la cathédrale de Cologne (</w:t>
      </w:r>
      <w:r>
        <w:rPr>
          <w:rStyle w:val="VerbatimChar"/>
        </w:rPr>
        <w:t>E7_Activité</w:t>
      </w:r>
      <w:r>
        <w:t>), abandonnée au XV</w:t>
      </w:r>
      <w:r>
        <w:rPr>
          <w:vertAlign w:val="superscript"/>
        </w:rPr>
        <w:t>e</w:t>
      </w:r>
      <w:r>
        <w:t> siècle, a repris (</w:t>
      </w:r>
      <w:r>
        <w:rPr>
          <w:rStyle w:val="VerbatimChar"/>
        </w:rPr>
        <w:t>P134_a_continué</w:t>
      </w:r>
      <w:r>
        <w:t>) au XIX</w:t>
      </w:r>
      <w:r>
        <w:rPr>
          <w:vertAlign w:val="superscript"/>
        </w:rPr>
        <w:t>e</w:t>
      </w:r>
      <w:r>
        <w:t> siècle (</w:t>
      </w:r>
      <w:r>
        <w:rPr>
          <w:rStyle w:val="VerbatimChar"/>
        </w:rPr>
        <w:t>E7_Activité</w:t>
      </w:r>
      <w:r>
        <w:t>) [avec l’adaptation des plans initiaux afin de préserver l’apparence prévue du bâtiment] (Wolff, 1999)</w:t>
      </w:r>
    </w:p>
    <w:p w14:paraId="54017B64" w14:textId="77777777" w:rsidR="0084489F" w:rsidRDefault="00110FE6">
      <w:pPr>
        <w:pStyle w:val="FirstParagraph"/>
      </w:pPr>
      <w:r>
        <w:rPr>
          <w:b/>
          <w:bCs/>
        </w:rPr>
        <w:t>Logique</w:t>
      </w:r>
    </w:p>
    <w:p w14:paraId="57E7955A" w14:textId="77777777" w:rsidR="0084489F" w:rsidRDefault="00110FE6">
      <w:pPr>
        <w:pStyle w:val="BodyText"/>
      </w:pPr>
      <w:r w:rsidRPr="1B9E7434">
        <w:rPr>
          <w:lang w:val="fr-FR"/>
        </w:rPr>
        <w:t>P134(x,y) ⇒ E7(x)</w:t>
      </w:r>
    </w:p>
    <w:p w14:paraId="6A59785B" w14:textId="77777777" w:rsidR="0084489F" w:rsidRDefault="00110FE6">
      <w:pPr>
        <w:pStyle w:val="BodyText"/>
      </w:pPr>
      <w:r w:rsidRPr="1B9E7434">
        <w:rPr>
          <w:lang w:val="fr-FR"/>
        </w:rPr>
        <w:t>P134(x,y)⇒ E7(y)</w:t>
      </w:r>
    </w:p>
    <w:p w14:paraId="056B3306" w14:textId="77777777" w:rsidR="0084489F" w:rsidRDefault="00110FE6">
      <w:pPr>
        <w:pStyle w:val="BodyText"/>
      </w:pPr>
      <w:r w:rsidRPr="1B9E7434">
        <w:rPr>
          <w:lang w:val="fr-FR"/>
        </w:rPr>
        <w:t>P134(x,y) ⇒ P15(x,y)</w:t>
      </w:r>
    </w:p>
    <w:p w14:paraId="7C91193C" w14:textId="77777777" w:rsidR="0084489F" w:rsidRDefault="00110FE6">
      <w:pPr>
        <w:pStyle w:val="BodyText"/>
      </w:pPr>
      <w:r w:rsidRPr="1B9E7434">
        <w:rPr>
          <w:lang w:val="fr-FR"/>
        </w:rPr>
        <w:t>P134(x,y) ⇒ P176i(x,y)</w:t>
      </w:r>
    </w:p>
    <w:p w14:paraId="65820B81" w14:textId="77777777" w:rsidR="0084489F" w:rsidRDefault="00110FE6">
      <w:pPr>
        <w:pStyle w:val="BodyText"/>
      </w:pPr>
      <w:r w:rsidRPr="1B9E7434">
        <w:rPr>
          <w:lang w:val="fr-FR"/>
        </w:rPr>
        <w:t>P134(x,y) ⇒ ¬P134(y,x)</w:t>
      </w:r>
    </w:p>
    <w:p w14:paraId="490045AE" w14:textId="77777777" w:rsidR="0084489F" w:rsidRDefault="00110FE6">
      <w:pPr>
        <w:pStyle w:val="BodyText"/>
      </w:pPr>
      <w:r>
        <w:rPr>
          <w:b/>
          <w:bCs/>
        </w:rPr>
        <w:t>Propriétés</w:t>
      </w:r>
    </w:p>
    <w:p w14:paraId="2A7DFAAE" w14:textId="77777777" w:rsidR="0084489F" w:rsidRDefault="00110FE6">
      <w:pPr>
        <w:pStyle w:val="BlockText"/>
      </w:pPr>
      <w:r>
        <w:rPr>
          <w:b/>
          <w:bCs/>
          <w:i/>
          <w:iCs/>
        </w:rPr>
        <w:t>Note de traduction</w:t>
      </w:r>
    </w:p>
    <w:p w14:paraId="3E06B037" w14:textId="77777777" w:rsidR="0084489F" w:rsidRDefault="00110FE6">
      <w:pPr>
        <w:pStyle w:val="BlockText"/>
      </w:pPr>
      <w:r>
        <w:rPr>
          <w:b/>
          <w:bCs/>
          <w:i/>
          <w:iCs/>
        </w:rPr>
        <w:t>Références</w:t>
      </w:r>
    </w:p>
    <w:p w14:paraId="21A30101" w14:textId="77777777" w:rsidR="0084489F" w:rsidRDefault="0084489F">
      <w:pPr>
        <w:pStyle w:val="BlockText"/>
      </w:pPr>
    </w:p>
    <w:p w14:paraId="056A40BC" w14:textId="77777777" w:rsidR="0084489F" w:rsidRDefault="00110FE6">
      <w:pPr>
        <w:pStyle w:val="Heading2"/>
      </w:pPr>
      <w:bookmarkStart w:id="492" w:name="_Toc176864626"/>
      <w:bookmarkStart w:id="493" w:name="p135-a-cree-le-type-(a-ete-cree-par)"/>
      <w:bookmarkEnd w:id="491"/>
      <w:r>
        <w:t>P135 a créé le type (a été créé par)</w:t>
      </w:r>
      <w:bookmarkEnd w:id="492"/>
    </w:p>
    <w:p w14:paraId="584216B5" w14:textId="77777777" w:rsidR="0084489F" w:rsidRDefault="00110FE6">
      <w:pPr>
        <w:pStyle w:val="FirstParagraph"/>
      </w:pPr>
      <w:r>
        <w:rPr>
          <w:b/>
          <w:bCs/>
        </w:rPr>
        <w:t>Domaine</w:t>
      </w:r>
    </w:p>
    <w:p w14:paraId="7A6DF03F" w14:textId="77777777" w:rsidR="0084489F" w:rsidRDefault="00110FE6">
      <w:pPr>
        <w:pStyle w:val="BodyText"/>
      </w:pPr>
      <w:r>
        <w:rPr>
          <w:rStyle w:val="VerbatimChar"/>
        </w:rPr>
        <w:t>E83_Création_de_type</w:t>
      </w:r>
    </w:p>
    <w:p w14:paraId="66A6A090" w14:textId="77777777" w:rsidR="0084489F" w:rsidRDefault="00110FE6">
      <w:pPr>
        <w:pStyle w:val="BodyText"/>
      </w:pPr>
      <w:r>
        <w:rPr>
          <w:b/>
          <w:bCs/>
        </w:rPr>
        <w:t>Portée</w:t>
      </w:r>
    </w:p>
    <w:p w14:paraId="216AA1EF" w14:textId="77777777" w:rsidR="0084489F" w:rsidRDefault="00110FE6">
      <w:pPr>
        <w:pStyle w:val="BodyText"/>
      </w:pPr>
      <w:r>
        <w:rPr>
          <w:rStyle w:val="VerbatimChar"/>
        </w:rPr>
        <w:t>E55_Type</w:t>
      </w:r>
    </w:p>
    <w:p w14:paraId="12D31DB3" w14:textId="77777777" w:rsidR="0084489F" w:rsidRDefault="00110FE6">
      <w:pPr>
        <w:pStyle w:val="BodyText"/>
      </w:pPr>
      <w:r>
        <w:rPr>
          <w:b/>
          <w:bCs/>
        </w:rPr>
        <w:lastRenderedPageBreak/>
        <w:t>Sous-propriété de</w:t>
      </w:r>
    </w:p>
    <w:p w14:paraId="482727A1" w14:textId="77777777" w:rsidR="0084489F" w:rsidRDefault="00110FE6">
      <w:pPr>
        <w:pStyle w:val="BodyText"/>
      </w:pPr>
      <w:r w:rsidRPr="1B9E7434">
        <w:rPr>
          <w:rStyle w:val="VerbatimChar"/>
          <w:lang w:val="fr-FR"/>
        </w:rPr>
        <w:t>E65_Création</w:t>
      </w:r>
      <w:r w:rsidRPr="1B9E7434">
        <w:rPr>
          <w:lang w:val="fr-FR"/>
        </w:rPr>
        <w:t xml:space="preserve">. </w:t>
      </w:r>
      <w:r w:rsidRPr="1B9E7434">
        <w:rPr>
          <w:rStyle w:val="VerbatimChar"/>
          <w:lang w:val="fr-FR"/>
        </w:rPr>
        <w:t>P94_a_créé (a_été_créé_par)</w:t>
      </w:r>
      <w:r w:rsidRPr="1B9E7434">
        <w:rPr>
          <w:lang w:val="fr-FR"/>
        </w:rPr>
        <w:t xml:space="preserve"> : </w:t>
      </w:r>
      <w:r w:rsidRPr="1B9E7434">
        <w:rPr>
          <w:rStyle w:val="VerbatimChar"/>
          <w:lang w:val="fr-FR"/>
        </w:rPr>
        <w:t>E28_Objet_conceptuel</w:t>
      </w:r>
    </w:p>
    <w:p w14:paraId="21282FE5" w14:textId="77777777" w:rsidR="0084489F" w:rsidRDefault="00110FE6">
      <w:pPr>
        <w:pStyle w:val="BodyText"/>
      </w:pPr>
      <w:r>
        <w:rPr>
          <w:b/>
          <w:bCs/>
        </w:rPr>
        <w:t>Super-propriété de</w:t>
      </w:r>
    </w:p>
    <w:p w14:paraId="1DC226F4" w14:textId="77777777" w:rsidR="0084489F" w:rsidRDefault="00110FE6">
      <w:pPr>
        <w:pStyle w:val="BodyText"/>
      </w:pPr>
      <w:r>
        <w:rPr>
          <w:b/>
          <w:bCs/>
        </w:rPr>
        <w:t>Quantification</w:t>
      </w:r>
    </w:p>
    <w:p w14:paraId="3C5D3269" w14:textId="77777777" w:rsidR="0084489F" w:rsidRDefault="00110FE6">
      <w:pPr>
        <w:pStyle w:val="BodyText"/>
      </w:pPr>
      <w:r w:rsidRPr="1B9E7434">
        <w:rPr>
          <w:lang w:val="fr-FR"/>
        </w:rPr>
        <w:t>un à plusieurs, nécessaire (1,n:0,1)</w:t>
      </w:r>
    </w:p>
    <w:p w14:paraId="5E63C2D4" w14:textId="77777777" w:rsidR="0084489F" w:rsidRDefault="00110FE6">
      <w:pPr>
        <w:pStyle w:val="BodyText"/>
      </w:pPr>
      <w:r>
        <w:rPr>
          <w:b/>
          <w:bCs/>
        </w:rPr>
        <w:t>Note d’application</w:t>
      </w:r>
    </w:p>
    <w:p w14:paraId="3436334E" w14:textId="77777777" w:rsidR="0084489F" w:rsidRDefault="00110FE6">
      <w:pPr>
        <w:pStyle w:val="BodyText"/>
      </w:pPr>
      <w:r>
        <w:t xml:space="preserve">Cette propriété identifie l’instance de </w:t>
      </w:r>
      <w:r>
        <w:rPr>
          <w:rStyle w:val="VerbatimChar"/>
        </w:rPr>
        <w:t>E55_Type</w:t>
      </w:r>
      <w:r>
        <w:t xml:space="preserve">, qui est créée au cours d’une instance de </w:t>
      </w:r>
      <w:r>
        <w:rPr>
          <w:rStyle w:val="VerbatimChar"/>
        </w:rPr>
        <w:t>E83_Création_de_type</w:t>
      </w:r>
      <w:r>
        <w:t>.</w:t>
      </w:r>
    </w:p>
    <w:p w14:paraId="1E5B0D95" w14:textId="77777777" w:rsidR="0084489F" w:rsidRDefault="00110FE6">
      <w:pPr>
        <w:pStyle w:val="BodyText"/>
      </w:pPr>
      <w:r>
        <w:rPr>
          <w:b/>
          <w:bCs/>
        </w:rPr>
        <w:t>Exemples</w:t>
      </w:r>
    </w:p>
    <w:p w14:paraId="2624C33B" w14:textId="2993A03E" w:rsidR="0084489F" w:rsidRDefault="00110FE6" w:rsidP="00806324">
      <w:pPr>
        <w:numPr>
          <w:ilvl w:val="0"/>
          <w:numId w:val="246"/>
        </w:numPr>
      </w:pPr>
      <w:r w:rsidRPr="1B9E7434">
        <w:rPr>
          <w:lang w:val="fr-FR"/>
        </w:rPr>
        <w:t>La description d’une nouvelle espèce de némertes par Bürger (</w:t>
      </w:r>
      <w:r w:rsidRPr="1B9E7434">
        <w:rPr>
          <w:rStyle w:val="VerbatimChar"/>
          <w:lang w:val="fr-FR"/>
        </w:rPr>
        <w:t>E83_Création_de_type</w:t>
      </w:r>
      <w:r w:rsidRPr="1B9E7434">
        <w:rPr>
          <w:lang w:val="fr-FR"/>
        </w:rPr>
        <w:t>) a créé le type (</w:t>
      </w:r>
      <w:r w:rsidRPr="1B9E7434">
        <w:rPr>
          <w:rStyle w:val="VerbatimChar"/>
          <w:lang w:val="fr-FR"/>
        </w:rPr>
        <w:t>P135_a_créé_le_type</w:t>
      </w:r>
      <w:r w:rsidRPr="1B9E7434">
        <w:rPr>
          <w:lang w:val="fr-FR"/>
        </w:rPr>
        <w:t>) « Lineus kennelii » (</w:t>
      </w:r>
      <w:r w:rsidRPr="1B9E7434">
        <w:rPr>
          <w:rStyle w:val="VerbatimChar"/>
          <w:lang w:val="fr-FR"/>
        </w:rPr>
        <w:t>E55_Type</w:t>
      </w:r>
      <w:r w:rsidRPr="1B9E7434">
        <w:rPr>
          <w:lang w:val="fr-FR"/>
        </w:rPr>
        <w:t>) (Bürger, 1892)</w:t>
      </w:r>
    </w:p>
    <w:p w14:paraId="6B626774" w14:textId="77777777" w:rsidR="0084489F" w:rsidRDefault="00110FE6">
      <w:pPr>
        <w:pStyle w:val="FirstParagraph"/>
      </w:pPr>
      <w:r>
        <w:rPr>
          <w:b/>
          <w:bCs/>
        </w:rPr>
        <w:t>Logique</w:t>
      </w:r>
    </w:p>
    <w:p w14:paraId="3927AFBF" w14:textId="77777777" w:rsidR="0084489F" w:rsidRDefault="00110FE6">
      <w:pPr>
        <w:pStyle w:val="BodyText"/>
      </w:pPr>
      <w:r w:rsidRPr="1B9E7434">
        <w:rPr>
          <w:lang w:val="fr-FR"/>
        </w:rPr>
        <w:t>P135(x,y) ⇒ E83(x)</w:t>
      </w:r>
    </w:p>
    <w:p w14:paraId="428E0DB9" w14:textId="77777777" w:rsidR="0084489F" w:rsidRDefault="00110FE6">
      <w:pPr>
        <w:pStyle w:val="BodyText"/>
      </w:pPr>
      <w:r w:rsidRPr="1B9E7434">
        <w:rPr>
          <w:lang w:val="fr-FR"/>
        </w:rPr>
        <w:t>P135(x,y) ⇒ E55(y)</w:t>
      </w:r>
    </w:p>
    <w:p w14:paraId="5EB15C27" w14:textId="77777777" w:rsidR="0084489F" w:rsidRDefault="00110FE6">
      <w:pPr>
        <w:pStyle w:val="BodyText"/>
      </w:pPr>
      <w:r w:rsidRPr="1B9E7434">
        <w:rPr>
          <w:lang w:val="fr-FR"/>
        </w:rPr>
        <w:t>P135(x,y) ⇒ P94(x,y)</w:t>
      </w:r>
    </w:p>
    <w:p w14:paraId="55293E3A" w14:textId="77777777" w:rsidR="0084489F" w:rsidRDefault="00110FE6">
      <w:pPr>
        <w:pStyle w:val="BodyText"/>
      </w:pPr>
      <w:r>
        <w:rPr>
          <w:b/>
          <w:bCs/>
        </w:rPr>
        <w:t>Propriétés</w:t>
      </w:r>
    </w:p>
    <w:p w14:paraId="2A450CCA" w14:textId="77777777" w:rsidR="0084489F" w:rsidRDefault="00110FE6">
      <w:pPr>
        <w:pStyle w:val="BlockText"/>
      </w:pPr>
      <w:r>
        <w:rPr>
          <w:b/>
          <w:bCs/>
          <w:i/>
          <w:iCs/>
        </w:rPr>
        <w:t>Note de traduction</w:t>
      </w:r>
    </w:p>
    <w:p w14:paraId="3608736E" w14:textId="77777777" w:rsidR="0084489F" w:rsidRDefault="00110FE6">
      <w:pPr>
        <w:pStyle w:val="BlockText"/>
      </w:pPr>
      <w:r>
        <w:rPr>
          <w:b/>
          <w:bCs/>
          <w:i/>
          <w:iCs/>
        </w:rPr>
        <w:t>Références</w:t>
      </w:r>
    </w:p>
    <w:p w14:paraId="7D4118D3" w14:textId="77777777" w:rsidR="0084489F" w:rsidRDefault="0084489F">
      <w:pPr>
        <w:pStyle w:val="BlockText"/>
      </w:pPr>
    </w:p>
    <w:p w14:paraId="45625D00" w14:textId="77777777" w:rsidR="0084489F" w:rsidRDefault="00110FE6">
      <w:pPr>
        <w:pStyle w:val="Heading2"/>
      </w:pPr>
      <w:bookmarkStart w:id="494" w:name="_Toc176864627"/>
      <w:bookmarkStart w:id="495" w:name="X2bf6873e345f104a3124fa298d344bbdac7fea7"/>
      <w:bookmarkEnd w:id="493"/>
      <w:r>
        <w:t>P136 a été fondé sur (a fondé la création du type)</w:t>
      </w:r>
      <w:bookmarkEnd w:id="494"/>
    </w:p>
    <w:p w14:paraId="699696B3" w14:textId="77777777" w:rsidR="0084489F" w:rsidRDefault="00110FE6">
      <w:pPr>
        <w:pStyle w:val="FirstParagraph"/>
      </w:pPr>
      <w:r>
        <w:rPr>
          <w:b/>
          <w:bCs/>
        </w:rPr>
        <w:t>Domaine</w:t>
      </w:r>
    </w:p>
    <w:p w14:paraId="512038BA" w14:textId="77777777" w:rsidR="0084489F" w:rsidRDefault="00110FE6">
      <w:pPr>
        <w:pStyle w:val="BodyText"/>
      </w:pPr>
      <w:r>
        <w:rPr>
          <w:rStyle w:val="VerbatimChar"/>
        </w:rPr>
        <w:t>E83_Création_de_type</w:t>
      </w:r>
    </w:p>
    <w:p w14:paraId="5C2D2065" w14:textId="77777777" w:rsidR="0084489F" w:rsidRDefault="00110FE6">
      <w:pPr>
        <w:pStyle w:val="BodyText"/>
      </w:pPr>
      <w:r>
        <w:rPr>
          <w:b/>
          <w:bCs/>
        </w:rPr>
        <w:t>Portée</w:t>
      </w:r>
    </w:p>
    <w:p w14:paraId="4A40A0F3" w14:textId="77777777" w:rsidR="0084489F" w:rsidRDefault="00110FE6">
      <w:pPr>
        <w:pStyle w:val="BodyText"/>
      </w:pPr>
      <w:r>
        <w:rPr>
          <w:rStyle w:val="VerbatimChar"/>
        </w:rPr>
        <w:t>E1_Entité_CRM</w:t>
      </w:r>
    </w:p>
    <w:p w14:paraId="2C6B7773" w14:textId="77777777" w:rsidR="0084489F" w:rsidRDefault="00110FE6">
      <w:pPr>
        <w:pStyle w:val="BodyText"/>
      </w:pPr>
      <w:r>
        <w:rPr>
          <w:b/>
          <w:bCs/>
        </w:rPr>
        <w:t>Sous-propriété de</w:t>
      </w:r>
    </w:p>
    <w:p w14:paraId="31D24335"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P15_a_été_influencé_par (a_influencé)</w:t>
      </w:r>
      <w:r w:rsidRPr="1B9E7434">
        <w:rPr>
          <w:lang w:val="fr-FR"/>
        </w:rPr>
        <w:t xml:space="preserve"> : </w:t>
      </w:r>
      <w:r w:rsidRPr="1B9E7434">
        <w:rPr>
          <w:rStyle w:val="VerbatimChar"/>
          <w:lang w:val="fr-FR"/>
        </w:rPr>
        <w:t>E1_Entité_CRM</w:t>
      </w:r>
    </w:p>
    <w:p w14:paraId="6A690638" w14:textId="77777777" w:rsidR="0084489F" w:rsidRDefault="00110FE6">
      <w:pPr>
        <w:pStyle w:val="BodyText"/>
      </w:pPr>
      <w:r>
        <w:rPr>
          <w:b/>
          <w:bCs/>
        </w:rPr>
        <w:t>Super-propriété de</w:t>
      </w:r>
    </w:p>
    <w:p w14:paraId="5A207480" w14:textId="77777777" w:rsidR="0084489F" w:rsidRDefault="00110FE6">
      <w:pPr>
        <w:pStyle w:val="BodyText"/>
      </w:pPr>
      <w:r>
        <w:rPr>
          <w:b/>
          <w:bCs/>
        </w:rPr>
        <w:t>Quantification</w:t>
      </w:r>
    </w:p>
    <w:p w14:paraId="2A222A64" w14:textId="77777777" w:rsidR="0084489F" w:rsidRDefault="00110FE6">
      <w:pPr>
        <w:pStyle w:val="BodyText"/>
      </w:pPr>
      <w:r w:rsidRPr="1B9E7434">
        <w:rPr>
          <w:lang w:val="fr-FR"/>
        </w:rPr>
        <w:t>plusieurs à plusieurs (0,n:0,n)</w:t>
      </w:r>
    </w:p>
    <w:p w14:paraId="7BC11AA3" w14:textId="77777777" w:rsidR="0084489F" w:rsidRDefault="00110FE6">
      <w:pPr>
        <w:pStyle w:val="BodyText"/>
      </w:pPr>
      <w:r>
        <w:rPr>
          <w:b/>
          <w:bCs/>
        </w:rPr>
        <w:t>Note d’application</w:t>
      </w:r>
    </w:p>
    <w:p w14:paraId="3A27D707" w14:textId="77777777" w:rsidR="0084489F" w:rsidRDefault="00110FE6">
      <w:pPr>
        <w:pStyle w:val="BodyText"/>
      </w:pPr>
      <w:r>
        <w:t xml:space="preserve">Cette propriété identifie une ou plusieurs instances de </w:t>
      </w:r>
      <w:r>
        <w:rPr>
          <w:rStyle w:val="VerbatimChar"/>
        </w:rPr>
        <w:t>E1_Entité_CRM</w:t>
      </w:r>
      <w:r>
        <w:t xml:space="preserve"> qui ont été utilisées comme preuves pour déclarer une nouvelle instance de </w:t>
      </w:r>
      <w:r>
        <w:rPr>
          <w:rStyle w:val="VerbatimChar"/>
        </w:rPr>
        <w:t>E55_Type</w:t>
      </w:r>
      <w:r>
        <w:t xml:space="preserve">. L’examen de ces entités est souvent le seul moyen objectif de comprendre les caractéristiques précises d’une nouvelle instance de </w:t>
      </w:r>
      <w:r>
        <w:rPr>
          <w:rStyle w:val="VerbatimChar"/>
        </w:rPr>
        <w:t>E55_Type</w:t>
      </w:r>
      <w:r>
        <w:t xml:space="preserve">. Pour </w:t>
      </w:r>
      <w:r>
        <w:lastRenderedPageBreak/>
        <w:t>cette raison, de telles entités doivent être déposées dans un musée ou une institution similaire. Le rôle taxonomique rend compte de la relation spécifique entre chaque item et son type, par exemple « holotype » ou « élément original ».</w:t>
      </w:r>
    </w:p>
    <w:p w14:paraId="2570EC1B" w14:textId="77777777" w:rsidR="0084489F" w:rsidRDefault="00110FE6">
      <w:pPr>
        <w:pStyle w:val="BodyText"/>
      </w:pPr>
      <w:r>
        <w:rPr>
          <w:b/>
          <w:bCs/>
        </w:rPr>
        <w:t>Exemples</w:t>
      </w:r>
    </w:p>
    <w:p w14:paraId="781E8300" w14:textId="3865BC69" w:rsidR="0084489F" w:rsidRDefault="00110FE6" w:rsidP="00806324">
      <w:pPr>
        <w:numPr>
          <w:ilvl w:val="0"/>
          <w:numId w:val="247"/>
        </w:numPr>
      </w:pPr>
      <w:r w:rsidRPr="1B9E7434">
        <w:rPr>
          <w:lang w:val="fr-FR"/>
        </w:rPr>
        <w:t>La création du taxon de l’espèce végétale « Serratula glauca » par Linné en 1753 (</w:t>
      </w:r>
      <w:r w:rsidRPr="1B9E7434">
        <w:rPr>
          <w:rStyle w:val="VerbatimChar"/>
          <w:lang w:val="fr-FR"/>
        </w:rPr>
        <w:t>E83_Création_de_type</w:t>
      </w:r>
      <w:r w:rsidRPr="1B9E7434">
        <w:rPr>
          <w:lang w:val="fr-FR"/>
        </w:rPr>
        <w:t>) a été fondée sur (</w:t>
      </w:r>
      <w:r w:rsidRPr="1B9E7434">
        <w:rPr>
          <w:rStyle w:val="VerbatimChar"/>
          <w:lang w:val="fr-FR"/>
        </w:rPr>
        <w:t>P136_a_été_fondé_sur</w:t>
      </w:r>
      <w:r w:rsidRPr="1B9E7434">
        <w:rPr>
          <w:lang w:val="fr-FR"/>
        </w:rPr>
        <w:t>) l’objet BM000576251 de l’herbier Clayton (</w:t>
      </w:r>
      <w:r w:rsidRPr="1B9E7434">
        <w:rPr>
          <w:rStyle w:val="VerbatimChar"/>
          <w:lang w:val="fr-FR"/>
        </w:rPr>
        <w:t>E20_Objet_biologique</w:t>
      </w:r>
      <w:r w:rsidRPr="1B9E7434">
        <w:rPr>
          <w:lang w:val="fr-FR"/>
        </w:rPr>
        <w:t>) dans le rôle taxonomique (</w:t>
      </w:r>
      <w:r w:rsidRPr="1B9E7434">
        <w:rPr>
          <w:rStyle w:val="VerbatimChar"/>
          <w:lang w:val="fr-FR"/>
        </w:rPr>
        <w:t>P136.1_dans_le_rôle_taxonomique_de</w:t>
      </w:r>
      <w:r w:rsidRPr="1B9E7434">
        <w:rPr>
          <w:lang w:val="fr-FR"/>
        </w:rPr>
        <w:t>) « élément original » (</w:t>
      </w:r>
      <w:r w:rsidRPr="1B9E7434">
        <w:rPr>
          <w:rStyle w:val="VerbatimChar"/>
          <w:lang w:val="fr-FR"/>
        </w:rPr>
        <w:t>E55_Type</w:t>
      </w:r>
      <w:r w:rsidRPr="1B9E7434">
        <w:rPr>
          <w:lang w:val="fr-FR"/>
        </w:rPr>
        <w:t>) (Blake, 1918)</w:t>
      </w:r>
    </w:p>
    <w:p w14:paraId="459483DF" w14:textId="77777777" w:rsidR="0084489F" w:rsidRDefault="00110FE6">
      <w:pPr>
        <w:pStyle w:val="FirstParagraph"/>
      </w:pPr>
      <w:r>
        <w:rPr>
          <w:b/>
          <w:bCs/>
        </w:rPr>
        <w:t>Logique</w:t>
      </w:r>
    </w:p>
    <w:p w14:paraId="6D93D900" w14:textId="77777777" w:rsidR="0084489F" w:rsidRDefault="00110FE6">
      <w:pPr>
        <w:pStyle w:val="BodyText"/>
      </w:pPr>
      <w:r w:rsidRPr="1B9E7434">
        <w:rPr>
          <w:lang w:val="fr-FR"/>
        </w:rPr>
        <w:t>P136(x,y) ⇒ E83(x)</w:t>
      </w:r>
    </w:p>
    <w:p w14:paraId="5BF8D0C8" w14:textId="77777777" w:rsidR="0084489F" w:rsidRDefault="00110FE6">
      <w:pPr>
        <w:pStyle w:val="BodyText"/>
      </w:pPr>
      <w:r w:rsidRPr="1B9E7434">
        <w:rPr>
          <w:lang w:val="fr-FR"/>
        </w:rPr>
        <w:t>P136(x,y) ⇒ E1(y)</w:t>
      </w:r>
    </w:p>
    <w:p w14:paraId="736E6531" w14:textId="77777777" w:rsidR="0084489F" w:rsidRDefault="00110FE6">
      <w:pPr>
        <w:pStyle w:val="BodyText"/>
      </w:pPr>
      <w:r w:rsidRPr="1B9E7434">
        <w:rPr>
          <w:lang w:val="fr-FR"/>
        </w:rPr>
        <w:t>P136(x,y,z) ⇒ [P136(x,y) ∧ E55(z)]</w:t>
      </w:r>
    </w:p>
    <w:p w14:paraId="6D2CEF27" w14:textId="77777777" w:rsidR="0084489F" w:rsidRDefault="00110FE6">
      <w:pPr>
        <w:pStyle w:val="BodyText"/>
      </w:pPr>
      <w:r w:rsidRPr="1B9E7434">
        <w:rPr>
          <w:lang w:val="fr-FR"/>
        </w:rPr>
        <w:t>P136(x,y) ⇒ P15(x,y)</w:t>
      </w:r>
    </w:p>
    <w:p w14:paraId="6FDF89CD" w14:textId="77777777" w:rsidR="0084489F" w:rsidRDefault="00110FE6">
      <w:pPr>
        <w:pStyle w:val="BodyText"/>
      </w:pPr>
      <w:r>
        <w:rPr>
          <w:b/>
          <w:bCs/>
        </w:rPr>
        <w:t>Propriétés</w:t>
      </w:r>
    </w:p>
    <w:p w14:paraId="6DB66732" w14:textId="77777777" w:rsidR="0084489F" w:rsidRDefault="00110FE6">
      <w:pPr>
        <w:pStyle w:val="BodyText"/>
      </w:pPr>
      <w:r>
        <w:rPr>
          <w:rStyle w:val="VerbatimChar"/>
        </w:rPr>
        <w:t>P136.1_dans_le_rôle_taxonomique_de</w:t>
      </w:r>
      <w:r>
        <w:t xml:space="preserve"> : </w:t>
      </w:r>
      <w:r>
        <w:rPr>
          <w:rStyle w:val="VerbatimChar"/>
        </w:rPr>
        <w:t>E55_Type</w:t>
      </w:r>
    </w:p>
    <w:p w14:paraId="09A1CE65" w14:textId="77777777" w:rsidR="0084489F" w:rsidRDefault="00110FE6">
      <w:pPr>
        <w:pStyle w:val="BlockText"/>
      </w:pPr>
      <w:r>
        <w:rPr>
          <w:b/>
          <w:bCs/>
          <w:i/>
          <w:iCs/>
        </w:rPr>
        <w:t>Note de traduction</w:t>
      </w:r>
    </w:p>
    <w:p w14:paraId="1F77BB74" w14:textId="77777777" w:rsidR="0084489F" w:rsidRDefault="00110FE6">
      <w:pPr>
        <w:pStyle w:val="BlockText"/>
      </w:pPr>
      <w:r>
        <w:rPr>
          <w:b/>
          <w:bCs/>
          <w:i/>
          <w:iCs/>
        </w:rPr>
        <w:t>Références</w:t>
      </w:r>
    </w:p>
    <w:p w14:paraId="4F5F24E9" w14:textId="77777777" w:rsidR="0084489F" w:rsidRDefault="0084489F">
      <w:pPr>
        <w:pStyle w:val="BlockText"/>
      </w:pPr>
    </w:p>
    <w:p w14:paraId="1017DB56" w14:textId="77777777" w:rsidR="0084489F" w:rsidRDefault="00110FE6">
      <w:pPr>
        <w:pStyle w:val="Heading2"/>
      </w:pPr>
      <w:bookmarkStart w:id="496" w:name="_Toc176864628"/>
      <w:bookmarkStart w:id="497" w:name="p137-exemplifie-(est-exemplifie-par)"/>
      <w:bookmarkEnd w:id="495"/>
      <w:r>
        <w:t>P137 exemplifie (est exemplifié par)</w:t>
      </w:r>
      <w:bookmarkEnd w:id="496"/>
    </w:p>
    <w:p w14:paraId="7E4619CD" w14:textId="77777777" w:rsidR="0084489F" w:rsidRDefault="00110FE6">
      <w:pPr>
        <w:pStyle w:val="FirstParagraph"/>
      </w:pPr>
      <w:r>
        <w:rPr>
          <w:b/>
          <w:bCs/>
        </w:rPr>
        <w:t>Domaine</w:t>
      </w:r>
    </w:p>
    <w:p w14:paraId="6258CA14" w14:textId="77777777" w:rsidR="0084489F" w:rsidRDefault="00110FE6">
      <w:pPr>
        <w:pStyle w:val="BodyText"/>
      </w:pPr>
      <w:r>
        <w:rPr>
          <w:rStyle w:val="VerbatimChar"/>
        </w:rPr>
        <w:t>E1_Entité_CRM</w:t>
      </w:r>
    </w:p>
    <w:p w14:paraId="034D3DCE" w14:textId="77777777" w:rsidR="0084489F" w:rsidRDefault="00110FE6">
      <w:pPr>
        <w:pStyle w:val="BodyText"/>
      </w:pPr>
      <w:r>
        <w:rPr>
          <w:b/>
          <w:bCs/>
        </w:rPr>
        <w:t>Portée</w:t>
      </w:r>
    </w:p>
    <w:p w14:paraId="4548C7D3" w14:textId="77777777" w:rsidR="0084489F" w:rsidRDefault="00110FE6">
      <w:pPr>
        <w:pStyle w:val="BodyText"/>
      </w:pPr>
      <w:r>
        <w:rPr>
          <w:rStyle w:val="VerbatimChar"/>
        </w:rPr>
        <w:t>E55_Type</w:t>
      </w:r>
    </w:p>
    <w:p w14:paraId="1426C824" w14:textId="77777777" w:rsidR="0084489F" w:rsidRDefault="00110FE6">
      <w:pPr>
        <w:pStyle w:val="BodyText"/>
      </w:pPr>
      <w:r>
        <w:rPr>
          <w:b/>
          <w:bCs/>
        </w:rPr>
        <w:t>Sous-propriété de</w:t>
      </w:r>
    </w:p>
    <w:p w14:paraId="2ED8D96E" w14:textId="77777777" w:rsidR="0084489F" w:rsidRDefault="00110FE6">
      <w:pPr>
        <w:pStyle w:val="BodyText"/>
      </w:pPr>
      <w:r w:rsidRPr="1B9E7434">
        <w:rPr>
          <w:rStyle w:val="VerbatimChar"/>
          <w:lang w:val="fr-FR"/>
        </w:rPr>
        <w:t>E1_Entité_CRM</w:t>
      </w:r>
      <w:r w:rsidRPr="1B9E7434">
        <w:rPr>
          <w:lang w:val="fr-FR"/>
        </w:rPr>
        <w:t xml:space="preserve">. </w:t>
      </w:r>
      <w:r w:rsidRPr="1B9E7434">
        <w:rPr>
          <w:rStyle w:val="VerbatimChar"/>
          <w:lang w:val="fr-FR"/>
        </w:rPr>
        <w:t>P2_a_pour_type (est_le_type_de)</w:t>
      </w:r>
      <w:r w:rsidRPr="1B9E7434">
        <w:rPr>
          <w:lang w:val="fr-FR"/>
        </w:rPr>
        <w:t xml:space="preserve"> : </w:t>
      </w:r>
      <w:r w:rsidRPr="1B9E7434">
        <w:rPr>
          <w:rStyle w:val="VerbatimChar"/>
          <w:lang w:val="fr-FR"/>
        </w:rPr>
        <w:t>E55_Type</w:t>
      </w:r>
    </w:p>
    <w:p w14:paraId="501A2E52" w14:textId="77777777" w:rsidR="0084489F" w:rsidRDefault="00110FE6">
      <w:pPr>
        <w:pStyle w:val="BodyText"/>
      </w:pPr>
      <w:r>
        <w:rPr>
          <w:b/>
          <w:bCs/>
        </w:rPr>
        <w:t>Super-propriété de</w:t>
      </w:r>
    </w:p>
    <w:p w14:paraId="176FE612" w14:textId="77777777" w:rsidR="0084489F" w:rsidRDefault="00110FE6">
      <w:pPr>
        <w:pStyle w:val="BodyText"/>
      </w:pPr>
      <w:r>
        <w:rPr>
          <w:b/>
          <w:bCs/>
        </w:rPr>
        <w:t>Quantification</w:t>
      </w:r>
    </w:p>
    <w:p w14:paraId="3AD9F1B1" w14:textId="77777777" w:rsidR="0084489F" w:rsidRDefault="00110FE6">
      <w:pPr>
        <w:pStyle w:val="BodyText"/>
      </w:pPr>
      <w:r w:rsidRPr="1B9E7434">
        <w:rPr>
          <w:lang w:val="fr-FR"/>
        </w:rPr>
        <w:t>plusieurs à plusieurs (0,n:0,n)</w:t>
      </w:r>
    </w:p>
    <w:p w14:paraId="5619F322" w14:textId="77777777" w:rsidR="0084489F" w:rsidRDefault="00110FE6">
      <w:pPr>
        <w:pStyle w:val="BodyText"/>
      </w:pPr>
      <w:r>
        <w:rPr>
          <w:b/>
          <w:bCs/>
        </w:rPr>
        <w:t>Note d’application</w:t>
      </w:r>
    </w:p>
    <w:p w14:paraId="3C914568" w14:textId="77777777" w:rsidR="0084489F" w:rsidRDefault="00110FE6">
      <w:pPr>
        <w:pStyle w:val="BodyText"/>
      </w:pPr>
      <w:r>
        <w:t xml:space="preserve">Cette propriété associe une instance de </w:t>
      </w:r>
      <w:r>
        <w:rPr>
          <w:rStyle w:val="VerbatimChar"/>
        </w:rPr>
        <w:t>E1_Entité_CRM</w:t>
      </w:r>
      <w:r>
        <w:t xml:space="preserve"> à une instance de </w:t>
      </w:r>
      <w:r>
        <w:rPr>
          <w:rStyle w:val="VerbatimChar"/>
        </w:rPr>
        <w:t>E55_Type</w:t>
      </w:r>
      <w:r>
        <w:t xml:space="preserve"> de laquelle elle a été déclarée comme étant un exemple caractéristique.</w:t>
      </w:r>
    </w:p>
    <w:p w14:paraId="2C206965" w14:textId="77777777" w:rsidR="0084489F" w:rsidRDefault="00110FE6">
      <w:pPr>
        <w:pStyle w:val="BodyText"/>
      </w:pPr>
      <w:r w:rsidRPr="1B9E7434">
        <w:rPr>
          <w:lang w:val="fr-FR"/>
        </w:rPr>
        <w:t xml:space="preserve">La propriété </w:t>
      </w:r>
      <w:r w:rsidRPr="1B9E7434">
        <w:rPr>
          <w:rStyle w:val="VerbatimChar"/>
          <w:lang w:val="fr-FR"/>
        </w:rPr>
        <w:t>P137.1_dans_le_rôle_taxonomique_de</w:t>
      </w:r>
      <w:r w:rsidRPr="1B9E7434">
        <w:rPr>
          <w:lang w:val="fr-FR"/>
        </w:rPr>
        <w:t xml:space="preserve"> de </w:t>
      </w:r>
      <w:r w:rsidRPr="1B9E7434">
        <w:rPr>
          <w:rStyle w:val="VerbatimChar"/>
          <w:lang w:val="fr-FR"/>
        </w:rPr>
        <w:t>P137_exemplifie (est_exemplifié_par)</w:t>
      </w:r>
      <w:r w:rsidRPr="1B9E7434">
        <w:rPr>
          <w:lang w:val="fr-FR"/>
        </w:rPr>
        <w:t xml:space="preserve"> permet la distinction des rôles taxonomiques. Ces derniers présentent la relation spécifique entre l’exemplaire et le type, par exemple « prototypique », « archétypique », « lectotype », etc. Le rôle </w:t>
      </w:r>
      <w:r w:rsidRPr="1B9E7434">
        <w:rPr>
          <w:lang w:val="fr-FR"/>
        </w:rPr>
        <w:lastRenderedPageBreak/>
        <w:t xml:space="preserve">taxonomique « lectotype » n’est pas associé à l’instance de </w:t>
      </w:r>
      <w:r w:rsidRPr="1B9E7434">
        <w:rPr>
          <w:rStyle w:val="VerbatimChar"/>
          <w:lang w:val="fr-FR"/>
        </w:rPr>
        <w:t>E83_Création_de_type</w:t>
      </w:r>
      <w:r w:rsidRPr="1B9E7434">
        <w:rPr>
          <w:lang w:val="fr-FR"/>
        </w:rPr>
        <w:t xml:space="preserve"> elle-même, mais sélectionné ultérieurement.</w:t>
      </w:r>
    </w:p>
    <w:p w14:paraId="72780D86" w14:textId="77777777" w:rsidR="0084489F" w:rsidRDefault="00110FE6">
      <w:pPr>
        <w:pStyle w:val="BodyText"/>
      </w:pPr>
      <w:r>
        <w:rPr>
          <w:b/>
          <w:bCs/>
        </w:rPr>
        <w:t>Exemples</w:t>
      </w:r>
    </w:p>
    <w:p w14:paraId="02ABB29D" w14:textId="00C54801" w:rsidR="0084489F" w:rsidRDefault="00110FE6" w:rsidP="00806324">
      <w:pPr>
        <w:numPr>
          <w:ilvl w:val="0"/>
          <w:numId w:val="248"/>
        </w:numPr>
      </w:pPr>
      <w:r w:rsidRPr="1B9E7434">
        <w:rPr>
          <w:lang w:val="fr-FR"/>
        </w:rPr>
        <w:t>L’objet BM000098044 de l’Herbier Clayton (</w:t>
      </w:r>
      <w:r w:rsidRPr="1B9E7434">
        <w:rPr>
          <w:rStyle w:val="VerbatimChar"/>
          <w:lang w:val="fr-FR"/>
        </w:rPr>
        <w:t>E20_Objet_biologique</w:t>
      </w:r>
      <w:r w:rsidRPr="1B9E7434">
        <w:rPr>
          <w:lang w:val="fr-FR"/>
        </w:rPr>
        <w:t>) exemplifie (</w:t>
      </w:r>
      <w:r w:rsidRPr="1B9E7434">
        <w:rPr>
          <w:rStyle w:val="VerbatimChar"/>
          <w:lang w:val="fr-FR"/>
        </w:rPr>
        <w:t>P137_exemplifie</w:t>
      </w:r>
      <w:r w:rsidRPr="1B9E7434">
        <w:rPr>
          <w:lang w:val="fr-FR"/>
        </w:rPr>
        <w:t>) Spigelia marilandica (L.) L. (</w:t>
      </w:r>
      <w:r w:rsidRPr="1B9E7434">
        <w:rPr>
          <w:rStyle w:val="VerbatimChar"/>
          <w:lang w:val="fr-FR"/>
        </w:rPr>
        <w:t>E55_Type</w:t>
      </w:r>
      <w:r w:rsidRPr="1B9E7434">
        <w:rPr>
          <w:lang w:val="fr-FR"/>
        </w:rPr>
        <w:t xml:space="preserve">) </w:t>
      </w:r>
      <w:r w:rsidRPr="1B9E7434">
        <w:rPr>
          <w:i/>
          <w:iCs/>
          <w:lang w:val="fr-FR"/>
        </w:rPr>
        <w:t>dans le rôle taxonomique</w:t>
      </w:r>
      <w:r w:rsidRPr="1B9E7434">
        <w:rPr>
          <w:lang w:val="fr-FR"/>
        </w:rPr>
        <w:t xml:space="preserve"> (</w:t>
      </w:r>
      <w:r w:rsidRPr="1B9E7434">
        <w:rPr>
          <w:rStyle w:val="VerbatimChar"/>
          <w:lang w:val="fr-FR"/>
        </w:rPr>
        <w:t>P137.1_dans_le_rôle_taxonomique_de</w:t>
      </w:r>
      <w:r w:rsidRPr="1B9E7434">
        <w:rPr>
          <w:lang w:val="fr-FR"/>
        </w:rPr>
        <w:t>) « lectotype » (Natural History Museum, 2021)</w:t>
      </w:r>
    </w:p>
    <w:p w14:paraId="0FEFD7ED" w14:textId="77777777" w:rsidR="0084489F" w:rsidRDefault="00110FE6">
      <w:pPr>
        <w:pStyle w:val="FirstParagraph"/>
      </w:pPr>
      <w:r>
        <w:rPr>
          <w:b/>
          <w:bCs/>
        </w:rPr>
        <w:t>Logique</w:t>
      </w:r>
    </w:p>
    <w:p w14:paraId="7F3B5CFD" w14:textId="77777777" w:rsidR="0084489F" w:rsidRDefault="00110FE6">
      <w:pPr>
        <w:pStyle w:val="BodyText"/>
      </w:pPr>
      <w:r w:rsidRPr="1B9E7434">
        <w:rPr>
          <w:lang w:val="fr-FR"/>
        </w:rPr>
        <w:t>P137(x,y) ⇒ E1(x)</w:t>
      </w:r>
    </w:p>
    <w:p w14:paraId="236B481A" w14:textId="77777777" w:rsidR="0084489F" w:rsidRDefault="00110FE6">
      <w:pPr>
        <w:pStyle w:val="BodyText"/>
      </w:pPr>
      <w:r w:rsidRPr="1B9E7434">
        <w:rPr>
          <w:lang w:val="fr-FR"/>
        </w:rPr>
        <w:t>P137(x,y) ⇒ E55(y)</w:t>
      </w:r>
    </w:p>
    <w:p w14:paraId="65B9E064" w14:textId="77777777" w:rsidR="0084489F" w:rsidRDefault="00110FE6">
      <w:pPr>
        <w:pStyle w:val="BodyText"/>
      </w:pPr>
      <w:r w:rsidRPr="1B9E7434">
        <w:rPr>
          <w:lang w:val="fr-FR"/>
        </w:rPr>
        <w:t>P137(x,y,z) ⇒ [P137(x,y) ∧ E55(z)]</w:t>
      </w:r>
    </w:p>
    <w:p w14:paraId="26E23917" w14:textId="77777777" w:rsidR="0084489F" w:rsidRDefault="00110FE6">
      <w:pPr>
        <w:pStyle w:val="BodyText"/>
      </w:pPr>
      <w:r w:rsidRPr="1B9E7434">
        <w:rPr>
          <w:lang w:val="fr-FR"/>
        </w:rPr>
        <w:t>P137(x,y) ⇒ P2(x,y)</w:t>
      </w:r>
    </w:p>
    <w:p w14:paraId="4FB4FC40" w14:textId="77777777" w:rsidR="0084489F" w:rsidRDefault="00110FE6">
      <w:pPr>
        <w:pStyle w:val="BodyText"/>
      </w:pPr>
      <w:r>
        <w:rPr>
          <w:b/>
          <w:bCs/>
        </w:rPr>
        <w:t>Propriétés</w:t>
      </w:r>
    </w:p>
    <w:p w14:paraId="6D3DF55E" w14:textId="77777777" w:rsidR="0084489F" w:rsidRDefault="00110FE6">
      <w:pPr>
        <w:pStyle w:val="BodyText"/>
      </w:pPr>
      <w:r>
        <w:rPr>
          <w:rStyle w:val="VerbatimChar"/>
        </w:rPr>
        <w:t>P137.1_dans_le_rôle_taxonomique_de</w:t>
      </w:r>
      <w:r>
        <w:t xml:space="preserve"> : </w:t>
      </w:r>
      <w:r>
        <w:rPr>
          <w:rStyle w:val="VerbatimChar"/>
        </w:rPr>
        <w:t>E55_Type</w:t>
      </w:r>
    </w:p>
    <w:p w14:paraId="7CFB1A58" w14:textId="77777777" w:rsidR="0084489F" w:rsidRDefault="00110FE6">
      <w:pPr>
        <w:pStyle w:val="BlockText"/>
      </w:pPr>
      <w:r>
        <w:rPr>
          <w:b/>
          <w:bCs/>
          <w:i/>
          <w:iCs/>
        </w:rPr>
        <w:t>Note de traduction</w:t>
      </w:r>
    </w:p>
    <w:p w14:paraId="482EA445" w14:textId="77777777" w:rsidR="0084489F" w:rsidRDefault="00110FE6">
      <w:pPr>
        <w:pStyle w:val="BlockText"/>
      </w:pPr>
      <w:r>
        <w:rPr>
          <w:b/>
          <w:bCs/>
          <w:i/>
          <w:iCs/>
        </w:rPr>
        <w:t>Références</w:t>
      </w:r>
    </w:p>
    <w:p w14:paraId="4060C01C" w14:textId="77777777" w:rsidR="0084489F" w:rsidRDefault="0084489F">
      <w:pPr>
        <w:pStyle w:val="BlockText"/>
      </w:pPr>
    </w:p>
    <w:p w14:paraId="5AB6D23B" w14:textId="77777777" w:rsidR="0084489F" w:rsidRDefault="00110FE6">
      <w:pPr>
        <w:pStyle w:val="Heading2"/>
      </w:pPr>
      <w:bookmarkStart w:id="498" w:name="_Toc176864629"/>
      <w:bookmarkStart w:id="499" w:name="p138-represente-(est-represente-par)"/>
      <w:bookmarkEnd w:id="497"/>
      <w:r>
        <w:t>P138 représente (est représenté par)</w:t>
      </w:r>
      <w:bookmarkEnd w:id="498"/>
    </w:p>
    <w:p w14:paraId="32ABF607" w14:textId="77777777" w:rsidR="0084489F" w:rsidRDefault="00110FE6">
      <w:pPr>
        <w:pStyle w:val="FirstParagraph"/>
      </w:pPr>
      <w:r>
        <w:rPr>
          <w:b/>
          <w:bCs/>
        </w:rPr>
        <w:t>Domaine</w:t>
      </w:r>
    </w:p>
    <w:p w14:paraId="0A0A4728" w14:textId="77777777" w:rsidR="0084489F" w:rsidRDefault="00110FE6">
      <w:pPr>
        <w:pStyle w:val="BodyText"/>
      </w:pPr>
      <w:r>
        <w:rPr>
          <w:rStyle w:val="VerbatimChar"/>
        </w:rPr>
        <w:t>E36_Entité_visuelle</w:t>
      </w:r>
    </w:p>
    <w:p w14:paraId="4758907D" w14:textId="77777777" w:rsidR="0084489F" w:rsidRDefault="00110FE6">
      <w:pPr>
        <w:pStyle w:val="BodyText"/>
      </w:pPr>
      <w:r>
        <w:rPr>
          <w:b/>
          <w:bCs/>
        </w:rPr>
        <w:t>Portée</w:t>
      </w:r>
    </w:p>
    <w:p w14:paraId="2BABE5C6" w14:textId="77777777" w:rsidR="0084489F" w:rsidRDefault="00110FE6">
      <w:pPr>
        <w:pStyle w:val="BodyText"/>
      </w:pPr>
      <w:r>
        <w:rPr>
          <w:rStyle w:val="VerbatimChar"/>
        </w:rPr>
        <w:t>E1_Entité_CRM</w:t>
      </w:r>
    </w:p>
    <w:p w14:paraId="7C9AB903" w14:textId="77777777" w:rsidR="0084489F" w:rsidRDefault="00110FE6">
      <w:pPr>
        <w:pStyle w:val="BodyText"/>
      </w:pPr>
      <w:r>
        <w:rPr>
          <w:b/>
          <w:bCs/>
        </w:rPr>
        <w:t>Sous-propriété de</w:t>
      </w:r>
    </w:p>
    <w:p w14:paraId="56B8B15B" w14:textId="77777777" w:rsidR="0084489F" w:rsidRDefault="00110FE6">
      <w:pPr>
        <w:pStyle w:val="BodyText"/>
      </w:pPr>
      <w:r w:rsidRPr="1B9E7434">
        <w:rPr>
          <w:rStyle w:val="VerbatimChar"/>
          <w:lang w:val="fr-FR"/>
        </w:rPr>
        <w:t>E89_Objet_propositionnel</w:t>
      </w:r>
      <w:r w:rsidRPr="1B9E7434">
        <w:rPr>
          <w:lang w:val="fr-FR"/>
        </w:rPr>
        <w:t xml:space="preserve">. </w:t>
      </w:r>
      <w:r w:rsidRPr="1B9E7434">
        <w:rPr>
          <w:rStyle w:val="VerbatimChar"/>
          <w:lang w:val="fr-FR"/>
        </w:rPr>
        <w:t>P67_renvoie_à (fait_l’objet_d’un_renvoi_par)</w:t>
      </w:r>
      <w:r w:rsidRPr="1B9E7434">
        <w:rPr>
          <w:lang w:val="fr-FR"/>
        </w:rPr>
        <w:t xml:space="preserve"> : </w:t>
      </w:r>
      <w:r w:rsidRPr="1B9E7434">
        <w:rPr>
          <w:rStyle w:val="VerbatimChar"/>
          <w:lang w:val="fr-FR"/>
        </w:rPr>
        <w:t>E1_Entité_CRM</w:t>
      </w:r>
    </w:p>
    <w:p w14:paraId="0678E746" w14:textId="77777777" w:rsidR="0084489F" w:rsidRDefault="00110FE6">
      <w:pPr>
        <w:pStyle w:val="BodyText"/>
      </w:pPr>
      <w:r>
        <w:rPr>
          <w:b/>
          <w:bCs/>
        </w:rPr>
        <w:t>Super-propriété de</w:t>
      </w:r>
    </w:p>
    <w:p w14:paraId="674D1B87" w14:textId="77777777" w:rsidR="0084489F" w:rsidRDefault="00110FE6">
      <w:pPr>
        <w:pStyle w:val="BodyText"/>
      </w:pPr>
      <w:r>
        <w:rPr>
          <w:b/>
          <w:bCs/>
        </w:rPr>
        <w:t>Quantification</w:t>
      </w:r>
    </w:p>
    <w:p w14:paraId="1426059A" w14:textId="77777777" w:rsidR="0084489F" w:rsidRDefault="00110FE6">
      <w:pPr>
        <w:pStyle w:val="BodyText"/>
      </w:pPr>
      <w:r w:rsidRPr="1B9E7434">
        <w:rPr>
          <w:lang w:val="fr-FR"/>
        </w:rPr>
        <w:t>plusieurs à plusieurs (0,n:0,n)</w:t>
      </w:r>
    </w:p>
    <w:p w14:paraId="11B1AC94" w14:textId="77777777" w:rsidR="0084489F" w:rsidRDefault="00110FE6">
      <w:pPr>
        <w:pStyle w:val="BodyText"/>
      </w:pPr>
      <w:r>
        <w:rPr>
          <w:b/>
          <w:bCs/>
        </w:rPr>
        <w:t>Note d’application</w:t>
      </w:r>
    </w:p>
    <w:p w14:paraId="6836761E" w14:textId="77777777" w:rsidR="0084489F" w:rsidRDefault="00110FE6">
      <w:pPr>
        <w:pStyle w:val="BodyText"/>
      </w:pPr>
      <w:r>
        <w:t xml:space="preserve">Cette propriété établit la relation entre une instance de </w:t>
      </w:r>
      <w:r>
        <w:rPr>
          <w:rStyle w:val="VerbatimChar"/>
        </w:rPr>
        <w:t>E36_Entité_visuelle</w:t>
      </w:r>
      <w:r>
        <w:t xml:space="preserve"> et une instance de </w:t>
      </w:r>
      <w:r>
        <w:rPr>
          <w:rStyle w:val="VerbatimChar"/>
        </w:rPr>
        <w:t>E1_Entité_CRM</w:t>
      </w:r>
      <w:r>
        <w:t xml:space="preserve"> qu'elle représente visuellement.</w:t>
      </w:r>
    </w:p>
    <w:p w14:paraId="0C5E3A43" w14:textId="77777777" w:rsidR="0084489F" w:rsidRDefault="00110FE6">
      <w:pPr>
        <w:pStyle w:val="BodyText"/>
      </w:pPr>
      <w:r w:rsidRPr="1B9E7434">
        <w:rPr>
          <w:lang w:val="fr-FR"/>
        </w:rPr>
        <w:t xml:space="preserve">Toute entité peut être représentée visuellement. Cette propriété fait partie du chemin sémantique complètement développé </w:t>
      </w:r>
      <w:r w:rsidRPr="1B9E7434">
        <w:rPr>
          <w:rStyle w:val="VerbatimChar"/>
          <w:lang w:val="fr-FR"/>
        </w:rPr>
        <w:t>E24_Chose_matérielle_élaborée_par_l’humain</w:t>
      </w:r>
      <w:r w:rsidRPr="1B9E7434">
        <w:rPr>
          <w:lang w:val="fr-FR"/>
        </w:rPr>
        <w:t xml:space="preserve">, </w:t>
      </w:r>
      <w:r w:rsidRPr="1B9E7434">
        <w:rPr>
          <w:rStyle w:val="VerbatimChar"/>
          <w:lang w:val="fr-FR"/>
        </w:rPr>
        <w:t>P65_représente_l’entité_visuelle (est_représenté_par)</w:t>
      </w:r>
      <w:r w:rsidRPr="1B9E7434">
        <w:rPr>
          <w:lang w:val="fr-FR"/>
        </w:rPr>
        <w:t xml:space="preserve">, </w:t>
      </w:r>
      <w:r w:rsidRPr="1B9E7434">
        <w:rPr>
          <w:rStyle w:val="VerbatimChar"/>
          <w:lang w:val="fr-FR"/>
        </w:rPr>
        <w:t>E36_Entité_visuelle</w:t>
      </w:r>
      <w:r w:rsidRPr="1B9E7434">
        <w:rPr>
          <w:lang w:val="fr-FR"/>
        </w:rPr>
        <w:t xml:space="preserve">, </w:t>
      </w:r>
      <w:r w:rsidRPr="1B9E7434">
        <w:rPr>
          <w:rStyle w:val="VerbatimChar"/>
          <w:lang w:val="fr-FR"/>
        </w:rPr>
        <w:t>P138_représente (est_représenté_par)</w:t>
      </w:r>
      <w:r w:rsidRPr="1B9E7434">
        <w:rPr>
          <w:lang w:val="fr-FR"/>
        </w:rPr>
        <w:t xml:space="preserve">, </w:t>
      </w:r>
      <w:r w:rsidRPr="1B9E7434">
        <w:rPr>
          <w:rStyle w:val="VerbatimChar"/>
          <w:lang w:val="fr-FR"/>
        </w:rPr>
        <w:t>E1_Entité_CRM</w:t>
      </w:r>
      <w:r w:rsidRPr="1B9E7434">
        <w:rPr>
          <w:lang w:val="fr-FR"/>
        </w:rPr>
        <w:t xml:space="preserve">, qui peut être raccourci par l'utilisation de </w:t>
      </w:r>
      <w:r w:rsidRPr="1B9E7434">
        <w:rPr>
          <w:rStyle w:val="VerbatimChar"/>
          <w:lang w:val="fr-FR"/>
        </w:rPr>
        <w:t>P62_illustre (est_illustré_par)</w:t>
      </w:r>
      <w:r w:rsidRPr="1B9E7434">
        <w:rPr>
          <w:lang w:val="fr-FR"/>
        </w:rPr>
        <w:t xml:space="preserve">. L'utilisation de la propriété </w:t>
      </w:r>
      <w:r w:rsidRPr="1B9E7434">
        <w:rPr>
          <w:rStyle w:val="VerbatimChar"/>
          <w:lang w:val="fr-FR"/>
        </w:rPr>
        <w:t>P138.1_mode_de_représentation</w:t>
      </w:r>
      <w:r w:rsidRPr="1B9E7434">
        <w:rPr>
          <w:lang w:val="fr-FR"/>
        </w:rPr>
        <w:t xml:space="preserve"> permet de préciser la nature de la représentation.</w:t>
      </w:r>
    </w:p>
    <w:p w14:paraId="15EDDC42" w14:textId="77777777" w:rsidR="0084489F" w:rsidRDefault="00110FE6">
      <w:pPr>
        <w:pStyle w:val="BodyText"/>
      </w:pPr>
      <w:r>
        <w:lastRenderedPageBreak/>
        <w:t>Cette propriété est aussi utilisée pour identifier la relation entre un original et une numérisation de celui-ci par l'utilisation de techniques telles que la photographie numérique, la numérisation par balayage à plat ou par infrarouge. La numérisation est ici considérée comme un processus avec une composante mécanique et causale rendant la distribution spatiale des propriétés structurelles et optiques de l'original et n'inclut pas nécessairement une similitude identifiable par l'observation humaine.</w:t>
      </w:r>
    </w:p>
    <w:p w14:paraId="61278121" w14:textId="77777777" w:rsidR="0084489F" w:rsidRDefault="00110FE6">
      <w:pPr>
        <w:pStyle w:val="BodyText"/>
      </w:pPr>
      <w:r>
        <w:rPr>
          <w:b/>
          <w:bCs/>
        </w:rPr>
        <w:t>Exemples</w:t>
      </w:r>
    </w:p>
    <w:p w14:paraId="4391AED2" w14:textId="1C56643E" w:rsidR="0084489F" w:rsidRDefault="00110FE6" w:rsidP="00806324">
      <w:pPr>
        <w:numPr>
          <w:ilvl w:val="0"/>
          <w:numId w:val="249"/>
        </w:numPr>
      </w:pPr>
      <w:r w:rsidRPr="1B9E7434">
        <w:rPr>
          <w:lang w:val="fr-FR"/>
        </w:rPr>
        <w:t xml:space="preserve">Le fichier numérique consultable à l'adresse </w:t>
      </w:r>
      <w:hyperlink r:id="rId276">
        <w:r w:rsidRPr="1B9E7434">
          <w:rPr>
            <w:rStyle w:val="Hyperlink"/>
            <w:lang w:val="fr-FR"/>
          </w:rPr>
          <w:t>https://www.emunch.no/N/full/No-MM_N0001-01.jpg</w:t>
        </w:r>
      </w:hyperlink>
      <w:r w:rsidRPr="1B9E7434">
        <w:rPr>
          <w:lang w:val="fr-FR"/>
        </w:rPr>
        <w:t xml:space="preserve"> (</w:t>
      </w:r>
      <w:r w:rsidRPr="1B9E7434">
        <w:rPr>
          <w:rStyle w:val="VerbatimChar"/>
          <w:lang w:val="fr-FR"/>
        </w:rPr>
        <w:t>E36_Entité_visuelle</w:t>
      </w:r>
      <w:r w:rsidRPr="1B9E7434">
        <w:rPr>
          <w:lang w:val="fr-FR"/>
        </w:rPr>
        <w:t>) représente (</w:t>
      </w:r>
      <w:r w:rsidRPr="1B9E7434">
        <w:rPr>
          <w:rStyle w:val="VerbatimChar"/>
          <w:lang w:val="fr-FR"/>
        </w:rPr>
        <w:t>P138_représente</w:t>
      </w:r>
      <w:r w:rsidRPr="1B9E7434">
        <w:rPr>
          <w:lang w:val="fr-FR"/>
        </w:rPr>
        <w:t>) la première page du manuscrit MM N 1, Munchmuseet d'Edvard Munch (</w:t>
      </w:r>
      <w:r w:rsidRPr="1B9E7434">
        <w:rPr>
          <w:rStyle w:val="VerbatimChar"/>
          <w:lang w:val="fr-FR"/>
        </w:rPr>
        <w:t>E22_Objet_élaboré_par_l’humain</w:t>
      </w:r>
      <w:r w:rsidRPr="1B9E7434">
        <w:rPr>
          <w:lang w:val="fr-FR"/>
        </w:rPr>
        <w:t>) et a pour mode de représentation (</w:t>
      </w:r>
      <w:r w:rsidRPr="1B9E7434">
        <w:rPr>
          <w:rStyle w:val="VerbatimChar"/>
          <w:lang w:val="fr-FR"/>
        </w:rPr>
        <w:t>P138.1_mode_de_représentation</w:t>
      </w:r>
      <w:r w:rsidRPr="1B9E7434">
        <w:rPr>
          <w:lang w:val="fr-FR"/>
        </w:rPr>
        <w:t>) « numérisation » (</w:t>
      </w:r>
      <w:r w:rsidRPr="1B9E7434">
        <w:rPr>
          <w:rStyle w:val="VerbatimChar"/>
          <w:lang w:val="fr-FR"/>
        </w:rPr>
        <w:t>E55_Type</w:t>
      </w:r>
      <w:r w:rsidRPr="1B9E7434">
        <w:rPr>
          <w:lang w:val="fr-FR"/>
        </w:rPr>
        <w:t>)</w:t>
      </w:r>
    </w:p>
    <w:p w14:paraId="46EC9457" w14:textId="77777777" w:rsidR="0084489F" w:rsidRDefault="00110FE6" w:rsidP="00806324">
      <w:pPr>
        <w:numPr>
          <w:ilvl w:val="0"/>
          <w:numId w:val="249"/>
        </w:numPr>
      </w:pPr>
      <w:r>
        <w:t>Le modèle 3D VAM_A.200-1946_trace_1M.ply (</w:t>
      </w:r>
      <w:r>
        <w:rPr>
          <w:rStyle w:val="VerbatimChar"/>
        </w:rPr>
        <w:t>E73_Objet_informationnel</w:t>
      </w:r>
      <w:r>
        <w:t>) représente (</w:t>
      </w:r>
      <w:r>
        <w:rPr>
          <w:rStyle w:val="VerbatimChar"/>
        </w:rPr>
        <w:t>P138_représente</w:t>
      </w:r>
      <w:r>
        <w:t xml:space="preserve">) la sculpture </w:t>
      </w:r>
      <w:r>
        <w:rPr>
          <w:i/>
          <w:iCs/>
        </w:rPr>
        <w:t>Virgin and Child</w:t>
      </w:r>
      <w:r>
        <w:t xml:space="preserve"> A.200-1946 (</w:t>
      </w:r>
      <w:r>
        <w:rPr>
          <w:rStyle w:val="VerbatimChar"/>
        </w:rPr>
        <w:t>E22_Objet_élaboré_par_l’humain</w:t>
      </w:r>
      <w:r>
        <w:t>) du Victoria &amp; Albert Museum et a pour mode de représentation (</w:t>
      </w:r>
      <w:r>
        <w:rPr>
          <w:rStyle w:val="VerbatimChar"/>
        </w:rPr>
        <w:t>P138.1_mode_de_représentation</w:t>
      </w:r>
      <w:r>
        <w:t>) « surface 3D » (</w:t>
      </w:r>
      <w:r>
        <w:rPr>
          <w:rStyle w:val="VerbatimChar"/>
        </w:rPr>
        <w:t>E55_Type</w:t>
      </w:r>
      <w:r>
        <w:t>)</w:t>
      </w:r>
    </w:p>
    <w:p w14:paraId="7D03B694" w14:textId="77777777" w:rsidR="0084489F" w:rsidRDefault="00110FE6">
      <w:pPr>
        <w:pStyle w:val="FirstParagraph"/>
      </w:pPr>
      <w:r>
        <w:rPr>
          <w:b/>
          <w:bCs/>
        </w:rPr>
        <w:t>Logique</w:t>
      </w:r>
    </w:p>
    <w:p w14:paraId="128037F7" w14:textId="77777777" w:rsidR="0084489F" w:rsidRDefault="00110FE6">
      <w:pPr>
        <w:pStyle w:val="BodyText"/>
      </w:pPr>
      <w:r w:rsidRPr="1B9E7434">
        <w:rPr>
          <w:lang w:val="fr-FR"/>
        </w:rPr>
        <w:t>P138(x,y) ⇒ E36(x)</w:t>
      </w:r>
    </w:p>
    <w:p w14:paraId="5BEFBD4B" w14:textId="77777777" w:rsidR="0084489F" w:rsidRDefault="00110FE6">
      <w:pPr>
        <w:pStyle w:val="BodyText"/>
      </w:pPr>
      <w:r w:rsidRPr="1B9E7434">
        <w:rPr>
          <w:lang w:val="fr-FR"/>
        </w:rPr>
        <w:t>P138(x,y) ⇒ E1(y)</w:t>
      </w:r>
    </w:p>
    <w:p w14:paraId="173DD9CA" w14:textId="77777777" w:rsidR="0084489F" w:rsidRDefault="00110FE6">
      <w:pPr>
        <w:pStyle w:val="BodyText"/>
      </w:pPr>
      <w:r w:rsidRPr="1B9E7434">
        <w:rPr>
          <w:lang w:val="fr-FR"/>
        </w:rPr>
        <w:t>P138(x,y,z) ⇒ [P138(x,y) ∧ E55(z)]</w:t>
      </w:r>
    </w:p>
    <w:p w14:paraId="3AD8D14E" w14:textId="77777777" w:rsidR="0084489F" w:rsidRDefault="00110FE6">
      <w:pPr>
        <w:pStyle w:val="BodyText"/>
      </w:pPr>
      <w:r w:rsidRPr="1B9E7434">
        <w:rPr>
          <w:lang w:val="fr-FR"/>
        </w:rPr>
        <w:t>P138(x,y) ⇒ P67(x,y)</w:t>
      </w:r>
    </w:p>
    <w:p w14:paraId="2AE27CA5" w14:textId="77777777" w:rsidR="0084489F" w:rsidRDefault="00110FE6">
      <w:pPr>
        <w:pStyle w:val="BodyText"/>
      </w:pPr>
      <w:r>
        <w:rPr>
          <w:b/>
          <w:bCs/>
        </w:rPr>
        <w:t>Propriétés</w:t>
      </w:r>
    </w:p>
    <w:p w14:paraId="4DD4A194" w14:textId="77777777" w:rsidR="0084489F" w:rsidRDefault="00110FE6">
      <w:pPr>
        <w:pStyle w:val="BodyText"/>
      </w:pPr>
      <w:r>
        <w:rPr>
          <w:rStyle w:val="VerbatimChar"/>
        </w:rPr>
        <w:t>P138.1_mode_de_représentation</w:t>
      </w:r>
      <w:r>
        <w:t xml:space="preserve"> : </w:t>
      </w:r>
      <w:r>
        <w:rPr>
          <w:rStyle w:val="VerbatimChar"/>
        </w:rPr>
        <w:t>E55_Type</w:t>
      </w:r>
    </w:p>
    <w:p w14:paraId="71478A39" w14:textId="77777777" w:rsidR="0084489F" w:rsidRDefault="00110FE6">
      <w:pPr>
        <w:pStyle w:val="BlockText"/>
      </w:pPr>
      <w:r>
        <w:rPr>
          <w:b/>
          <w:bCs/>
          <w:i/>
          <w:iCs/>
        </w:rPr>
        <w:t>Note de traduction</w:t>
      </w:r>
    </w:p>
    <w:p w14:paraId="608E9648" w14:textId="77777777" w:rsidR="0084489F" w:rsidRDefault="00110FE6">
      <w:pPr>
        <w:pStyle w:val="BlockText"/>
      </w:pPr>
      <w:r>
        <w:rPr>
          <w:b/>
          <w:bCs/>
          <w:i/>
          <w:iCs/>
        </w:rPr>
        <w:t>Références</w:t>
      </w:r>
    </w:p>
    <w:p w14:paraId="59281F72" w14:textId="77777777" w:rsidR="0084489F" w:rsidRDefault="0084489F">
      <w:pPr>
        <w:pStyle w:val="BlockText"/>
      </w:pPr>
    </w:p>
    <w:p w14:paraId="734B49B4" w14:textId="77777777" w:rsidR="0084489F" w:rsidRDefault="00110FE6">
      <w:pPr>
        <w:pStyle w:val="Heading2"/>
      </w:pPr>
      <w:bookmarkStart w:id="500" w:name="_Toc176864630"/>
      <w:bookmarkStart w:id="501" w:name="X9020be7370a60ac1cf3011dd62c863c69bb3a99"/>
      <w:bookmarkEnd w:id="499"/>
      <w:r>
        <w:t>P139 a pour forme alternative (est la forme alternative de)</w:t>
      </w:r>
      <w:bookmarkEnd w:id="500"/>
    </w:p>
    <w:p w14:paraId="2A5770CF" w14:textId="77777777" w:rsidR="0084489F" w:rsidRDefault="00110FE6">
      <w:pPr>
        <w:pStyle w:val="FirstParagraph"/>
      </w:pPr>
      <w:r>
        <w:rPr>
          <w:b/>
          <w:bCs/>
        </w:rPr>
        <w:t>Domaine</w:t>
      </w:r>
    </w:p>
    <w:p w14:paraId="778F76C2" w14:textId="77777777" w:rsidR="0084489F" w:rsidRDefault="00110FE6">
      <w:pPr>
        <w:pStyle w:val="BodyText"/>
      </w:pPr>
      <w:r>
        <w:rPr>
          <w:rStyle w:val="VerbatimChar"/>
        </w:rPr>
        <w:t>E41_Appellation</w:t>
      </w:r>
    </w:p>
    <w:p w14:paraId="55CBEE35" w14:textId="77777777" w:rsidR="0084489F" w:rsidRDefault="00110FE6">
      <w:pPr>
        <w:pStyle w:val="BodyText"/>
      </w:pPr>
      <w:r>
        <w:rPr>
          <w:b/>
          <w:bCs/>
        </w:rPr>
        <w:t>Portée</w:t>
      </w:r>
    </w:p>
    <w:p w14:paraId="0B7E394E" w14:textId="77777777" w:rsidR="0084489F" w:rsidRDefault="00110FE6">
      <w:pPr>
        <w:pStyle w:val="BodyText"/>
      </w:pPr>
      <w:r>
        <w:rPr>
          <w:rStyle w:val="VerbatimChar"/>
        </w:rPr>
        <w:t>E41_Appellation</w:t>
      </w:r>
    </w:p>
    <w:p w14:paraId="046914D8" w14:textId="77777777" w:rsidR="0084489F" w:rsidRDefault="00110FE6">
      <w:pPr>
        <w:pStyle w:val="BodyText"/>
      </w:pPr>
      <w:r>
        <w:rPr>
          <w:b/>
          <w:bCs/>
        </w:rPr>
        <w:t>Sous-propriété de</w:t>
      </w:r>
    </w:p>
    <w:p w14:paraId="4E515C17" w14:textId="77777777" w:rsidR="0084489F" w:rsidRDefault="00110FE6">
      <w:pPr>
        <w:pStyle w:val="BodyText"/>
      </w:pPr>
      <w:r>
        <w:rPr>
          <w:b/>
          <w:bCs/>
        </w:rPr>
        <w:t>Super-propriété de</w:t>
      </w:r>
    </w:p>
    <w:p w14:paraId="2246ABFC" w14:textId="77777777" w:rsidR="0084489F" w:rsidRDefault="00110FE6">
      <w:pPr>
        <w:pStyle w:val="BodyText"/>
      </w:pPr>
      <w:r>
        <w:rPr>
          <w:b/>
          <w:bCs/>
        </w:rPr>
        <w:t>Quantification</w:t>
      </w:r>
    </w:p>
    <w:p w14:paraId="0C409CEB" w14:textId="77777777" w:rsidR="0084489F" w:rsidRDefault="00110FE6">
      <w:pPr>
        <w:pStyle w:val="BodyText"/>
      </w:pPr>
      <w:r w:rsidRPr="1B9E7434">
        <w:rPr>
          <w:lang w:val="fr-FR"/>
        </w:rPr>
        <w:t>plusieurs à plusieurs (0,n:0,n)</w:t>
      </w:r>
    </w:p>
    <w:p w14:paraId="25D0A9F5" w14:textId="77777777" w:rsidR="0084489F" w:rsidRDefault="00110FE6">
      <w:pPr>
        <w:pStyle w:val="BodyText"/>
      </w:pPr>
      <w:r>
        <w:rPr>
          <w:b/>
          <w:bCs/>
        </w:rPr>
        <w:t>Note d’application</w:t>
      </w:r>
    </w:p>
    <w:p w14:paraId="5114D386" w14:textId="77777777" w:rsidR="0084489F" w:rsidRDefault="00110FE6">
      <w:pPr>
        <w:pStyle w:val="BodyText"/>
      </w:pPr>
      <w:r w:rsidRPr="1B9E7434">
        <w:rPr>
          <w:lang w:val="fr-FR"/>
        </w:rPr>
        <w:t xml:space="preserve">Cette propriété associe une instance de </w:t>
      </w:r>
      <w:r w:rsidRPr="1B9E7434">
        <w:rPr>
          <w:rStyle w:val="VerbatimChar"/>
          <w:lang w:val="fr-FR"/>
        </w:rPr>
        <w:t>E41_Appellation</w:t>
      </w:r>
      <w:r w:rsidRPr="1B9E7434">
        <w:rPr>
          <w:lang w:val="fr-FR"/>
        </w:rPr>
        <w:t xml:space="preserve"> avec une autre instance de </w:t>
      </w:r>
      <w:r w:rsidRPr="1B9E7434">
        <w:rPr>
          <w:rStyle w:val="VerbatimChar"/>
          <w:lang w:val="fr-FR"/>
        </w:rPr>
        <w:t>E41_Appellation</w:t>
      </w:r>
      <w:r w:rsidRPr="1B9E7434">
        <w:rPr>
          <w:lang w:val="fr-FR"/>
        </w:rPr>
        <w:t xml:space="preserve"> qui est une dérivée ou une variante de la première. Cette seconde instance peut être utilisée, lorsque le </w:t>
      </w:r>
      <w:r w:rsidRPr="1B9E7434">
        <w:rPr>
          <w:lang w:val="fr-FR"/>
        </w:rPr>
        <w:lastRenderedPageBreak/>
        <w:t>contexte est approprié, pour identifier des éléments identifiés par la première pourvu que cette dernière soit indépendante de l'élément particulier qui est sujet de l'identification. Cette propriété ne doit pas être confondue avec des variantes additionnelles de noms habituellement utilisées pour référer à un élément particulier et unique comme des surnoms individuels. La relation décrite ici est dirigée de telle manière que la portée témoigne de l’élément dérivé ou variant et le domaine la source de la dérivation ou la forme originelle de la variation, si une telle direction peut être établie. Autrement, la relation est symétrique.</w:t>
      </w:r>
    </w:p>
    <w:p w14:paraId="2703AC60" w14:textId="77777777" w:rsidR="0084489F" w:rsidRDefault="00110FE6">
      <w:pPr>
        <w:pStyle w:val="BodyText"/>
      </w:pPr>
      <w:r>
        <w:t xml:space="preserve">Plusieurs noms assignés à un objet et qui ne s'appliquent pas à toutes les choses identifiées par une instance spécifique de </w:t>
      </w:r>
      <w:r>
        <w:rPr>
          <w:rStyle w:val="VerbatimChar"/>
        </w:rPr>
        <w:t>E41_Appellation</w:t>
      </w:r>
      <w:r>
        <w:t xml:space="preserve"> doivent être modélisés par des valeurs répétées de </w:t>
      </w:r>
      <w:r>
        <w:rPr>
          <w:rStyle w:val="VerbatimChar"/>
        </w:rPr>
        <w:t>P1_est_identifié_par (identifie)</w:t>
      </w:r>
      <w:r>
        <w:t xml:space="preserve"> de cet objet.</w:t>
      </w:r>
    </w:p>
    <w:p w14:paraId="52F8998B" w14:textId="77777777" w:rsidR="0084489F" w:rsidRDefault="00110FE6">
      <w:pPr>
        <w:pStyle w:val="BodyText"/>
      </w:pPr>
      <w:r>
        <w:t xml:space="preserve">L'utilisation de </w:t>
      </w:r>
      <w:r>
        <w:rPr>
          <w:rStyle w:val="VerbatimChar"/>
        </w:rPr>
        <w:t>P139.1_a_pour_type</w:t>
      </w:r>
      <w:r>
        <w:t xml:space="preserve"> permet de clarifier le type de la dérivation, par exemple « la translittération du Latin-1 vers ASCII ».</w:t>
      </w:r>
    </w:p>
    <w:p w14:paraId="26274BF4" w14:textId="77777777" w:rsidR="0084489F" w:rsidRDefault="00110FE6">
      <w:pPr>
        <w:pStyle w:val="BodyText"/>
      </w:pPr>
      <w:r>
        <w:rPr>
          <w:b/>
          <w:bCs/>
        </w:rPr>
        <w:t>Exemples</w:t>
      </w:r>
    </w:p>
    <w:p w14:paraId="4C999D0B" w14:textId="59F74AFA" w:rsidR="0084489F" w:rsidRDefault="00110FE6" w:rsidP="00806324">
      <w:pPr>
        <w:numPr>
          <w:ilvl w:val="0"/>
          <w:numId w:val="250"/>
        </w:numPr>
      </w:pPr>
      <w:r w:rsidRPr="1B9E7434">
        <w:rPr>
          <w:lang w:val="fr-FR"/>
        </w:rPr>
        <w:t>« Martin Doerr » (</w:t>
      </w:r>
      <w:r w:rsidRPr="1B9E7434">
        <w:rPr>
          <w:rStyle w:val="VerbatimChar"/>
          <w:lang w:val="fr-FR"/>
        </w:rPr>
        <w:t>E41_Appellation</w:t>
      </w:r>
      <w:r w:rsidRPr="1B9E7434">
        <w:rPr>
          <w:lang w:val="fr-FR"/>
        </w:rPr>
        <w:t>) a pour forme alternative (</w:t>
      </w:r>
      <w:r w:rsidRPr="1B9E7434">
        <w:rPr>
          <w:rStyle w:val="VerbatimChar"/>
          <w:lang w:val="fr-FR"/>
        </w:rPr>
        <w:t>P139_a_pour_forme_alternative</w:t>
      </w:r>
      <w:r w:rsidRPr="1B9E7434">
        <w:rPr>
          <w:lang w:val="fr-FR"/>
        </w:rPr>
        <w:t>) « Martin Dörr » (</w:t>
      </w:r>
      <w:r w:rsidRPr="1B9E7434">
        <w:rPr>
          <w:rStyle w:val="VerbatimChar"/>
          <w:lang w:val="fr-FR"/>
        </w:rPr>
        <w:t>E41_Appellation</w:t>
      </w:r>
      <w:r w:rsidRPr="1B9E7434">
        <w:rPr>
          <w:lang w:val="fr-FR"/>
        </w:rPr>
        <w:t>) dont le type est (</w:t>
      </w:r>
      <w:r w:rsidRPr="1B9E7434">
        <w:rPr>
          <w:rStyle w:val="VerbatimChar"/>
          <w:lang w:val="fr-FR"/>
        </w:rPr>
        <w:t>P139.1_a_pour_type</w:t>
      </w:r>
      <w:r w:rsidRPr="1B9E7434">
        <w:rPr>
          <w:lang w:val="fr-FR"/>
        </w:rPr>
        <w:t>) « graphie alternative » (</w:t>
      </w:r>
      <w:r w:rsidRPr="1B9E7434">
        <w:rPr>
          <w:rStyle w:val="VerbatimChar"/>
          <w:lang w:val="fr-FR"/>
        </w:rPr>
        <w:t>E55_Type</w:t>
      </w:r>
      <w:r w:rsidRPr="1B9E7434">
        <w:rPr>
          <w:lang w:val="fr-FR"/>
        </w:rPr>
        <w:t>)</w:t>
      </w:r>
    </w:p>
    <w:p w14:paraId="3C2A7AD3" w14:textId="705FC3A2" w:rsidR="0084489F" w:rsidRDefault="00110FE6" w:rsidP="00806324">
      <w:pPr>
        <w:numPr>
          <w:ilvl w:val="0"/>
          <w:numId w:val="250"/>
        </w:numPr>
      </w:pPr>
      <w:r w:rsidRPr="1B9E7434">
        <w:rPr>
          <w:lang w:val="fr-FR"/>
        </w:rPr>
        <w:t>« Гончарова, Наталья Сергеевна » (</w:t>
      </w:r>
      <w:r w:rsidRPr="1B9E7434">
        <w:rPr>
          <w:rStyle w:val="VerbatimChar"/>
          <w:lang w:val="fr-FR"/>
        </w:rPr>
        <w:t>E41_Appellation</w:t>
      </w:r>
      <w:r w:rsidRPr="1B9E7434">
        <w:rPr>
          <w:lang w:val="fr-FR"/>
        </w:rPr>
        <w:t>) a pour forme alternative (</w:t>
      </w:r>
      <w:r w:rsidRPr="1B9E7434">
        <w:rPr>
          <w:rStyle w:val="VerbatimChar"/>
          <w:lang w:val="fr-FR"/>
        </w:rPr>
        <w:t>P139_a_pour_forme_alternative</w:t>
      </w:r>
      <w:r w:rsidRPr="1B9E7434">
        <w:rPr>
          <w:lang w:val="fr-FR"/>
        </w:rPr>
        <w:t>) « Gončarova, Natal´â Sergeevna » (</w:t>
      </w:r>
      <w:r w:rsidRPr="1B9E7434">
        <w:rPr>
          <w:rStyle w:val="VerbatimChar"/>
          <w:lang w:val="fr-FR"/>
        </w:rPr>
        <w:t>E41_Appellation</w:t>
      </w:r>
      <w:r w:rsidRPr="1B9E7434">
        <w:rPr>
          <w:lang w:val="fr-FR"/>
        </w:rPr>
        <w:t>) dont le type est (</w:t>
      </w:r>
      <w:r w:rsidRPr="1B9E7434">
        <w:rPr>
          <w:rStyle w:val="VerbatimChar"/>
          <w:lang w:val="fr-FR"/>
        </w:rPr>
        <w:t>P139.1_a_pour_type</w:t>
      </w:r>
      <w:r w:rsidRPr="1B9E7434">
        <w:rPr>
          <w:lang w:val="fr-FR"/>
        </w:rPr>
        <w:t>) « translittération de ISO 9:1995 » (</w:t>
      </w:r>
      <w:r w:rsidRPr="1B9E7434">
        <w:rPr>
          <w:rStyle w:val="VerbatimChar"/>
          <w:lang w:val="fr-FR"/>
        </w:rPr>
        <w:t>E55_Type</w:t>
      </w:r>
      <w:r w:rsidRPr="1B9E7434">
        <w:rPr>
          <w:lang w:val="fr-FR"/>
        </w:rPr>
        <w:t>)</w:t>
      </w:r>
    </w:p>
    <w:p w14:paraId="44B6C399" w14:textId="2703173E" w:rsidR="0084489F" w:rsidRDefault="00110FE6" w:rsidP="00806324">
      <w:pPr>
        <w:numPr>
          <w:ilvl w:val="0"/>
          <w:numId w:val="250"/>
        </w:numPr>
      </w:pPr>
      <w:r w:rsidRPr="1B9E7434">
        <w:rPr>
          <w:lang w:val="fr-FR"/>
        </w:rPr>
        <w:t>« Αθήνα » (</w:t>
      </w:r>
      <w:r w:rsidRPr="1B9E7434">
        <w:rPr>
          <w:rStyle w:val="VerbatimChar"/>
          <w:lang w:val="fr-FR"/>
        </w:rPr>
        <w:t>E41_Appellation</w:t>
      </w:r>
      <w:r w:rsidRPr="1B9E7434">
        <w:rPr>
          <w:lang w:val="fr-FR"/>
        </w:rPr>
        <w:t>) a pour forme alternative (</w:t>
      </w:r>
      <w:r w:rsidRPr="1B9E7434">
        <w:rPr>
          <w:rStyle w:val="VerbatimChar"/>
          <w:lang w:val="fr-FR"/>
        </w:rPr>
        <w:t>P139_a_pour_forme_alternative</w:t>
      </w:r>
      <w:r w:rsidRPr="1B9E7434">
        <w:rPr>
          <w:lang w:val="fr-FR"/>
        </w:rPr>
        <w:t>) « Athina » (</w:t>
      </w:r>
      <w:r w:rsidRPr="1B9E7434">
        <w:rPr>
          <w:rStyle w:val="VerbatimChar"/>
          <w:lang w:val="fr-FR"/>
        </w:rPr>
        <w:t>E41_Appellation</w:t>
      </w:r>
      <w:r w:rsidRPr="1B9E7434">
        <w:rPr>
          <w:lang w:val="fr-FR"/>
        </w:rPr>
        <w:t>) dont le type est (</w:t>
      </w:r>
      <w:r w:rsidRPr="1B9E7434">
        <w:rPr>
          <w:rStyle w:val="VerbatimChar"/>
          <w:lang w:val="fr-FR"/>
        </w:rPr>
        <w:t>P139.1_a_pour_type</w:t>
      </w:r>
      <w:r w:rsidRPr="1B9E7434">
        <w:rPr>
          <w:lang w:val="fr-FR"/>
        </w:rPr>
        <w:t>) « transcription » (</w:t>
      </w:r>
      <w:r w:rsidRPr="1B9E7434">
        <w:rPr>
          <w:rStyle w:val="VerbatimChar"/>
          <w:lang w:val="fr-FR"/>
        </w:rPr>
        <w:t>E55_Type</w:t>
      </w:r>
      <w:r w:rsidRPr="1B9E7434">
        <w:rPr>
          <w:lang w:val="fr-FR"/>
        </w:rPr>
        <w:t>)</w:t>
      </w:r>
    </w:p>
    <w:p w14:paraId="327AA158" w14:textId="77777777" w:rsidR="0084489F" w:rsidRDefault="00110FE6">
      <w:pPr>
        <w:pStyle w:val="FirstParagraph"/>
      </w:pPr>
      <w:r>
        <w:rPr>
          <w:b/>
          <w:bCs/>
        </w:rPr>
        <w:t>Logique</w:t>
      </w:r>
    </w:p>
    <w:p w14:paraId="258C81DD" w14:textId="77777777" w:rsidR="0084489F" w:rsidRDefault="00110FE6">
      <w:pPr>
        <w:pStyle w:val="BodyText"/>
      </w:pPr>
      <w:r w:rsidRPr="1B9E7434">
        <w:rPr>
          <w:lang w:val="fr-FR"/>
        </w:rPr>
        <w:t>P139(x,y) ⇒ E41(x)</w:t>
      </w:r>
    </w:p>
    <w:p w14:paraId="1A5ECD69" w14:textId="77777777" w:rsidR="0084489F" w:rsidRDefault="00110FE6">
      <w:pPr>
        <w:pStyle w:val="BodyText"/>
      </w:pPr>
      <w:r w:rsidRPr="1B9E7434">
        <w:rPr>
          <w:lang w:val="fr-FR"/>
        </w:rPr>
        <w:t>P139(x,y) ⇒ E41(y)</w:t>
      </w:r>
    </w:p>
    <w:p w14:paraId="41FAEB9E" w14:textId="77777777" w:rsidR="0084489F" w:rsidRDefault="00110FE6">
      <w:pPr>
        <w:pStyle w:val="BodyText"/>
      </w:pPr>
      <w:r w:rsidRPr="1B9E7434">
        <w:rPr>
          <w:lang w:val="fr-FR"/>
        </w:rPr>
        <w:t>P139(x,y,z) ⇒ [P139(x,y) ∧ E55(z)]</w:t>
      </w:r>
    </w:p>
    <w:p w14:paraId="522DE842" w14:textId="77777777" w:rsidR="0084489F" w:rsidRDefault="00110FE6">
      <w:pPr>
        <w:pStyle w:val="BodyText"/>
      </w:pPr>
      <w:r w:rsidRPr="1B9E7434">
        <w:rPr>
          <w:lang w:val="fr-FR"/>
        </w:rPr>
        <w:t>¬P139(x,x)</w:t>
      </w:r>
    </w:p>
    <w:p w14:paraId="46342057" w14:textId="77777777" w:rsidR="0084489F" w:rsidRDefault="00110FE6">
      <w:pPr>
        <w:pStyle w:val="BodyText"/>
      </w:pPr>
      <w:r>
        <w:rPr>
          <w:b/>
          <w:bCs/>
        </w:rPr>
        <w:t>Propriétés</w:t>
      </w:r>
    </w:p>
    <w:p w14:paraId="58C986D1" w14:textId="77777777" w:rsidR="0084489F" w:rsidRDefault="00110FE6">
      <w:pPr>
        <w:pStyle w:val="BodyText"/>
      </w:pPr>
      <w:r>
        <w:rPr>
          <w:rStyle w:val="VerbatimChar"/>
        </w:rPr>
        <w:t>P139.1_a_pour_type</w:t>
      </w:r>
      <w:r>
        <w:t xml:space="preserve"> : </w:t>
      </w:r>
      <w:r>
        <w:rPr>
          <w:rStyle w:val="VerbatimChar"/>
        </w:rPr>
        <w:t>E55_Type</w:t>
      </w:r>
    </w:p>
    <w:p w14:paraId="4645D844" w14:textId="77777777" w:rsidR="0084489F" w:rsidRDefault="00110FE6">
      <w:pPr>
        <w:pStyle w:val="BlockText"/>
      </w:pPr>
      <w:r>
        <w:rPr>
          <w:b/>
          <w:bCs/>
          <w:i/>
          <w:iCs/>
        </w:rPr>
        <w:t>Note de traduction</w:t>
      </w:r>
    </w:p>
    <w:p w14:paraId="00868877" w14:textId="77777777" w:rsidR="0084489F" w:rsidRDefault="00110FE6">
      <w:pPr>
        <w:pStyle w:val="BlockText"/>
      </w:pPr>
      <w:r>
        <w:rPr>
          <w:b/>
          <w:bCs/>
          <w:i/>
          <w:iCs/>
        </w:rPr>
        <w:t>Références</w:t>
      </w:r>
    </w:p>
    <w:p w14:paraId="442DF5F4" w14:textId="77777777" w:rsidR="0084489F" w:rsidRDefault="0084489F">
      <w:pPr>
        <w:pStyle w:val="BlockText"/>
      </w:pPr>
    </w:p>
    <w:p w14:paraId="32415860" w14:textId="77777777" w:rsidR="0084489F" w:rsidRDefault="00110FE6">
      <w:pPr>
        <w:pStyle w:val="Heading2"/>
      </w:pPr>
      <w:bookmarkStart w:id="502" w:name="_Toc176864631"/>
      <w:bookmarkStart w:id="503" w:name="X4fd80d8040996118bf8f02957bd9e256dcb8d5c"/>
      <w:bookmarkEnd w:id="501"/>
      <w:r>
        <w:t>P140 a assigné l’attribut à (a reçu l’attribut par)</w:t>
      </w:r>
      <w:bookmarkEnd w:id="502"/>
    </w:p>
    <w:p w14:paraId="0FE82BCD" w14:textId="77777777" w:rsidR="0084489F" w:rsidRDefault="00110FE6">
      <w:pPr>
        <w:pStyle w:val="FirstParagraph"/>
      </w:pPr>
      <w:r>
        <w:rPr>
          <w:b/>
          <w:bCs/>
        </w:rPr>
        <w:t>Domaine</w:t>
      </w:r>
    </w:p>
    <w:p w14:paraId="58E5118A" w14:textId="77777777" w:rsidR="0084489F" w:rsidRDefault="00110FE6">
      <w:pPr>
        <w:pStyle w:val="BodyText"/>
      </w:pPr>
      <w:r>
        <w:rPr>
          <w:rStyle w:val="VerbatimChar"/>
        </w:rPr>
        <w:t>E13_Assignation_d’attribut</w:t>
      </w:r>
    </w:p>
    <w:p w14:paraId="66DED291" w14:textId="77777777" w:rsidR="0084489F" w:rsidRDefault="00110FE6">
      <w:pPr>
        <w:pStyle w:val="BodyText"/>
      </w:pPr>
      <w:r>
        <w:rPr>
          <w:b/>
          <w:bCs/>
        </w:rPr>
        <w:t>Portée</w:t>
      </w:r>
    </w:p>
    <w:p w14:paraId="0D40F30C" w14:textId="77777777" w:rsidR="0084489F" w:rsidRDefault="00110FE6">
      <w:pPr>
        <w:pStyle w:val="BodyText"/>
      </w:pPr>
      <w:r>
        <w:rPr>
          <w:rStyle w:val="VerbatimChar"/>
        </w:rPr>
        <w:t>E1_Entité_CRM</w:t>
      </w:r>
    </w:p>
    <w:p w14:paraId="0FB8DC31" w14:textId="77777777" w:rsidR="0084489F" w:rsidRDefault="00110FE6">
      <w:pPr>
        <w:pStyle w:val="BodyText"/>
      </w:pPr>
      <w:r>
        <w:rPr>
          <w:b/>
          <w:bCs/>
        </w:rPr>
        <w:t>Sous-propriété de</w:t>
      </w:r>
    </w:p>
    <w:p w14:paraId="41E40C8E" w14:textId="77777777" w:rsidR="0084489F" w:rsidRDefault="00110FE6">
      <w:pPr>
        <w:pStyle w:val="BodyText"/>
      </w:pPr>
      <w:r>
        <w:rPr>
          <w:b/>
          <w:bCs/>
        </w:rPr>
        <w:lastRenderedPageBreak/>
        <w:t>Super-propriété de</w:t>
      </w:r>
    </w:p>
    <w:p w14:paraId="64C28BBC" w14:textId="77777777" w:rsidR="0084489F" w:rsidRDefault="00110FE6">
      <w:pPr>
        <w:pStyle w:val="BodyText"/>
      </w:pPr>
      <w:r w:rsidRPr="1B9E7434">
        <w:rPr>
          <w:rStyle w:val="VerbatimChar"/>
          <w:lang w:val="fr-FR"/>
        </w:rPr>
        <w:t>E14_Évaluation_d’état_matériel</w:t>
      </w:r>
      <w:r w:rsidRPr="1B9E7434">
        <w:rPr>
          <w:lang w:val="fr-FR"/>
        </w:rPr>
        <w:t xml:space="preserve">. </w:t>
      </w:r>
      <w:r w:rsidRPr="1B9E7434">
        <w:rPr>
          <w:rStyle w:val="VerbatimChar"/>
          <w:lang w:val="fr-FR"/>
        </w:rPr>
        <w:t>P34_a_porté_sur (a_été_évalué_par)</w:t>
      </w:r>
      <w:r w:rsidRPr="1B9E7434">
        <w:rPr>
          <w:lang w:val="fr-FR"/>
        </w:rPr>
        <w:t xml:space="preserve"> : </w:t>
      </w:r>
      <w:r w:rsidRPr="1B9E7434">
        <w:rPr>
          <w:rStyle w:val="VerbatimChar"/>
          <w:lang w:val="fr-FR"/>
        </w:rPr>
        <w:t>E18_Chose_matérielle</w:t>
      </w:r>
    </w:p>
    <w:p w14:paraId="16779792" w14:textId="77777777" w:rsidR="0084489F" w:rsidRDefault="00110FE6">
      <w:pPr>
        <w:pStyle w:val="BodyText"/>
      </w:pPr>
      <w:r w:rsidRPr="1B9E7434">
        <w:rPr>
          <w:rStyle w:val="VerbatimChar"/>
          <w:lang w:val="fr-FR"/>
        </w:rPr>
        <w:t>E16_Mesurage</w:t>
      </w:r>
      <w:r w:rsidRPr="1B9E7434">
        <w:rPr>
          <w:lang w:val="fr-FR"/>
        </w:rPr>
        <w:t xml:space="preserve">. </w:t>
      </w:r>
      <w:r w:rsidRPr="1B9E7434">
        <w:rPr>
          <w:rStyle w:val="VerbatimChar"/>
          <w:lang w:val="fr-FR"/>
        </w:rPr>
        <w:t>P39_a_mesuré (a_été_mesuré_par)</w:t>
      </w:r>
      <w:r w:rsidRPr="1B9E7434">
        <w:rPr>
          <w:lang w:val="fr-FR"/>
        </w:rPr>
        <w:t xml:space="preserve"> : </w:t>
      </w:r>
      <w:r w:rsidRPr="1B9E7434">
        <w:rPr>
          <w:rStyle w:val="VerbatimChar"/>
          <w:lang w:val="fr-FR"/>
        </w:rPr>
        <w:t>E18_Chose_matérielle</w:t>
      </w:r>
    </w:p>
    <w:p w14:paraId="04FE8194" w14:textId="77777777" w:rsidR="0084489F" w:rsidRDefault="00110FE6">
      <w:pPr>
        <w:pStyle w:val="BodyText"/>
      </w:pPr>
      <w:r w:rsidRPr="1B9E7434">
        <w:rPr>
          <w:rStyle w:val="VerbatimChar"/>
          <w:lang w:val="fr-FR"/>
        </w:rPr>
        <w:t>E17_Assignation_de_type</w:t>
      </w:r>
      <w:r w:rsidRPr="1B9E7434">
        <w:rPr>
          <w:lang w:val="fr-FR"/>
        </w:rPr>
        <w:t xml:space="preserve">. </w:t>
      </w:r>
      <w:r w:rsidRPr="1B9E7434">
        <w:rPr>
          <w:rStyle w:val="VerbatimChar"/>
          <w:lang w:val="fr-FR"/>
        </w:rPr>
        <w:t>P41_a_classifé (a_été_classifié_par)</w:t>
      </w:r>
      <w:r w:rsidRPr="1B9E7434">
        <w:rPr>
          <w:lang w:val="fr-FR"/>
        </w:rPr>
        <w:t xml:space="preserve"> : </w:t>
      </w:r>
      <w:r w:rsidRPr="1B9E7434">
        <w:rPr>
          <w:rStyle w:val="VerbatimChar"/>
          <w:lang w:val="fr-FR"/>
        </w:rPr>
        <w:t>E1_Entité_CRM</w:t>
      </w:r>
    </w:p>
    <w:p w14:paraId="32BDAD75" w14:textId="77777777" w:rsidR="0084489F" w:rsidRDefault="00110FE6">
      <w:pPr>
        <w:pStyle w:val="BodyText"/>
      </w:pPr>
      <w:r>
        <w:rPr>
          <w:b/>
          <w:bCs/>
        </w:rPr>
        <w:t>Quantification</w:t>
      </w:r>
    </w:p>
    <w:p w14:paraId="31B43F2A" w14:textId="77777777" w:rsidR="0084489F" w:rsidRDefault="00110FE6">
      <w:pPr>
        <w:pStyle w:val="BodyText"/>
      </w:pPr>
      <w:r w:rsidRPr="1B9E7434">
        <w:rPr>
          <w:lang w:val="fr-FR"/>
        </w:rPr>
        <w:t>plusieurs à plusieurs (0,n:0,n)</w:t>
      </w:r>
    </w:p>
    <w:p w14:paraId="6AE80A0B" w14:textId="77777777" w:rsidR="0084489F" w:rsidRDefault="00110FE6">
      <w:pPr>
        <w:pStyle w:val="BodyText"/>
      </w:pPr>
      <w:r>
        <w:rPr>
          <w:b/>
          <w:bCs/>
        </w:rPr>
        <w:t>Note d’application</w:t>
      </w:r>
    </w:p>
    <w:p w14:paraId="62D63564" w14:textId="77777777" w:rsidR="0084489F" w:rsidRDefault="00110FE6">
      <w:pPr>
        <w:pStyle w:val="BodyText"/>
      </w:pPr>
      <w:r>
        <w:t xml:space="preserve">Cette propriété associe une instance de </w:t>
      </w:r>
      <w:r>
        <w:rPr>
          <w:rStyle w:val="VerbatimChar"/>
        </w:rPr>
        <w:t>E13_Assignation_d’attribut</w:t>
      </w:r>
      <w:r>
        <w:t xml:space="preserve"> à une instance de </w:t>
      </w:r>
      <w:r>
        <w:rPr>
          <w:rStyle w:val="VerbatimChar"/>
        </w:rPr>
        <w:t>E1_Entité_CRM</w:t>
      </w:r>
      <w:r>
        <w:t xml:space="preserve"> à propos de laquelle elle effectue une attribution. L’instance de </w:t>
      </w:r>
      <w:r>
        <w:rPr>
          <w:rStyle w:val="VerbatimChar"/>
        </w:rPr>
        <w:t>E1_Entité_CRM</w:t>
      </w:r>
      <w:r>
        <w:t xml:space="preserve"> joue le rôle de domaine de l’attribution.</w:t>
      </w:r>
    </w:p>
    <w:p w14:paraId="4ECB1EA9" w14:textId="77777777" w:rsidR="0084489F" w:rsidRDefault="00110FE6">
      <w:pPr>
        <w:pStyle w:val="BodyText"/>
      </w:pPr>
      <w:r>
        <w:t xml:space="preserve">Le type d’attribution devrait être documenté en utilisant la propriété </w:t>
      </w:r>
      <w:r>
        <w:rPr>
          <w:rStyle w:val="VerbatimChar"/>
        </w:rPr>
        <w:t>P177_a_assigné_le_type_de_propriété (est le type de la propriété assigné)</w:t>
      </w:r>
      <w:r>
        <w:t>.</w:t>
      </w:r>
    </w:p>
    <w:p w14:paraId="6164115C" w14:textId="77777777" w:rsidR="0084489F" w:rsidRDefault="00110FE6">
      <w:pPr>
        <w:pStyle w:val="BodyText"/>
      </w:pPr>
      <w:r>
        <w:rPr>
          <w:b/>
          <w:bCs/>
        </w:rPr>
        <w:t>Exemples</w:t>
      </w:r>
    </w:p>
    <w:p w14:paraId="56FAD9B3" w14:textId="77777777" w:rsidR="0084489F" w:rsidRDefault="00110FE6" w:rsidP="00806324">
      <w:pPr>
        <w:numPr>
          <w:ilvl w:val="0"/>
          <w:numId w:val="251"/>
        </w:numPr>
      </w:pPr>
      <w:r w:rsidRPr="1D6B9106">
        <w:rPr>
          <w:lang w:val="fr-FR"/>
        </w:rPr>
        <w:t>L'évaluation de la propriété actuelle de la coupe en argent de Martin Doerr (</w:t>
      </w:r>
      <w:r w:rsidRPr="1D6B9106">
        <w:rPr>
          <w:rStyle w:val="VerbatimChar"/>
          <w:lang w:val="fr-FR"/>
        </w:rPr>
        <w:t>E13_Assignation_d’attribut</w:t>
      </w:r>
      <w:r w:rsidRPr="1D6B9106">
        <w:rPr>
          <w:lang w:val="fr-FR"/>
        </w:rPr>
        <w:t>) en février 1997 a assigné l’attribut à (</w:t>
      </w:r>
      <w:r w:rsidRPr="1D6B9106">
        <w:rPr>
          <w:rStyle w:val="VerbatimChar"/>
          <w:lang w:val="fr-FR"/>
        </w:rPr>
        <w:t>P140_a_assigné_l'attribut_à</w:t>
      </w:r>
      <w:r w:rsidRPr="1D6B9106">
        <w:rPr>
          <w:lang w:val="fr-FR"/>
        </w:rPr>
        <w:t>) la coupe en argent de Martin Doerr (</w:t>
      </w:r>
      <w:r w:rsidRPr="1D6B9106">
        <w:rPr>
          <w:rStyle w:val="VerbatimChar"/>
          <w:lang w:val="fr-FR"/>
        </w:rPr>
        <w:t>E22_Objet_élaboré_par_l’humain</w:t>
      </w:r>
      <w:r w:rsidRPr="1D6B9106">
        <w:rPr>
          <w:lang w:val="fr-FR"/>
        </w:rPr>
        <w:t>) (fictif)</w:t>
      </w:r>
    </w:p>
    <w:p w14:paraId="707E9BB7" w14:textId="77777777" w:rsidR="0084489F" w:rsidRDefault="00110FE6" w:rsidP="00806324">
      <w:pPr>
        <w:numPr>
          <w:ilvl w:val="0"/>
          <w:numId w:val="251"/>
        </w:numPr>
      </w:pPr>
      <w:r w:rsidRPr="1D6B9106">
        <w:rPr>
          <w:lang w:val="fr-FR"/>
        </w:rPr>
        <w:t>L'attribution d'identifiant de la coupe en argent donnée par Martin Doerr (</w:t>
      </w:r>
      <w:r w:rsidRPr="1D6B9106">
        <w:rPr>
          <w:rStyle w:val="VerbatimChar"/>
          <w:lang w:val="fr-FR"/>
        </w:rPr>
        <w:t>E15_Assignation_d’identifiant</w:t>
      </w:r>
      <w:r w:rsidRPr="1D6B9106">
        <w:rPr>
          <w:lang w:val="fr-FR"/>
        </w:rPr>
        <w:t>) le 1</w:t>
      </w:r>
      <w:r w:rsidRPr="1D6B9106">
        <w:rPr>
          <w:vertAlign w:val="superscript"/>
          <w:lang w:val="fr-FR"/>
        </w:rPr>
        <w:t>er</w:t>
      </w:r>
      <w:r w:rsidRPr="1D6B9106">
        <w:rPr>
          <w:lang w:val="fr-FR"/>
        </w:rPr>
        <w:t xml:space="preserve"> juin 1997 a assigné l’attribut à (</w:t>
      </w:r>
      <w:r w:rsidRPr="1D6B9106">
        <w:rPr>
          <w:rStyle w:val="VerbatimChar"/>
          <w:lang w:val="fr-FR"/>
        </w:rPr>
        <w:t>P140_a_assigné_l'attribut_à</w:t>
      </w:r>
      <w:r w:rsidRPr="1D6B9106">
        <w:rPr>
          <w:lang w:val="fr-FR"/>
        </w:rPr>
        <w:t>) la coupe en argent 232 (</w:t>
      </w:r>
      <w:r w:rsidRPr="1D6B9106">
        <w:rPr>
          <w:rStyle w:val="VerbatimChar"/>
          <w:lang w:val="fr-FR"/>
        </w:rPr>
        <w:t>E22_Objet_élaboré_par_l’humain</w:t>
      </w:r>
      <w:r w:rsidRPr="1D6B9106">
        <w:rPr>
          <w:lang w:val="fr-FR"/>
        </w:rPr>
        <w:t>) (fictif)</w:t>
      </w:r>
    </w:p>
    <w:p w14:paraId="4428A6B4" w14:textId="1140D763" w:rsidR="0084489F" w:rsidRDefault="00110FE6" w:rsidP="00806324">
      <w:pPr>
        <w:numPr>
          <w:ilvl w:val="0"/>
          <w:numId w:val="251"/>
        </w:numPr>
      </w:pPr>
      <w:r w:rsidRPr="1B9E7434">
        <w:rPr>
          <w:lang w:val="fr-FR"/>
        </w:rPr>
        <w:t xml:space="preserve">L’examen du manuscrit </w:t>
      </w:r>
      <w:r w:rsidRPr="1B9E7434">
        <w:rPr>
          <w:i/>
          <w:iCs/>
          <w:lang w:val="fr-FR"/>
        </w:rPr>
        <w:t>Mont Sinaï, MS gr. 418</w:t>
      </w:r>
      <w:r w:rsidRPr="1B9E7434">
        <w:rPr>
          <w:lang w:val="fr-FR"/>
        </w:rPr>
        <w:t xml:space="preserve"> (</w:t>
      </w:r>
      <w:r w:rsidRPr="1B9E7434">
        <w:rPr>
          <w:rStyle w:val="VerbatimChar"/>
          <w:lang w:val="fr-FR"/>
        </w:rPr>
        <w:t>E13_Assignation_d’attribut</w:t>
      </w:r>
      <w:r w:rsidRPr="1B9E7434">
        <w:rPr>
          <w:lang w:val="fr-FR"/>
        </w:rPr>
        <w:t>) a assigné l’attribut à (</w:t>
      </w:r>
      <w:r w:rsidRPr="1B9E7434">
        <w:rPr>
          <w:rStyle w:val="VerbatimChar"/>
          <w:lang w:val="fr-FR"/>
        </w:rPr>
        <w:t>P140_a_assigné_l'attribut_à</w:t>
      </w:r>
      <w:r w:rsidRPr="1B9E7434">
        <w:rPr>
          <w:lang w:val="fr-FR"/>
        </w:rPr>
        <w:t xml:space="preserve">) </w:t>
      </w:r>
      <w:r w:rsidRPr="1B9E7434">
        <w:rPr>
          <w:i/>
          <w:iCs/>
          <w:lang w:val="fr-FR"/>
        </w:rPr>
        <w:t>Mont Sinaï, MS gr. 418</w:t>
      </w:r>
      <w:r w:rsidRPr="1B9E7434">
        <w:rPr>
          <w:lang w:val="fr-FR"/>
        </w:rPr>
        <w:t xml:space="preserve"> (</w:t>
      </w:r>
      <w:r w:rsidRPr="1B9E7434">
        <w:rPr>
          <w:rStyle w:val="VerbatimChar"/>
          <w:lang w:val="fr-FR"/>
        </w:rPr>
        <w:t>E22_Objet_élaboré_par_l’humain</w:t>
      </w:r>
      <w:r w:rsidRPr="1B9E7434">
        <w:rPr>
          <w:lang w:val="fr-FR"/>
        </w:rPr>
        <w:t>) (Honey et Pickwoad, 2010)</w:t>
      </w:r>
    </w:p>
    <w:p w14:paraId="66901E88" w14:textId="77777777" w:rsidR="0084489F" w:rsidRDefault="00110FE6">
      <w:pPr>
        <w:pStyle w:val="FirstParagraph"/>
      </w:pPr>
      <w:r>
        <w:rPr>
          <w:b/>
          <w:bCs/>
        </w:rPr>
        <w:t>Logique</w:t>
      </w:r>
    </w:p>
    <w:p w14:paraId="41F02AC3" w14:textId="77777777" w:rsidR="0084489F" w:rsidRDefault="00110FE6">
      <w:pPr>
        <w:pStyle w:val="BodyText"/>
      </w:pPr>
      <w:r w:rsidRPr="1B9E7434">
        <w:rPr>
          <w:lang w:val="fr-FR"/>
        </w:rPr>
        <w:t>P140(x,y) ⇒ E13(x)</w:t>
      </w:r>
    </w:p>
    <w:p w14:paraId="35A54F23" w14:textId="77777777" w:rsidR="0084489F" w:rsidRDefault="00110FE6">
      <w:pPr>
        <w:pStyle w:val="BodyText"/>
      </w:pPr>
      <w:r w:rsidRPr="1B9E7434">
        <w:rPr>
          <w:lang w:val="fr-FR"/>
        </w:rPr>
        <w:t>P140(x,y) ⇒ E1(y)</w:t>
      </w:r>
    </w:p>
    <w:p w14:paraId="21D9B274" w14:textId="77777777" w:rsidR="0084489F" w:rsidRDefault="00110FE6">
      <w:pPr>
        <w:pStyle w:val="BodyText"/>
      </w:pPr>
      <w:r>
        <w:rPr>
          <w:b/>
          <w:bCs/>
        </w:rPr>
        <w:t>Propriétés</w:t>
      </w:r>
    </w:p>
    <w:p w14:paraId="379FE395" w14:textId="77777777" w:rsidR="0084489F" w:rsidRDefault="00110FE6">
      <w:pPr>
        <w:pStyle w:val="BlockText"/>
      </w:pPr>
      <w:r>
        <w:rPr>
          <w:b/>
          <w:bCs/>
          <w:i/>
          <w:iCs/>
        </w:rPr>
        <w:t>Note de traduction</w:t>
      </w:r>
    </w:p>
    <w:p w14:paraId="0BEAA3FF" w14:textId="77777777" w:rsidR="0084489F" w:rsidRDefault="00110FE6">
      <w:pPr>
        <w:pStyle w:val="BlockText"/>
      </w:pPr>
      <w:r w:rsidRPr="1B9E7434">
        <w:rPr>
          <w:lang w:val="fr-FR"/>
        </w:rPr>
        <w:t xml:space="preserve">La formulation « joue le rôle de domaine de l’attribution » peut porter à confusion. Dans l’ensemble de triplets </w:t>
      </w:r>
      <w:r w:rsidRPr="1B9E7434">
        <w:rPr>
          <w:rStyle w:val="VerbatimChar"/>
          <w:lang w:val="fr-FR"/>
        </w:rPr>
        <w:t>E13_Assignation_d’attribut</w:t>
      </w:r>
      <w:r w:rsidRPr="1B9E7434">
        <w:rPr>
          <w:lang w:val="fr-FR"/>
        </w:rPr>
        <w:t xml:space="preserve">, </w:t>
      </w:r>
      <w:r w:rsidRPr="1B9E7434">
        <w:rPr>
          <w:rStyle w:val="VerbatimChar"/>
          <w:lang w:val="fr-FR"/>
        </w:rPr>
        <w:t>P140_a_assigné_l'attribut_à (a_reçu_l'attribut_par)</w:t>
      </w:r>
      <w:r w:rsidRPr="1B9E7434">
        <w:rPr>
          <w:lang w:val="fr-FR"/>
        </w:rPr>
        <w:t xml:space="preserve">, </w:t>
      </w:r>
      <w:r w:rsidRPr="1B9E7434">
        <w:rPr>
          <w:rStyle w:val="VerbatimChar"/>
          <w:lang w:val="fr-FR"/>
        </w:rPr>
        <w:t>E1_Entité_CRM</w:t>
      </w:r>
      <w:r w:rsidRPr="1B9E7434">
        <w:rPr>
          <w:lang w:val="fr-FR"/>
        </w:rPr>
        <w:t xml:space="preserve"> et </w:t>
      </w:r>
      <w:r w:rsidRPr="1B9E7434">
        <w:rPr>
          <w:rStyle w:val="VerbatimChar"/>
          <w:lang w:val="fr-FR"/>
        </w:rPr>
        <w:t>E13_Assignation_d’attribut</w:t>
      </w:r>
      <w:r w:rsidRPr="1B9E7434">
        <w:rPr>
          <w:lang w:val="fr-FR"/>
        </w:rPr>
        <w:t xml:space="preserve">, </w:t>
      </w:r>
      <w:r w:rsidRPr="1B9E7434">
        <w:rPr>
          <w:rStyle w:val="VerbatimChar"/>
          <w:lang w:val="fr-FR"/>
        </w:rPr>
        <w:t>P141_a_assigné (a_été_attribué_par)</w:t>
      </w:r>
      <w:r w:rsidRPr="1B9E7434">
        <w:rPr>
          <w:lang w:val="fr-FR"/>
        </w:rPr>
        <w:t xml:space="preserve">, </w:t>
      </w:r>
      <w:r w:rsidRPr="1B9E7434">
        <w:rPr>
          <w:rStyle w:val="VerbatimChar"/>
          <w:lang w:val="fr-FR"/>
        </w:rPr>
        <w:t>E1_Entité_CRM</w:t>
      </w:r>
      <w:r w:rsidRPr="1B9E7434">
        <w:rPr>
          <w:lang w:val="fr-FR"/>
        </w:rPr>
        <w:t xml:space="preserve"> où une entité A (instance de </w:t>
      </w:r>
      <w:r w:rsidRPr="1B9E7434">
        <w:rPr>
          <w:rStyle w:val="VerbatimChar"/>
          <w:lang w:val="fr-FR"/>
        </w:rPr>
        <w:t>E1_Entité_CRM</w:t>
      </w:r>
      <w:r w:rsidRPr="1B9E7434">
        <w:rPr>
          <w:lang w:val="fr-FR"/>
        </w:rPr>
        <w:t xml:space="preserve">) reçoit un attribut B (instance de </w:t>
      </w:r>
      <w:r w:rsidRPr="1B9E7434">
        <w:rPr>
          <w:rStyle w:val="VerbatimChar"/>
          <w:lang w:val="fr-FR"/>
        </w:rPr>
        <w:t>E1_Entité_CRM</w:t>
      </w:r>
      <w:r w:rsidRPr="1B9E7434">
        <w:rPr>
          <w:lang w:val="fr-FR"/>
        </w:rPr>
        <w:t xml:space="preserve">), l’instance A de </w:t>
      </w:r>
      <w:r w:rsidRPr="1B9E7434">
        <w:rPr>
          <w:rStyle w:val="VerbatimChar"/>
          <w:lang w:val="fr-FR"/>
        </w:rPr>
        <w:t>E1_Entité_CRM</w:t>
      </w:r>
      <w:r w:rsidRPr="1B9E7434">
        <w:rPr>
          <w:lang w:val="fr-FR"/>
        </w:rPr>
        <w:t xml:space="preserve"> peut être conceptuellement comprise comme le domaine de l’ensemble de triplets, et l’instance B de </w:t>
      </w:r>
      <w:r w:rsidRPr="1B9E7434">
        <w:rPr>
          <w:rStyle w:val="VerbatimChar"/>
          <w:lang w:val="fr-FR"/>
        </w:rPr>
        <w:t>E1_Entité_CRM</w:t>
      </w:r>
      <w:r w:rsidRPr="1B9E7434">
        <w:rPr>
          <w:lang w:val="fr-FR"/>
        </w:rPr>
        <w:t xml:space="preserve"> comme la portée. Ce n’est alors pas une propriété qui relie un domaine à sa portée, mais ici l’ensemble composé de </w:t>
      </w:r>
      <w:r w:rsidRPr="1B9E7434">
        <w:rPr>
          <w:rStyle w:val="VerbatimChar"/>
          <w:lang w:val="fr-FR"/>
        </w:rPr>
        <w:t>P140_a_assigné_l'attribut_à (a_reçu_l'attribut_par)</w:t>
      </w:r>
      <w:r w:rsidRPr="1B9E7434">
        <w:rPr>
          <w:lang w:val="fr-FR"/>
        </w:rPr>
        <w:t xml:space="preserve">, </w:t>
      </w:r>
      <w:r w:rsidRPr="1B9E7434">
        <w:rPr>
          <w:rStyle w:val="VerbatimChar"/>
          <w:lang w:val="fr-FR"/>
        </w:rPr>
        <w:t>E13_Assignation_d’attribut</w:t>
      </w:r>
      <w:r w:rsidRPr="1B9E7434">
        <w:rPr>
          <w:lang w:val="fr-FR"/>
        </w:rPr>
        <w:t xml:space="preserve"> et </w:t>
      </w:r>
      <w:r w:rsidRPr="1B9E7434">
        <w:rPr>
          <w:rStyle w:val="VerbatimChar"/>
          <w:lang w:val="fr-FR"/>
        </w:rPr>
        <w:t>P141_a_assigné (a_été_attribué_par)</w:t>
      </w:r>
      <w:r w:rsidRPr="1B9E7434">
        <w:rPr>
          <w:lang w:val="fr-FR"/>
        </w:rPr>
        <w:t>.</w:t>
      </w:r>
    </w:p>
    <w:p w14:paraId="43A23172" w14:textId="77777777" w:rsidR="0084489F" w:rsidRDefault="00110FE6">
      <w:pPr>
        <w:pStyle w:val="BlockText"/>
      </w:pPr>
      <w:r>
        <w:rPr>
          <w:b/>
          <w:bCs/>
          <w:i/>
          <w:iCs/>
        </w:rPr>
        <w:t>Références</w:t>
      </w:r>
    </w:p>
    <w:p w14:paraId="404FCB04" w14:textId="77777777" w:rsidR="0084489F" w:rsidRDefault="0084489F">
      <w:pPr>
        <w:pStyle w:val="BlockText"/>
      </w:pPr>
    </w:p>
    <w:p w14:paraId="502C21CF" w14:textId="77777777" w:rsidR="0084489F" w:rsidRDefault="00110FE6">
      <w:pPr>
        <w:pStyle w:val="Heading2"/>
      </w:pPr>
      <w:bookmarkStart w:id="504" w:name="_Toc176864632"/>
      <w:bookmarkStart w:id="505" w:name="p141-a-attribue-(a-ete-attribue-par)"/>
      <w:bookmarkEnd w:id="503"/>
      <w:r>
        <w:t>P141 a attribué (a été attribué par)</w:t>
      </w:r>
      <w:bookmarkEnd w:id="504"/>
    </w:p>
    <w:p w14:paraId="4819D55F" w14:textId="77777777" w:rsidR="0084489F" w:rsidRDefault="00110FE6">
      <w:pPr>
        <w:pStyle w:val="FirstParagraph"/>
      </w:pPr>
      <w:r>
        <w:rPr>
          <w:b/>
          <w:bCs/>
        </w:rPr>
        <w:t>Domaine</w:t>
      </w:r>
    </w:p>
    <w:p w14:paraId="221B68D1" w14:textId="77777777" w:rsidR="0084489F" w:rsidRDefault="00110FE6">
      <w:pPr>
        <w:pStyle w:val="BodyText"/>
      </w:pPr>
      <w:r>
        <w:rPr>
          <w:rStyle w:val="VerbatimChar"/>
        </w:rPr>
        <w:t>E13_Assignation_d’attribut</w:t>
      </w:r>
    </w:p>
    <w:p w14:paraId="1090E276" w14:textId="77777777" w:rsidR="0084489F" w:rsidRDefault="00110FE6">
      <w:pPr>
        <w:pStyle w:val="BodyText"/>
      </w:pPr>
      <w:r>
        <w:rPr>
          <w:b/>
          <w:bCs/>
        </w:rPr>
        <w:t>Portée</w:t>
      </w:r>
    </w:p>
    <w:p w14:paraId="214C75C0" w14:textId="77777777" w:rsidR="0084489F" w:rsidRDefault="00110FE6">
      <w:pPr>
        <w:pStyle w:val="BodyText"/>
      </w:pPr>
      <w:r>
        <w:rPr>
          <w:rStyle w:val="VerbatimChar"/>
        </w:rPr>
        <w:t>E1_Entité_CRM</w:t>
      </w:r>
    </w:p>
    <w:p w14:paraId="0D4E1906" w14:textId="77777777" w:rsidR="0084489F" w:rsidRDefault="00110FE6">
      <w:pPr>
        <w:pStyle w:val="BodyText"/>
      </w:pPr>
      <w:r>
        <w:rPr>
          <w:b/>
          <w:bCs/>
        </w:rPr>
        <w:t>Sous-propriété de</w:t>
      </w:r>
    </w:p>
    <w:p w14:paraId="0822BF98" w14:textId="77777777" w:rsidR="0084489F" w:rsidRDefault="00110FE6">
      <w:pPr>
        <w:pStyle w:val="BodyText"/>
      </w:pPr>
      <w:r>
        <w:rPr>
          <w:b/>
          <w:bCs/>
        </w:rPr>
        <w:t>Super-propriété de</w:t>
      </w:r>
    </w:p>
    <w:p w14:paraId="381CD77A" w14:textId="77777777" w:rsidR="0084489F" w:rsidRDefault="00110FE6">
      <w:pPr>
        <w:pStyle w:val="BodyText"/>
      </w:pPr>
      <w:r w:rsidRPr="1B9E7434">
        <w:rPr>
          <w:rStyle w:val="VerbatimChar"/>
          <w:lang w:val="fr-FR"/>
        </w:rPr>
        <w:t>E14_Évaluation_d’état_matériel</w:t>
      </w:r>
      <w:r w:rsidRPr="1B9E7434">
        <w:rPr>
          <w:lang w:val="fr-FR"/>
        </w:rPr>
        <w:t xml:space="preserve">. </w:t>
      </w:r>
      <w:r w:rsidRPr="1B9E7434">
        <w:rPr>
          <w:rStyle w:val="VerbatimChar"/>
          <w:lang w:val="fr-FR"/>
        </w:rPr>
        <w:t>P35_a_identifié (a_été_identifié_par)</w:t>
      </w:r>
      <w:r w:rsidRPr="1B9E7434">
        <w:rPr>
          <w:lang w:val="fr-FR"/>
        </w:rPr>
        <w:t xml:space="preserve"> : </w:t>
      </w:r>
      <w:r w:rsidRPr="1B9E7434">
        <w:rPr>
          <w:rStyle w:val="VerbatimChar"/>
          <w:lang w:val="fr-FR"/>
        </w:rPr>
        <w:t>E3_État_matériel</w:t>
      </w:r>
    </w:p>
    <w:p w14:paraId="45833212" w14:textId="77777777" w:rsidR="0084489F" w:rsidRDefault="00110FE6">
      <w:pPr>
        <w:pStyle w:val="BodyText"/>
      </w:pPr>
      <w:r w:rsidRPr="1B9E7434">
        <w:rPr>
          <w:rStyle w:val="VerbatimChar"/>
          <w:lang w:val="fr-FR"/>
        </w:rPr>
        <w:t>E15_Assignation_d'identifiant</w:t>
      </w:r>
      <w:r w:rsidRPr="1B9E7434">
        <w:rPr>
          <w:lang w:val="fr-FR"/>
        </w:rPr>
        <w:t xml:space="preserve">. </w:t>
      </w:r>
      <w:r w:rsidRPr="1B9E7434">
        <w:rPr>
          <w:rStyle w:val="VerbatimChar"/>
          <w:lang w:val="fr-FR"/>
        </w:rPr>
        <w:t>P37_a_attribué (a_été_attribué_par)</w:t>
      </w:r>
      <w:r w:rsidRPr="1B9E7434">
        <w:rPr>
          <w:lang w:val="fr-FR"/>
        </w:rPr>
        <w:t xml:space="preserve"> : </w:t>
      </w:r>
      <w:r w:rsidRPr="1B9E7434">
        <w:rPr>
          <w:rStyle w:val="VerbatimChar"/>
          <w:lang w:val="fr-FR"/>
        </w:rPr>
        <w:t>E42_Identifiant</w:t>
      </w:r>
    </w:p>
    <w:p w14:paraId="5524B2B5" w14:textId="77777777" w:rsidR="0084489F" w:rsidRDefault="00110FE6">
      <w:pPr>
        <w:pStyle w:val="BodyText"/>
      </w:pPr>
      <w:r w:rsidRPr="1B9E7434">
        <w:rPr>
          <w:rStyle w:val="VerbatimChar"/>
          <w:lang w:val="fr-FR"/>
        </w:rPr>
        <w:t>E15_Assignation_d'identifiant</w:t>
      </w:r>
      <w:r w:rsidRPr="1B9E7434">
        <w:rPr>
          <w:lang w:val="fr-FR"/>
        </w:rPr>
        <w:t xml:space="preserve">. </w:t>
      </w:r>
      <w:r w:rsidRPr="1B9E7434">
        <w:rPr>
          <w:rStyle w:val="VerbatimChar"/>
          <w:lang w:val="fr-FR"/>
        </w:rPr>
        <w:t>P38_a_retiré_l’assignation (a_été_retiré_par)</w:t>
      </w:r>
      <w:r w:rsidRPr="1B9E7434">
        <w:rPr>
          <w:lang w:val="fr-FR"/>
        </w:rPr>
        <w:t xml:space="preserve"> : </w:t>
      </w:r>
      <w:r w:rsidRPr="1B9E7434">
        <w:rPr>
          <w:rStyle w:val="VerbatimChar"/>
          <w:lang w:val="fr-FR"/>
        </w:rPr>
        <w:t>E42_Identifiant</w:t>
      </w:r>
    </w:p>
    <w:p w14:paraId="7BE89F3E" w14:textId="77777777" w:rsidR="0084489F" w:rsidRDefault="00110FE6">
      <w:pPr>
        <w:pStyle w:val="BodyText"/>
      </w:pPr>
      <w:r w:rsidRPr="1B9E7434">
        <w:rPr>
          <w:rStyle w:val="VerbatimChar"/>
          <w:lang w:val="fr-FR"/>
        </w:rPr>
        <w:t>E16_Mesurage</w:t>
      </w:r>
      <w:r w:rsidRPr="1B9E7434">
        <w:rPr>
          <w:lang w:val="fr-FR"/>
        </w:rPr>
        <w:t xml:space="preserve">. </w:t>
      </w:r>
      <w:r w:rsidRPr="1B9E7434">
        <w:rPr>
          <w:rStyle w:val="VerbatimChar"/>
          <w:lang w:val="fr-FR"/>
        </w:rPr>
        <w:t>P40_a_relevé_comme_dimension (a_été_relevé_par)</w:t>
      </w:r>
      <w:r w:rsidRPr="1B9E7434">
        <w:rPr>
          <w:lang w:val="fr-FR"/>
        </w:rPr>
        <w:t xml:space="preserve"> : </w:t>
      </w:r>
      <w:r w:rsidRPr="1B9E7434">
        <w:rPr>
          <w:rStyle w:val="VerbatimChar"/>
          <w:lang w:val="fr-FR"/>
        </w:rPr>
        <w:t>E54_Dimension</w:t>
      </w:r>
    </w:p>
    <w:p w14:paraId="26321765" w14:textId="77777777" w:rsidR="0084489F" w:rsidRDefault="00110FE6">
      <w:pPr>
        <w:pStyle w:val="BodyText"/>
      </w:pPr>
      <w:r w:rsidRPr="1B9E7434">
        <w:rPr>
          <w:rStyle w:val="VerbatimChar"/>
          <w:lang w:val="fr-FR"/>
        </w:rPr>
        <w:t>E17_Assignation_de_type</w:t>
      </w:r>
      <w:r w:rsidRPr="1B9E7434">
        <w:rPr>
          <w:lang w:val="fr-FR"/>
        </w:rPr>
        <w:t xml:space="preserve">. </w:t>
      </w:r>
      <w:r w:rsidRPr="1B9E7434">
        <w:rPr>
          <w:rStyle w:val="VerbatimChar"/>
          <w:lang w:val="fr-FR"/>
        </w:rPr>
        <w:t>P42_a_attribué (a_été_attribué_par)</w:t>
      </w:r>
      <w:r w:rsidRPr="1B9E7434">
        <w:rPr>
          <w:lang w:val="fr-FR"/>
        </w:rPr>
        <w:t xml:space="preserve"> : </w:t>
      </w:r>
      <w:r w:rsidRPr="1B9E7434">
        <w:rPr>
          <w:rStyle w:val="VerbatimChar"/>
          <w:lang w:val="fr-FR"/>
        </w:rPr>
        <w:t>E55_Type</w:t>
      </w:r>
    </w:p>
    <w:p w14:paraId="6AB8398F" w14:textId="77777777" w:rsidR="0084489F" w:rsidRDefault="00110FE6">
      <w:pPr>
        <w:pStyle w:val="BodyText"/>
      </w:pPr>
      <w:r>
        <w:rPr>
          <w:b/>
          <w:bCs/>
        </w:rPr>
        <w:t>Quantification</w:t>
      </w:r>
    </w:p>
    <w:p w14:paraId="388501CF" w14:textId="77777777" w:rsidR="0084489F" w:rsidRDefault="00110FE6">
      <w:pPr>
        <w:pStyle w:val="BodyText"/>
      </w:pPr>
      <w:r w:rsidRPr="1B9E7434">
        <w:rPr>
          <w:lang w:val="fr-FR"/>
        </w:rPr>
        <w:t>plusieurs à plusieurs (0,n:0,n)</w:t>
      </w:r>
    </w:p>
    <w:p w14:paraId="61A33A63" w14:textId="77777777" w:rsidR="0084489F" w:rsidRDefault="00110FE6">
      <w:pPr>
        <w:pStyle w:val="BodyText"/>
      </w:pPr>
      <w:r>
        <w:rPr>
          <w:b/>
          <w:bCs/>
        </w:rPr>
        <w:t>Note d’application</w:t>
      </w:r>
    </w:p>
    <w:p w14:paraId="4E03E026" w14:textId="77777777" w:rsidR="0084489F" w:rsidRDefault="00110FE6">
      <w:pPr>
        <w:pStyle w:val="BodyText"/>
      </w:pPr>
      <w:r>
        <w:t xml:space="preserve">Cette propriété associe une instance de </w:t>
      </w:r>
      <w:r>
        <w:rPr>
          <w:rStyle w:val="VerbatimChar"/>
        </w:rPr>
        <w:t>E13_Assignation_d’attribut</w:t>
      </w:r>
      <w:r>
        <w:t xml:space="preserve"> à une instance de </w:t>
      </w:r>
      <w:r>
        <w:rPr>
          <w:rStyle w:val="VerbatimChar"/>
        </w:rPr>
        <w:t>E1_Entité_CRM</w:t>
      </w:r>
      <w:r>
        <w:t xml:space="preserve"> utilisée lors de cette attribution. L’instance de </w:t>
      </w:r>
      <w:r>
        <w:rPr>
          <w:rStyle w:val="VerbatimChar"/>
        </w:rPr>
        <w:t>E1_Entité_CRM</w:t>
      </w:r>
      <w:r>
        <w:t xml:space="preserve"> joue ici le rôle de la portée de l’attribution.</w:t>
      </w:r>
    </w:p>
    <w:p w14:paraId="05BAF922" w14:textId="77777777" w:rsidR="0084489F" w:rsidRDefault="00110FE6">
      <w:pPr>
        <w:pStyle w:val="BodyText"/>
      </w:pPr>
      <w:r>
        <w:t xml:space="preserve">Le type d’attribution devrait être documenté en utilisant la propriété </w:t>
      </w:r>
      <w:r>
        <w:rPr>
          <w:rStyle w:val="VerbatimChar"/>
        </w:rPr>
        <w:t>P177_a_assigné_le_type_de_propriété (est le type de la propriété assigné)</w:t>
      </w:r>
      <w:r>
        <w:t>.</w:t>
      </w:r>
    </w:p>
    <w:p w14:paraId="70F45355" w14:textId="77777777" w:rsidR="0084489F" w:rsidRDefault="00110FE6">
      <w:pPr>
        <w:pStyle w:val="BodyText"/>
      </w:pPr>
      <w:r>
        <w:rPr>
          <w:b/>
          <w:bCs/>
        </w:rPr>
        <w:t>Exemples</w:t>
      </w:r>
    </w:p>
    <w:p w14:paraId="682DD6BE" w14:textId="77777777" w:rsidR="0084489F" w:rsidRDefault="00110FE6" w:rsidP="00806324">
      <w:pPr>
        <w:numPr>
          <w:ilvl w:val="0"/>
          <w:numId w:val="252"/>
        </w:numPr>
      </w:pPr>
      <w:r w:rsidRPr="1D6B9106">
        <w:rPr>
          <w:lang w:val="fr-FR"/>
        </w:rPr>
        <w:t>L'évaluation de la propriété actuelle de la coupe en argent de Martin Doerr (</w:t>
      </w:r>
      <w:r w:rsidRPr="1D6B9106">
        <w:rPr>
          <w:rStyle w:val="VerbatimChar"/>
          <w:lang w:val="fr-FR"/>
        </w:rPr>
        <w:t>E13_Assignation_d’attribut</w:t>
      </w:r>
      <w:r w:rsidRPr="1D6B9106">
        <w:rPr>
          <w:lang w:val="fr-FR"/>
        </w:rPr>
        <w:t>) en février 1997 a assigné (</w:t>
      </w:r>
      <w:r w:rsidRPr="1D6B9106">
        <w:rPr>
          <w:rStyle w:val="VerbatimChar"/>
          <w:lang w:val="fr-FR"/>
        </w:rPr>
        <w:t>P141_a_assigné</w:t>
      </w:r>
      <w:r w:rsidRPr="1D6B9106">
        <w:rPr>
          <w:lang w:val="fr-FR"/>
        </w:rPr>
        <w:t>) Martin Doerr (</w:t>
      </w:r>
      <w:r w:rsidRPr="1D6B9106">
        <w:rPr>
          <w:rStyle w:val="VerbatimChar"/>
          <w:lang w:val="fr-FR"/>
        </w:rPr>
        <w:t>E21_Personne</w:t>
      </w:r>
      <w:r w:rsidRPr="1D6B9106">
        <w:rPr>
          <w:lang w:val="fr-FR"/>
        </w:rPr>
        <w:t>) à la coupe en argent (fictif)</w:t>
      </w:r>
    </w:p>
    <w:p w14:paraId="41942265" w14:textId="77777777" w:rsidR="0084489F" w:rsidRDefault="00110FE6" w:rsidP="00806324">
      <w:pPr>
        <w:numPr>
          <w:ilvl w:val="0"/>
          <w:numId w:val="252"/>
        </w:numPr>
      </w:pPr>
      <w:r w:rsidRPr="1D6B9106">
        <w:rPr>
          <w:lang w:val="fr-FR"/>
        </w:rPr>
        <w:t>L'attribution d'identifiant de la coupe en argent donnée par Martin Doerr (</w:t>
      </w:r>
      <w:r w:rsidRPr="1D6B9106">
        <w:rPr>
          <w:rStyle w:val="VerbatimChar"/>
          <w:lang w:val="fr-FR"/>
        </w:rPr>
        <w:t>E15_Assignation_d’identifiant</w:t>
      </w:r>
      <w:r w:rsidRPr="1D6B9106">
        <w:rPr>
          <w:lang w:val="fr-FR"/>
        </w:rPr>
        <w:t>) le 1</w:t>
      </w:r>
      <w:r w:rsidRPr="1D6B9106">
        <w:rPr>
          <w:vertAlign w:val="superscript"/>
          <w:lang w:val="fr-FR"/>
        </w:rPr>
        <w:t>er</w:t>
      </w:r>
      <w:r w:rsidRPr="1D6B9106">
        <w:rPr>
          <w:lang w:val="fr-FR"/>
        </w:rPr>
        <w:t xml:space="preserve"> juin 1997 a assigné (</w:t>
      </w:r>
      <w:r w:rsidRPr="1D6B9106">
        <w:rPr>
          <w:rStyle w:val="VerbatimChar"/>
          <w:lang w:val="fr-FR"/>
        </w:rPr>
        <w:t>P141_a_assigné</w:t>
      </w:r>
      <w:r w:rsidRPr="1D6B9106">
        <w:rPr>
          <w:lang w:val="fr-FR"/>
        </w:rPr>
        <w:t>) l’identifiant d’objet 232 (</w:t>
      </w:r>
      <w:r w:rsidRPr="1D6B9106">
        <w:rPr>
          <w:rStyle w:val="VerbatimChar"/>
          <w:lang w:val="fr-FR"/>
        </w:rPr>
        <w:t>E42_Identifiant</w:t>
      </w:r>
      <w:r w:rsidRPr="1D6B9106">
        <w:rPr>
          <w:lang w:val="fr-FR"/>
        </w:rPr>
        <w:t>) (fictif)</w:t>
      </w:r>
    </w:p>
    <w:p w14:paraId="6AF861B1" w14:textId="613CC1C3" w:rsidR="0084489F" w:rsidRDefault="00110FE6" w:rsidP="00806324">
      <w:pPr>
        <w:numPr>
          <w:ilvl w:val="0"/>
          <w:numId w:val="252"/>
        </w:numPr>
      </w:pPr>
      <w:r w:rsidRPr="1B9E7434">
        <w:rPr>
          <w:lang w:val="fr-FR"/>
        </w:rPr>
        <w:t xml:space="preserve">L’examen du manuscrit </w:t>
      </w:r>
      <w:r w:rsidRPr="1B9E7434">
        <w:rPr>
          <w:i/>
          <w:iCs/>
          <w:lang w:val="fr-FR"/>
        </w:rPr>
        <w:t>Mont Sinaï, MS gr. 418</w:t>
      </w:r>
      <w:r w:rsidRPr="1B9E7434">
        <w:rPr>
          <w:lang w:val="fr-FR"/>
        </w:rPr>
        <w:t xml:space="preserve"> (</w:t>
      </w:r>
      <w:r w:rsidRPr="1B9E7434">
        <w:rPr>
          <w:rStyle w:val="VerbatimChar"/>
          <w:lang w:val="fr-FR"/>
        </w:rPr>
        <w:t>E13_Assignation_d’attribut</w:t>
      </w:r>
      <w:r w:rsidRPr="1B9E7434">
        <w:rPr>
          <w:lang w:val="fr-FR"/>
        </w:rPr>
        <w:t>) a assigné (</w:t>
      </w:r>
      <w:r w:rsidRPr="1B9E7434">
        <w:rPr>
          <w:rStyle w:val="VerbatimChar"/>
          <w:lang w:val="fr-FR"/>
        </w:rPr>
        <w:t>P141_a_assigné</w:t>
      </w:r>
      <w:r w:rsidRPr="1B9E7434">
        <w:rPr>
          <w:lang w:val="fr-FR"/>
        </w:rPr>
        <w:t>) « non pris en charge » (</w:t>
      </w:r>
      <w:r w:rsidRPr="1B9E7434">
        <w:rPr>
          <w:rStyle w:val="VerbatimChar"/>
          <w:lang w:val="fr-FR"/>
        </w:rPr>
        <w:t>E55_Type</w:t>
      </w:r>
      <w:r w:rsidRPr="1B9E7434">
        <w:rPr>
          <w:lang w:val="fr-FR"/>
        </w:rPr>
        <w:t>) (Honey &amp; Pickwoad, 2010)</w:t>
      </w:r>
    </w:p>
    <w:p w14:paraId="55C8BDCF" w14:textId="77777777" w:rsidR="0084489F" w:rsidRDefault="00110FE6">
      <w:pPr>
        <w:pStyle w:val="FirstParagraph"/>
      </w:pPr>
      <w:r>
        <w:rPr>
          <w:b/>
          <w:bCs/>
        </w:rPr>
        <w:t>Logique</w:t>
      </w:r>
    </w:p>
    <w:p w14:paraId="11268771" w14:textId="77777777" w:rsidR="0084489F" w:rsidRDefault="00110FE6">
      <w:pPr>
        <w:pStyle w:val="BodyText"/>
      </w:pPr>
      <w:r w:rsidRPr="1B9E7434">
        <w:rPr>
          <w:lang w:val="fr-FR"/>
        </w:rPr>
        <w:t>P141(x,y) ⇒ E13(x)</w:t>
      </w:r>
    </w:p>
    <w:p w14:paraId="0E26BA58" w14:textId="77777777" w:rsidR="0084489F" w:rsidRDefault="00110FE6">
      <w:pPr>
        <w:pStyle w:val="BodyText"/>
      </w:pPr>
      <w:r w:rsidRPr="1B9E7434">
        <w:rPr>
          <w:lang w:val="fr-FR"/>
        </w:rPr>
        <w:t>P141(x,y) ⇒ E1(y)</w:t>
      </w:r>
    </w:p>
    <w:p w14:paraId="7EC76F99" w14:textId="77777777" w:rsidR="0084489F" w:rsidRDefault="00110FE6">
      <w:pPr>
        <w:pStyle w:val="BodyText"/>
      </w:pPr>
      <w:r>
        <w:rPr>
          <w:b/>
          <w:bCs/>
        </w:rPr>
        <w:t>Propriétés</w:t>
      </w:r>
    </w:p>
    <w:p w14:paraId="4411322C" w14:textId="77777777" w:rsidR="0084489F" w:rsidRDefault="00110FE6">
      <w:pPr>
        <w:pStyle w:val="BlockText"/>
      </w:pPr>
      <w:r>
        <w:rPr>
          <w:b/>
          <w:bCs/>
          <w:i/>
          <w:iCs/>
        </w:rPr>
        <w:lastRenderedPageBreak/>
        <w:t>Note de traduction</w:t>
      </w:r>
    </w:p>
    <w:p w14:paraId="62BEA9E8" w14:textId="77777777" w:rsidR="0084489F" w:rsidRDefault="00110FE6">
      <w:pPr>
        <w:pStyle w:val="BlockText"/>
      </w:pPr>
      <w:r w:rsidRPr="1B9E7434">
        <w:rPr>
          <w:lang w:val="fr-FR"/>
        </w:rPr>
        <w:t xml:space="preserve">La formulation « joue le rôle de la portée de l’attribution » peut porter à confusion. Dans l’ensemble de triplets </w:t>
      </w:r>
      <w:r w:rsidRPr="1B9E7434">
        <w:rPr>
          <w:rStyle w:val="VerbatimChar"/>
          <w:lang w:val="fr-FR"/>
        </w:rPr>
        <w:t>E13_Assignation_d’attribut</w:t>
      </w:r>
      <w:r w:rsidRPr="1B9E7434">
        <w:rPr>
          <w:lang w:val="fr-FR"/>
        </w:rPr>
        <w:t xml:space="preserve">, </w:t>
      </w:r>
      <w:r w:rsidRPr="1B9E7434">
        <w:rPr>
          <w:rStyle w:val="VerbatimChar"/>
          <w:lang w:val="fr-FR"/>
        </w:rPr>
        <w:t>P140_a_assigné_l'attribut_à (a_reçu_l'attribut_par)</w:t>
      </w:r>
      <w:r w:rsidRPr="1B9E7434">
        <w:rPr>
          <w:lang w:val="fr-FR"/>
        </w:rPr>
        <w:t xml:space="preserve">, </w:t>
      </w:r>
      <w:r w:rsidRPr="1B9E7434">
        <w:rPr>
          <w:rStyle w:val="VerbatimChar"/>
          <w:lang w:val="fr-FR"/>
        </w:rPr>
        <w:t>E1_Entité_CRM</w:t>
      </w:r>
      <w:r w:rsidRPr="1B9E7434">
        <w:rPr>
          <w:lang w:val="fr-FR"/>
        </w:rPr>
        <w:t xml:space="preserve"> et </w:t>
      </w:r>
      <w:r w:rsidRPr="1B9E7434">
        <w:rPr>
          <w:rStyle w:val="VerbatimChar"/>
          <w:lang w:val="fr-FR"/>
        </w:rPr>
        <w:t>E13_Assignation_d’attribut</w:t>
      </w:r>
      <w:r w:rsidRPr="1B9E7434">
        <w:rPr>
          <w:lang w:val="fr-FR"/>
        </w:rPr>
        <w:t xml:space="preserve">, </w:t>
      </w:r>
      <w:r w:rsidRPr="1B9E7434">
        <w:rPr>
          <w:rStyle w:val="VerbatimChar"/>
          <w:lang w:val="fr-FR"/>
        </w:rPr>
        <w:t>P141_a_assigné (a_été_attribué_par)</w:t>
      </w:r>
      <w:r w:rsidRPr="1B9E7434">
        <w:rPr>
          <w:lang w:val="fr-FR"/>
        </w:rPr>
        <w:t xml:space="preserve">, </w:t>
      </w:r>
      <w:r w:rsidRPr="1B9E7434">
        <w:rPr>
          <w:rStyle w:val="VerbatimChar"/>
          <w:lang w:val="fr-FR"/>
        </w:rPr>
        <w:t>E1_Entité_CRM</w:t>
      </w:r>
      <w:r w:rsidRPr="1B9E7434">
        <w:rPr>
          <w:lang w:val="fr-FR"/>
        </w:rPr>
        <w:t xml:space="preserve"> où une entité A (instance de </w:t>
      </w:r>
      <w:r w:rsidRPr="1B9E7434">
        <w:rPr>
          <w:rStyle w:val="VerbatimChar"/>
          <w:lang w:val="fr-FR"/>
        </w:rPr>
        <w:t>E1_Entité_CRM</w:t>
      </w:r>
      <w:r w:rsidRPr="1B9E7434">
        <w:rPr>
          <w:lang w:val="fr-FR"/>
        </w:rPr>
        <w:t xml:space="preserve">) reçoit un attribut B (instance de </w:t>
      </w:r>
      <w:r w:rsidRPr="1B9E7434">
        <w:rPr>
          <w:rStyle w:val="VerbatimChar"/>
          <w:lang w:val="fr-FR"/>
        </w:rPr>
        <w:t>E1_Entité_CRM</w:t>
      </w:r>
      <w:r w:rsidRPr="1B9E7434">
        <w:rPr>
          <w:lang w:val="fr-FR"/>
        </w:rPr>
        <w:t xml:space="preserve">), l’instance A de </w:t>
      </w:r>
      <w:r w:rsidRPr="1B9E7434">
        <w:rPr>
          <w:rStyle w:val="VerbatimChar"/>
          <w:lang w:val="fr-FR"/>
        </w:rPr>
        <w:t>E1_Entité_CRM</w:t>
      </w:r>
      <w:r w:rsidRPr="1B9E7434">
        <w:rPr>
          <w:lang w:val="fr-FR"/>
        </w:rPr>
        <w:t xml:space="preserve"> peut être conceptuellement comprise comme le domaine de l’ensemble de triplets, et l’instance B de </w:t>
      </w:r>
      <w:r w:rsidRPr="1B9E7434">
        <w:rPr>
          <w:rStyle w:val="VerbatimChar"/>
          <w:lang w:val="fr-FR"/>
        </w:rPr>
        <w:t>E1_Entité_CRM</w:t>
      </w:r>
      <w:r w:rsidRPr="1B9E7434">
        <w:rPr>
          <w:lang w:val="fr-FR"/>
        </w:rPr>
        <w:t xml:space="preserve"> comme la portée. Ce n’est alors pas une propriété qui relie un domaine à sa portée, mais ici l’ensemble composé de </w:t>
      </w:r>
      <w:r w:rsidRPr="1B9E7434">
        <w:rPr>
          <w:rStyle w:val="VerbatimChar"/>
          <w:lang w:val="fr-FR"/>
        </w:rPr>
        <w:t>P140_a_assigné_l'attribut_à (a_reçu_l'attribut_par)</w:t>
      </w:r>
      <w:r w:rsidRPr="1B9E7434">
        <w:rPr>
          <w:lang w:val="fr-FR"/>
        </w:rPr>
        <w:t xml:space="preserve">, </w:t>
      </w:r>
      <w:r w:rsidRPr="1B9E7434">
        <w:rPr>
          <w:rStyle w:val="VerbatimChar"/>
          <w:lang w:val="fr-FR"/>
        </w:rPr>
        <w:t>E13_Assignation_d’attribut</w:t>
      </w:r>
      <w:r w:rsidRPr="1B9E7434">
        <w:rPr>
          <w:lang w:val="fr-FR"/>
        </w:rPr>
        <w:t xml:space="preserve"> et </w:t>
      </w:r>
      <w:r w:rsidRPr="1B9E7434">
        <w:rPr>
          <w:rStyle w:val="VerbatimChar"/>
          <w:lang w:val="fr-FR"/>
        </w:rPr>
        <w:t>P141_a_assigné (a_été_attribué_par)</w:t>
      </w:r>
      <w:r w:rsidRPr="1B9E7434">
        <w:rPr>
          <w:lang w:val="fr-FR"/>
        </w:rPr>
        <w:t>.</w:t>
      </w:r>
    </w:p>
    <w:p w14:paraId="47892703" w14:textId="77777777" w:rsidR="0084489F" w:rsidRDefault="00110FE6">
      <w:pPr>
        <w:pStyle w:val="BlockText"/>
      </w:pPr>
      <w:r>
        <w:rPr>
          <w:b/>
          <w:bCs/>
          <w:i/>
          <w:iCs/>
        </w:rPr>
        <w:t>Références</w:t>
      </w:r>
    </w:p>
    <w:p w14:paraId="73AA6FFC" w14:textId="77777777" w:rsidR="0084489F" w:rsidRDefault="0084489F">
      <w:pPr>
        <w:pStyle w:val="BlockText"/>
      </w:pPr>
    </w:p>
    <w:p w14:paraId="6C9704D7" w14:textId="77777777" w:rsidR="0084489F" w:rsidRDefault="00110FE6">
      <w:pPr>
        <w:pStyle w:val="Heading2"/>
      </w:pPr>
      <w:bookmarkStart w:id="506" w:name="_Toc176864633"/>
      <w:bookmarkStart w:id="507" w:name="X1ea7f9d61ec31375d04b62bf8e9a6a56f08df28"/>
      <w:bookmarkEnd w:id="505"/>
      <w:r>
        <w:t>P142 a mobilisé comme élément (a été mobilisé dans)</w:t>
      </w:r>
      <w:bookmarkEnd w:id="506"/>
    </w:p>
    <w:p w14:paraId="78A19454" w14:textId="77777777" w:rsidR="0084489F" w:rsidRDefault="00110FE6">
      <w:pPr>
        <w:pStyle w:val="FirstParagraph"/>
      </w:pPr>
      <w:r>
        <w:rPr>
          <w:b/>
          <w:bCs/>
        </w:rPr>
        <w:t>Domaine</w:t>
      </w:r>
    </w:p>
    <w:p w14:paraId="69C44DD4" w14:textId="77777777" w:rsidR="0084489F" w:rsidRDefault="00110FE6">
      <w:pPr>
        <w:pStyle w:val="BodyText"/>
      </w:pPr>
      <w:r>
        <w:rPr>
          <w:rStyle w:val="VerbatimChar"/>
        </w:rPr>
        <w:t>E15_Assignation_d’identifiant</w:t>
      </w:r>
    </w:p>
    <w:p w14:paraId="2AEAACD6" w14:textId="77777777" w:rsidR="0084489F" w:rsidRDefault="00110FE6">
      <w:pPr>
        <w:pStyle w:val="BodyText"/>
      </w:pPr>
      <w:r>
        <w:rPr>
          <w:b/>
          <w:bCs/>
        </w:rPr>
        <w:t>Portée</w:t>
      </w:r>
    </w:p>
    <w:p w14:paraId="07F55A06" w14:textId="77777777" w:rsidR="0084489F" w:rsidRDefault="00110FE6">
      <w:pPr>
        <w:pStyle w:val="BodyText"/>
      </w:pPr>
      <w:r>
        <w:rPr>
          <w:rStyle w:val="VerbatimChar"/>
        </w:rPr>
        <w:t>E90_Objet_symbolique</w:t>
      </w:r>
    </w:p>
    <w:p w14:paraId="6A8B4835" w14:textId="77777777" w:rsidR="0084489F" w:rsidRDefault="00110FE6">
      <w:pPr>
        <w:pStyle w:val="BodyText"/>
      </w:pPr>
      <w:r>
        <w:rPr>
          <w:b/>
          <w:bCs/>
        </w:rPr>
        <w:t>Sous-propriété de</w:t>
      </w:r>
    </w:p>
    <w:p w14:paraId="7C5E03A6" w14:textId="77777777" w:rsidR="0084489F" w:rsidRDefault="00110FE6">
      <w:pPr>
        <w:pStyle w:val="BodyText"/>
      </w:pPr>
      <w:r w:rsidRPr="1B9E7434">
        <w:rPr>
          <w:rStyle w:val="VerbatimChar"/>
          <w:lang w:val="fr-FR"/>
        </w:rPr>
        <w:t>E7_Activité</w:t>
      </w:r>
      <w:r w:rsidRPr="1B9E7434">
        <w:rPr>
          <w:lang w:val="fr-FR"/>
        </w:rPr>
        <w:t xml:space="preserve">. </w:t>
      </w:r>
      <w:r w:rsidRPr="1B9E7434">
        <w:rPr>
          <w:rStyle w:val="VerbatimChar"/>
          <w:lang w:val="fr-FR"/>
        </w:rPr>
        <w:t>P16_a_mobilisé_l’objet_spécifique (a_été_mobilisé_pour)</w:t>
      </w:r>
      <w:r w:rsidRPr="1B9E7434">
        <w:rPr>
          <w:lang w:val="fr-FR"/>
        </w:rPr>
        <w:t xml:space="preserve"> : </w:t>
      </w:r>
      <w:r w:rsidRPr="1B9E7434">
        <w:rPr>
          <w:rStyle w:val="VerbatimChar"/>
          <w:lang w:val="fr-FR"/>
        </w:rPr>
        <w:t>E70_Chose</w:t>
      </w:r>
    </w:p>
    <w:p w14:paraId="3DBEF4CF" w14:textId="77777777" w:rsidR="0084489F" w:rsidRDefault="00110FE6">
      <w:pPr>
        <w:pStyle w:val="BodyText"/>
      </w:pPr>
      <w:r>
        <w:rPr>
          <w:b/>
          <w:bCs/>
        </w:rPr>
        <w:t>Super-propriété de</w:t>
      </w:r>
    </w:p>
    <w:p w14:paraId="61C28CA1" w14:textId="77777777" w:rsidR="0084489F" w:rsidRDefault="00110FE6">
      <w:pPr>
        <w:pStyle w:val="BodyText"/>
      </w:pPr>
      <w:r>
        <w:rPr>
          <w:b/>
          <w:bCs/>
        </w:rPr>
        <w:t>Quantification</w:t>
      </w:r>
    </w:p>
    <w:p w14:paraId="7F99D7BF" w14:textId="77777777" w:rsidR="0084489F" w:rsidRDefault="00110FE6">
      <w:pPr>
        <w:pStyle w:val="BodyText"/>
      </w:pPr>
      <w:r w:rsidRPr="1B9E7434">
        <w:rPr>
          <w:lang w:val="fr-FR"/>
        </w:rPr>
        <w:t>plusieurs à plusieurs (0,n:0,n)</w:t>
      </w:r>
    </w:p>
    <w:p w14:paraId="4BF6C3BB" w14:textId="77777777" w:rsidR="0084489F" w:rsidRDefault="00110FE6">
      <w:pPr>
        <w:pStyle w:val="BodyText"/>
      </w:pPr>
      <w:r>
        <w:rPr>
          <w:b/>
          <w:bCs/>
        </w:rPr>
        <w:t>Note d’application</w:t>
      </w:r>
    </w:p>
    <w:p w14:paraId="54BFB4D3" w14:textId="77777777" w:rsidR="0084489F" w:rsidRDefault="00110FE6">
      <w:pPr>
        <w:pStyle w:val="BodyText"/>
      </w:pPr>
      <w:r>
        <w:t xml:space="preserve">Cette propriété associe une instance de </w:t>
      </w:r>
      <w:r>
        <w:rPr>
          <w:rStyle w:val="VerbatimChar"/>
        </w:rPr>
        <w:t>E15_Assignation_d’identifiant</w:t>
      </w:r>
      <w:r>
        <w:t xml:space="preserve"> à l'instance de </w:t>
      </w:r>
      <w:r>
        <w:rPr>
          <w:rStyle w:val="VerbatimChar"/>
        </w:rPr>
        <w:t>E90_Objet_symbolique</w:t>
      </w:r>
      <w:r>
        <w:t xml:space="preserve"> mobilisée comme élément constitutif d'une instance de </w:t>
      </w:r>
      <w:r>
        <w:rPr>
          <w:rStyle w:val="VerbatimChar"/>
        </w:rPr>
        <w:t>E42_Identifiant</w:t>
      </w:r>
      <w:r>
        <w:t xml:space="preserve"> lors d'un acte d'assignation.</w:t>
      </w:r>
    </w:p>
    <w:p w14:paraId="5988DEF6" w14:textId="77777777" w:rsidR="0084489F" w:rsidRDefault="00110FE6">
      <w:pPr>
        <w:pStyle w:val="BodyText"/>
      </w:pPr>
      <w:r>
        <w:rPr>
          <w:b/>
          <w:bCs/>
        </w:rPr>
        <w:t>Exemples</w:t>
      </w:r>
    </w:p>
    <w:p w14:paraId="72DE7B2D" w14:textId="77777777" w:rsidR="0084489F" w:rsidRDefault="00110FE6" w:rsidP="00806324">
      <w:pPr>
        <w:numPr>
          <w:ilvl w:val="0"/>
          <w:numId w:val="253"/>
        </w:numPr>
      </w:pPr>
      <w:r>
        <w:t>Le 1</w:t>
      </w:r>
      <w:r>
        <w:rPr>
          <w:vertAlign w:val="superscript"/>
        </w:rPr>
        <w:t>er</w:t>
      </w:r>
      <w:r>
        <w:t xml:space="preserve"> juin 2001, l'assignation de l'identifiant du nom de personne « Guillaume de Machaut, c. 1300-1377 » (</w:t>
      </w:r>
      <w:r>
        <w:rPr>
          <w:rStyle w:val="VerbatimChar"/>
        </w:rPr>
        <w:t>E15_Assignation_d’identifiant</w:t>
      </w:r>
      <w:r>
        <w:t>) a mobilisé comme élément constitutif (</w:t>
      </w:r>
      <w:r>
        <w:rPr>
          <w:rStyle w:val="VerbatimChar"/>
        </w:rPr>
        <w:t>P142_a_mobilisé_comme_élément</w:t>
      </w:r>
      <w:r>
        <w:t>) « c. 1300-1377 » (</w:t>
      </w:r>
      <w:r>
        <w:rPr>
          <w:rStyle w:val="VerbatimChar"/>
        </w:rPr>
        <w:t>E41_Appellation</w:t>
      </w:r>
      <w:r>
        <w:t>) (Kelly, 2014)</w:t>
      </w:r>
    </w:p>
    <w:p w14:paraId="5C285832" w14:textId="73249DBB" w:rsidR="0084489F" w:rsidRDefault="00110FE6" w:rsidP="00806324">
      <w:pPr>
        <w:numPr>
          <w:ilvl w:val="0"/>
          <w:numId w:val="253"/>
        </w:numPr>
      </w:pPr>
      <w:r w:rsidRPr="1B9E7434">
        <w:rPr>
          <w:lang w:val="fr-FR"/>
        </w:rPr>
        <w:t>L'assignation d'un titre uniformisé à l'œuvre textuelle anonyme connue sous le nom d'</w:t>
      </w:r>
      <w:r w:rsidRPr="1B9E7434">
        <w:rPr>
          <w:i/>
          <w:iCs/>
          <w:lang w:val="fr-FR"/>
        </w:rPr>
        <w:t>Adoration des bergers</w:t>
      </w:r>
      <w:r w:rsidRPr="1B9E7434">
        <w:rPr>
          <w:lang w:val="fr-FR"/>
        </w:rPr>
        <w:t xml:space="preserve"> (</w:t>
      </w:r>
      <w:r w:rsidRPr="1B9E7434">
        <w:rPr>
          <w:rStyle w:val="VerbatimChar"/>
          <w:lang w:val="fr-FR"/>
        </w:rPr>
        <w:t>E15_Assignation_d’identifiant</w:t>
      </w:r>
      <w:r w:rsidRPr="1B9E7434">
        <w:rPr>
          <w:lang w:val="fr-FR"/>
        </w:rPr>
        <w:t>) a mobilisé l'élément constitutif (</w:t>
      </w:r>
      <w:r w:rsidRPr="1B9E7434">
        <w:rPr>
          <w:rStyle w:val="VerbatimChar"/>
          <w:lang w:val="fr-FR"/>
        </w:rPr>
        <w:t>P142_a_mobilisé_comme_élément</w:t>
      </w:r>
      <w:r w:rsidRPr="1B9E7434">
        <w:rPr>
          <w:lang w:val="fr-FR"/>
        </w:rPr>
        <w:t>) « Coventry » (</w:t>
      </w:r>
      <w:r w:rsidRPr="1B9E7434">
        <w:rPr>
          <w:rStyle w:val="VerbatimChar"/>
          <w:lang w:val="fr-FR"/>
        </w:rPr>
        <w:t>E41_Appellation</w:t>
      </w:r>
      <w:r w:rsidRPr="1B9E7434">
        <w:rPr>
          <w:lang w:val="fr-FR"/>
        </w:rPr>
        <w:t>) (Encyclopedia Britannica, 1998)</w:t>
      </w:r>
    </w:p>
    <w:p w14:paraId="12CC50E8" w14:textId="0ADEA387" w:rsidR="0084489F" w:rsidRDefault="00110FE6" w:rsidP="00806324">
      <w:pPr>
        <w:numPr>
          <w:ilvl w:val="0"/>
          <w:numId w:val="253"/>
        </w:numPr>
      </w:pPr>
      <w:r w:rsidRPr="1B9E7434">
        <w:rPr>
          <w:lang w:val="fr-FR"/>
        </w:rPr>
        <w:t xml:space="preserve">L'assignation d'un titre uniformisé à l'œuvre chorégraphique de Pina Bausch </w:t>
      </w:r>
      <w:r w:rsidRPr="1B9E7434">
        <w:rPr>
          <w:i/>
          <w:iCs/>
          <w:lang w:val="fr-FR"/>
        </w:rPr>
        <w:t>Le sacre du printemps</w:t>
      </w:r>
      <w:r w:rsidRPr="1B9E7434">
        <w:rPr>
          <w:lang w:val="fr-FR"/>
        </w:rPr>
        <w:t xml:space="preserve"> (</w:t>
      </w:r>
      <w:r w:rsidRPr="1B9E7434">
        <w:rPr>
          <w:rStyle w:val="VerbatimChar"/>
          <w:lang w:val="fr-FR"/>
        </w:rPr>
        <w:t>E15_Assignation_d’identifiant</w:t>
      </w:r>
      <w:r w:rsidRPr="1B9E7434">
        <w:rPr>
          <w:lang w:val="fr-FR"/>
        </w:rPr>
        <w:t>) a mobilisé l'élément constitutif (</w:t>
      </w:r>
      <w:r w:rsidRPr="1B9E7434">
        <w:rPr>
          <w:rStyle w:val="VerbatimChar"/>
          <w:lang w:val="fr-FR"/>
        </w:rPr>
        <w:t>P142_a_mobilisé_comme_élément</w:t>
      </w:r>
      <w:r w:rsidRPr="1B9E7434">
        <w:rPr>
          <w:lang w:val="fr-FR"/>
        </w:rPr>
        <w:t>) « œuvre chorégraphique : Bausch » (</w:t>
      </w:r>
      <w:r w:rsidRPr="1B9E7434">
        <w:rPr>
          <w:rStyle w:val="VerbatimChar"/>
          <w:lang w:val="fr-FR"/>
        </w:rPr>
        <w:t>E90_Objet_symbolique</w:t>
      </w:r>
      <w:r w:rsidRPr="1B9E7434">
        <w:rPr>
          <w:lang w:val="fr-FR"/>
        </w:rPr>
        <w:t>) (Brandstetter &amp; Klein, 2015)</w:t>
      </w:r>
    </w:p>
    <w:p w14:paraId="4348867C" w14:textId="2B131ABA" w:rsidR="0084489F" w:rsidRDefault="00110FE6" w:rsidP="00806324">
      <w:pPr>
        <w:numPr>
          <w:ilvl w:val="0"/>
          <w:numId w:val="253"/>
        </w:numPr>
      </w:pPr>
      <w:r w:rsidRPr="1B9E7434">
        <w:rPr>
          <w:lang w:val="fr-FR"/>
        </w:rPr>
        <w:lastRenderedPageBreak/>
        <w:t xml:space="preserve">L'assignation d'un titre uniformisé au film </w:t>
      </w:r>
      <w:r w:rsidRPr="1B9E7434">
        <w:rPr>
          <w:i/>
          <w:iCs/>
          <w:lang w:val="fr-FR"/>
        </w:rPr>
        <w:t>King Kong</w:t>
      </w:r>
      <w:r w:rsidRPr="1B9E7434">
        <w:rPr>
          <w:lang w:val="fr-FR"/>
        </w:rPr>
        <w:t xml:space="preserve"> dirigé en 1933 par Merian C. Cooper et Ernest B. Schœdsack (</w:t>
      </w:r>
      <w:r w:rsidRPr="1B9E7434">
        <w:rPr>
          <w:rStyle w:val="VerbatimChar"/>
          <w:lang w:val="fr-FR"/>
        </w:rPr>
        <w:t>E15_Assignation_d’identifiant</w:t>
      </w:r>
      <w:r w:rsidRPr="1B9E7434">
        <w:rPr>
          <w:lang w:val="fr-FR"/>
        </w:rPr>
        <w:t>) a mobilisé l'élément constitutif (</w:t>
      </w:r>
      <w:r w:rsidRPr="1B9E7434">
        <w:rPr>
          <w:rStyle w:val="VerbatimChar"/>
          <w:lang w:val="fr-FR"/>
        </w:rPr>
        <w:t>P142_a_mobilisé_comme_élément</w:t>
      </w:r>
      <w:r w:rsidRPr="1B9E7434">
        <w:rPr>
          <w:lang w:val="fr-FR"/>
        </w:rPr>
        <w:t>) « 1933 » (</w:t>
      </w:r>
      <w:r w:rsidRPr="1B9E7434">
        <w:rPr>
          <w:rStyle w:val="VerbatimChar"/>
          <w:lang w:val="fr-FR"/>
        </w:rPr>
        <w:t>E41_Appellation</w:t>
      </w:r>
      <w:r w:rsidRPr="1B9E7434">
        <w:rPr>
          <w:lang w:val="fr-FR"/>
        </w:rPr>
        <w:t>) (Goldner &amp; Turner, 1976)</w:t>
      </w:r>
    </w:p>
    <w:p w14:paraId="505C1159" w14:textId="418A7C12" w:rsidR="0084489F" w:rsidRDefault="00110FE6" w:rsidP="00806324">
      <w:pPr>
        <w:numPr>
          <w:ilvl w:val="0"/>
          <w:numId w:val="253"/>
        </w:numPr>
      </w:pPr>
      <w:r w:rsidRPr="1B9E7434">
        <w:rPr>
          <w:lang w:val="fr-FR"/>
        </w:rPr>
        <w:t>L'assignation de l'identifiant d'entreprise « Univerza v Ljubljani. Oddelek za bibliotekarstvo » au Département de bibliothéconomie de l'Université de Ljubljana en 2018 (</w:t>
      </w:r>
      <w:r w:rsidRPr="1B9E7434">
        <w:rPr>
          <w:rStyle w:val="VerbatimChar"/>
          <w:lang w:val="fr-FR"/>
        </w:rPr>
        <w:t>E15_Assignation_d’identifiant</w:t>
      </w:r>
      <w:r w:rsidRPr="1B9E7434">
        <w:rPr>
          <w:lang w:val="fr-FR"/>
        </w:rPr>
        <w:t>) a mobilisé l'élément constitutif (</w:t>
      </w:r>
      <w:r w:rsidRPr="1B9E7434">
        <w:rPr>
          <w:rStyle w:val="VerbatimChar"/>
          <w:lang w:val="fr-FR"/>
        </w:rPr>
        <w:t>P142_a_mobilisé_comme_élément</w:t>
      </w:r>
      <w:r w:rsidRPr="1B9E7434">
        <w:rPr>
          <w:lang w:val="fr-FR"/>
        </w:rPr>
        <w:t>) « Univerza v Ljubljani » (</w:t>
      </w:r>
      <w:r w:rsidRPr="1B9E7434">
        <w:rPr>
          <w:rStyle w:val="VerbatimChar"/>
          <w:lang w:val="fr-FR"/>
        </w:rPr>
        <w:t>E42_Identifiant</w:t>
      </w:r>
      <w:r w:rsidRPr="1B9E7434">
        <w:rPr>
          <w:lang w:val="fr-FR"/>
        </w:rPr>
        <w:t>) [fait par le Department of Library and Information Science and Book Studies Library, University of Ljubljana en 2018]</w:t>
      </w:r>
    </w:p>
    <w:p w14:paraId="7712560D" w14:textId="77777777" w:rsidR="0084489F" w:rsidRDefault="00110FE6">
      <w:pPr>
        <w:pStyle w:val="FirstParagraph"/>
      </w:pPr>
      <w:r>
        <w:rPr>
          <w:b/>
          <w:bCs/>
        </w:rPr>
        <w:t>Logique</w:t>
      </w:r>
    </w:p>
    <w:p w14:paraId="157C1EF2" w14:textId="77777777" w:rsidR="0084489F" w:rsidRDefault="00110FE6">
      <w:pPr>
        <w:pStyle w:val="BodyText"/>
      </w:pPr>
      <w:r w:rsidRPr="1B9E7434">
        <w:rPr>
          <w:lang w:val="fr-FR"/>
        </w:rPr>
        <w:t>P142(x,y) ⇒ E15(x)</w:t>
      </w:r>
    </w:p>
    <w:p w14:paraId="55BBE4E2" w14:textId="77777777" w:rsidR="0084489F" w:rsidRDefault="00110FE6">
      <w:pPr>
        <w:pStyle w:val="BodyText"/>
      </w:pPr>
      <w:r w:rsidRPr="1B9E7434">
        <w:rPr>
          <w:lang w:val="fr-FR"/>
        </w:rPr>
        <w:t>P142(x,y) ⇒ E90(y)</w:t>
      </w:r>
    </w:p>
    <w:p w14:paraId="24488A12" w14:textId="77777777" w:rsidR="0084489F" w:rsidRDefault="00110FE6">
      <w:pPr>
        <w:pStyle w:val="BodyText"/>
      </w:pPr>
      <w:r w:rsidRPr="1B9E7434">
        <w:rPr>
          <w:lang w:val="fr-FR"/>
        </w:rPr>
        <w:t>P142(x,y) ⇒ P16(x,y)</w:t>
      </w:r>
    </w:p>
    <w:p w14:paraId="0DE59176" w14:textId="77777777" w:rsidR="0084489F" w:rsidRDefault="00110FE6">
      <w:pPr>
        <w:pStyle w:val="BodyText"/>
      </w:pPr>
      <w:r>
        <w:rPr>
          <w:b/>
          <w:bCs/>
        </w:rPr>
        <w:t>Propriétés</w:t>
      </w:r>
    </w:p>
    <w:p w14:paraId="3B0A02D5" w14:textId="77777777" w:rsidR="0084489F" w:rsidRDefault="00110FE6">
      <w:pPr>
        <w:pStyle w:val="BlockText"/>
      </w:pPr>
      <w:r>
        <w:rPr>
          <w:b/>
          <w:bCs/>
          <w:i/>
          <w:iCs/>
        </w:rPr>
        <w:t>Note de traduction</w:t>
      </w:r>
    </w:p>
    <w:p w14:paraId="0A1B6A3E" w14:textId="77777777" w:rsidR="0084489F" w:rsidRDefault="00110FE6">
      <w:pPr>
        <w:pStyle w:val="BlockText"/>
      </w:pPr>
      <w:r>
        <w:t>Dans le second exemple, le terme « Coventry » devrait être dans le titre de l'œuvre mentionnée ou bien l'exemple d'élément constitutif devrait être un exemple tiré du titre, comme « Adoration ».</w:t>
      </w:r>
    </w:p>
    <w:p w14:paraId="58C77D3A" w14:textId="77777777" w:rsidR="0084489F" w:rsidRDefault="00110FE6">
      <w:pPr>
        <w:pStyle w:val="BlockText"/>
      </w:pPr>
      <w:r>
        <w:rPr>
          <w:b/>
          <w:bCs/>
          <w:i/>
          <w:iCs/>
        </w:rPr>
        <w:t>Références</w:t>
      </w:r>
    </w:p>
    <w:p w14:paraId="781BF674" w14:textId="77777777" w:rsidR="0084489F" w:rsidRDefault="0084489F">
      <w:pPr>
        <w:pStyle w:val="BlockText"/>
      </w:pPr>
    </w:p>
    <w:p w14:paraId="63CABEEB" w14:textId="77777777" w:rsidR="0084489F" w:rsidRDefault="00110FE6">
      <w:pPr>
        <w:pStyle w:val="Heading2"/>
      </w:pPr>
      <w:bookmarkStart w:id="508" w:name="_Toc176864634"/>
      <w:bookmarkStart w:id="509" w:name="p143-a-fait-adherer-(a-adhere-par)"/>
      <w:bookmarkEnd w:id="507"/>
      <w:r>
        <w:t>P143 a fait adhérer (a adhéré par)</w:t>
      </w:r>
      <w:bookmarkEnd w:id="508"/>
    </w:p>
    <w:p w14:paraId="740B2418" w14:textId="77777777" w:rsidR="0084489F" w:rsidRDefault="00110FE6">
      <w:pPr>
        <w:pStyle w:val="FirstParagraph"/>
      </w:pPr>
      <w:r>
        <w:rPr>
          <w:b/>
          <w:bCs/>
        </w:rPr>
        <w:t>Domaine</w:t>
      </w:r>
    </w:p>
    <w:p w14:paraId="6A74AE0B" w14:textId="77777777" w:rsidR="0084489F" w:rsidRDefault="00110FE6">
      <w:pPr>
        <w:pStyle w:val="BodyText"/>
      </w:pPr>
      <w:r>
        <w:rPr>
          <w:rStyle w:val="VerbatimChar"/>
        </w:rPr>
        <w:t>E85_Adhésion</w:t>
      </w:r>
    </w:p>
    <w:p w14:paraId="1945C99E" w14:textId="77777777" w:rsidR="0084489F" w:rsidRDefault="00110FE6">
      <w:pPr>
        <w:pStyle w:val="BodyText"/>
      </w:pPr>
      <w:r>
        <w:rPr>
          <w:b/>
          <w:bCs/>
        </w:rPr>
        <w:t>Portée</w:t>
      </w:r>
    </w:p>
    <w:p w14:paraId="25548246" w14:textId="77777777" w:rsidR="0084489F" w:rsidRDefault="00110FE6">
      <w:pPr>
        <w:pStyle w:val="BodyText"/>
      </w:pPr>
      <w:r>
        <w:rPr>
          <w:rStyle w:val="VerbatimChar"/>
        </w:rPr>
        <w:t>E39_Actant</w:t>
      </w:r>
    </w:p>
    <w:p w14:paraId="36168309" w14:textId="77777777" w:rsidR="0084489F" w:rsidRDefault="00110FE6">
      <w:pPr>
        <w:pStyle w:val="BodyText"/>
      </w:pPr>
      <w:r>
        <w:rPr>
          <w:b/>
          <w:bCs/>
        </w:rPr>
        <w:t>Sous-propriété de</w:t>
      </w:r>
    </w:p>
    <w:p w14:paraId="18ADAE50"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P11_a_eu_pour_actant_participant (a_participé_à)</w:t>
      </w:r>
      <w:r w:rsidRPr="1B9E7434">
        <w:rPr>
          <w:lang w:val="fr-FR"/>
        </w:rPr>
        <w:t xml:space="preserve"> : </w:t>
      </w:r>
      <w:r w:rsidRPr="1B9E7434">
        <w:rPr>
          <w:rStyle w:val="VerbatimChar"/>
          <w:lang w:val="fr-FR"/>
        </w:rPr>
        <w:t>E39_Actant</w:t>
      </w:r>
    </w:p>
    <w:p w14:paraId="5A04F5D3" w14:textId="77777777" w:rsidR="0084489F" w:rsidRDefault="00110FE6">
      <w:pPr>
        <w:pStyle w:val="BodyText"/>
      </w:pPr>
      <w:r>
        <w:rPr>
          <w:b/>
          <w:bCs/>
        </w:rPr>
        <w:t>Super-propriété de</w:t>
      </w:r>
    </w:p>
    <w:p w14:paraId="0B57736D" w14:textId="77777777" w:rsidR="0084489F" w:rsidRDefault="00110FE6">
      <w:pPr>
        <w:pStyle w:val="BodyText"/>
      </w:pPr>
      <w:r>
        <w:rPr>
          <w:b/>
          <w:bCs/>
        </w:rPr>
        <w:t>Quantification</w:t>
      </w:r>
    </w:p>
    <w:p w14:paraId="34F3D2EC" w14:textId="77777777" w:rsidR="0084489F" w:rsidRDefault="00110FE6">
      <w:pPr>
        <w:pStyle w:val="BodyText"/>
      </w:pPr>
      <w:r w:rsidRPr="1B9E7434">
        <w:rPr>
          <w:lang w:val="fr-FR"/>
        </w:rPr>
        <w:t>plusieurs à plusieurs, nécessaire (1,n:0,n)</w:t>
      </w:r>
    </w:p>
    <w:p w14:paraId="08EF75AA" w14:textId="77777777" w:rsidR="0084489F" w:rsidRDefault="00110FE6">
      <w:pPr>
        <w:pStyle w:val="BodyText"/>
      </w:pPr>
      <w:r>
        <w:rPr>
          <w:b/>
          <w:bCs/>
        </w:rPr>
        <w:t>Note d’application</w:t>
      </w:r>
    </w:p>
    <w:p w14:paraId="6581AAA3" w14:textId="77777777" w:rsidR="0084489F" w:rsidRDefault="00110FE6">
      <w:pPr>
        <w:pStyle w:val="BodyText"/>
      </w:pPr>
      <w:r>
        <w:t xml:space="preserve">Cette propriété identifie l’instance de </w:t>
      </w:r>
      <w:r>
        <w:rPr>
          <w:rStyle w:val="VerbatimChar"/>
        </w:rPr>
        <w:t>E39_Actant</w:t>
      </w:r>
      <w:r>
        <w:t xml:space="preserve"> qui devient membre d’une instance de </w:t>
      </w:r>
      <w:r>
        <w:rPr>
          <w:rStyle w:val="VerbatimChar"/>
        </w:rPr>
        <w:t>E74_Groupe</w:t>
      </w:r>
      <w:r>
        <w:t xml:space="preserve"> par l’intermédiaire d’une instance de </w:t>
      </w:r>
      <w:r>
        <w:rPr>
          <w:rStyle w:val="VerbatimChar"/>
        </w:rPr>
        <w:t>E85_Adhésion</w:t>
      </w:r>
      <w:r>
        <w:t>.</w:t>
      </w:r>
    </w:p>
    <w:p w14:paraId="3A7C0BAD" w14:textId="77777777" w:rsidR="0084489F" w:rsidRDefault="00110FE6">
      <w:pPr>
        <w:pStyle w:val="BodyText"/>
      </w:pPr>
      <w:r w:rsidRPr="1B9E7434">
        <w:rPr>
          <w:lang w:val="fr-FR"/>
        </w:rPr>
        <w:t xml:space="preserve">Les évènements d’adhésion permettent de décrire des actants devenant membres d’un groupe avec le chemin sémantique plus détaillé </w:t>
      </w:r>
      <w:r w:rsidRPr="1B9E7434">
        <w:rPr>
          <w:rStyle w:val="VerbatimChar"/>
          <w:lang w:val="fr-FR"/>
        </w:rPr>
        <w:t>E74_Groupe</w:t>
      </w:r>
      <w:r w:rsidRPr="1B9E7434">
        <w:rPr>
          <w:lang w:val="fr-FR"/>
        </w:rPr>
        <w:t xml:space="preserve">, </w:t>
      </w:r>
      <w:r w:rsidRPr="1B9E7434">
        <w:rPr>
          <w:rStyle w:val="VerbatimChar"/>
          <w:lang w:val="fr-FR"/>
        </w:rPr>
        <w:t>P144i_a_accueilli_le_membre_par</w:t>
      </w:r>
      <w:r w:rsidRPr="1B9E7434">
        <w:rPr>
          <w:lang w:val="fr-FR"/>
        </w:rPr>
        <w:t xml:space="preserve">, </w:t>
      </w:r>
      <w:r w:rsidRPr="1B9E7434">
        <w:rPr>
          <w:rStyle w:val="VerbatimChar"/>
          <w:lang w:val="fr-FR"/>
        </w:rPr>
        <w:t>E85_Adhésion</w:t>
      </w:r>
      <w:r w:rsidRPr="1B9E7434">
        <w:rPr>
          <w:lang w:val="fr-FR"/>
        </w:rPr>
        <w:t xml:space="preserve">, </w:t>
      </w:r>
      <w:r w:rsidRPr="1B9E7434">
        <w:rPr>
          <w:rStyle w:val="VerbatimChar"/>
          <w:lang w:val="fr-FR"/>
        </w:rPr>
        <w:t>P143_a_fait_adhérer</w:t>
      </w:r>
      <w:r w:rsidRPr="1B9E7434">
        <w:rPr>
          <w:lang w:val="fr-FR"/>
        </w:rPr>
        <w:t xml:space="preserve">, </w:t>
      </w:r>
      <w:r w:rsidRPr="1B9E7434">
        <w:rPr>
          <w:rStyle w:val="VerbatimChar"/>
          <w:lang w:val="fr-FR"/>
        </w:rPr>
        <w:t>E39_Actant</w:t>
      </w:r>
      <w:r w:rsidRPr="1B9E7434">
        <w:rPr>
          <w:lang w:val="fr-FR"/>
        </w:rPr>
        <w:t xml:space="preserve">, en comparaison du raccourci possible </w:t>
      </w:r>
      <w:r w:rsidRPr="1B9E7434">
        <w:rPr>
          <w:rStyle w:val="VerbatimChar"/>
          <w:lang w:val="fr-FR"/>
        </w:rPr>
        <w:t>P107_a_pour_membre_actuel_ou_antérieur (est_le_membre_actuel_ou_antérieur_de)</w:t>
      </w:r>
      <w:r w:rsidRPr="1B9E7434">
        <w:rPr>
          <w:lang w:val="fr-FR"/>
        </w:rPr>
        <w:t>.</w:t>
      </w:r>
    </w:p>
    <w:p w14:paraId="43D8CB3B" w14:textId="77777777" w:rsidR="0084489F" w:rsidRDefault="00110FE6">
      <w:pPr>
        <w:pStyle w:val="BodyText"/>
      </w:pPr>
      <w:r>
        <w:rPr>
          <w:b/>
          <w:bCs/>
        </w:rPr>
        <w:lastRenderedPageBreak/>
        <w:t>Exemples</w:t>
      </w:r>
    </w:p>
    <w:p w14:paraId="6EF97909" w14:textId="149F4CDF" w:rsidR="0084489F" w:rsidRDefault="00110FE6" w:rsidP="00806324">
      <w:pPr>
        <w:numPr>
          <w:ilvl w:val="0"/>
          <w:numId w:val="254"/>
        </w:numPr>
      </w:pPr>
      <w:r w:rsidRPr="1B9E7434">
        <w:rPr>
          <w:lang w:val="fr-FR"/>
        </w:rPr>
        <w:t>L’élection de Sir Isaac Newton en tant que membre du Parlement d’Angleterre à la convention du Parlement de 1689 (</w:t>
      </w:r>
      <w:r w:rsidRPr="1B9E7434">
        <w:rPr>
          <w:rStyle w:val="VerbatimChar"/>
          <w:lang w:val="fr-FR"/>
        </w:rPr>
        <w:t>E85_Adhésion</w:t>
      </w:r>
      <w:r w:rsidRPr="1B9E7434">
        <w:rPr>
          <w:lang w:val="fr-FR"/>
        </w:rPr>
        <w:t>) a fait adhérer (</w:t>
      </w:r>
      <w:r w:rsidRPr="1B9E7434">
        <w:rPr>
          <w:rStyle w:val="VerbatimChar"/>
          <w:lang w:val="fr-FR"/>
        </w:rPr>
        <w:t>P143_a_fait_adhérer</w:t>
      </w:r>
      <w:r w:rsidRPr="1B9E7434">
        <w:rPr>
          <w:lang w:val="fr-FR"/>
        </w:rPr>
        <w:t>) Sir Isaac Newton (</w:t>
      </w:r>
      <w:r w:rsidRPr="1B9E7434">
        <w:rPr>
          <w:rStyle w:val="VerbatimChar"/>
          <w:lang w:val="fr-FR"/>
        </w:rPr>
        <w:t>E21_Personne</w:t>
      </w:r>
      <w:r w:rsidRPr="1B9E7434">
        <w:rPr>
          <w:lang w:val="fr-FR"/>
        </w:rPr>
        <w:t>) (Iliffe, 2013)</w:t>
      </w:r>
    </w:p>
    <w:p w14:paraId="73A54FF8" w14:textId="3714DD42" w:rsidR="0084489F" w:rsidRDefault="00110FE6" w:rsidP="00806324">
      <w:pPr>
        <w:numPr>
          <w:ilvl w:val="0"/>
          <w:numId w:val="254"/>
        </w:numPr>
      </w:pPr>
      <w:r w:rsidRPr="1B9E7434">
        <w:rPr>
          <w:lang w:val="fr-FR"/>
        </w:rPr>
        <w:t>L’investiture de Mikhaïl Sergueïevitch Gorbatchev en tant que dirigeant de l’Union des républiques socialistes soviétiques (URSS) en 1985 (</w:t>
      </w:r>
      <w:r w:rsidRPr="1B9E7434">
        <w:rPr>
          <w:rStyle w:val="VerbatimChar"/>
          <w:lang w:val="fr-FR"/>
        </w:rPr>
        <w:t>E85_Adhésion</w:t>
      </w:r>
      <w:r w:rsidRPr="1B9E7434">
        <w:rPr>
          <w:lang w:val="fr-FR"/>
        </w:rPr>
        <w:t>) a fait adhérer (</w:t>
      </w:r>
      <w:r w:rsidRPr="1B9E7434">
        <w:rPr>
          <w:rStyle w:val="VerbatimChar"/>
          <w:lang w:val="fr-FR"/>
        </w:rPr>
        <w:t>P143_a_fait_adhérer</w:t>
      </w:r>
      <w:r w:rsidRPr="1B9E7434">
        <w:rPr>
          <w:lang w:val="fr-FR"/>
        </w:rPr>
        <w:t>) Mikhail Sergeyevich Gorbachev (</w:t>
      </w:r>
      <w:r w:rsidRPr="1B9E7434">
        <w:rPr>
          <w:rStyle w:val="VerbatimChar"/>
          <w:lang w:val="fr-FR"/>
        </w:rPr>
        <w:t>E21_Personne</w:t>
      </w:r>
      <w:r w:rsidRPr="1B9E7434">
        <w:rPr>
          <w:lang w:val="fr-FR"/>
        </w:rPr>
        <w:t>) (Galeotti, 1997)</w:t>
      </w:r>
    </w:p>
    <w:p w14:paraId="27F9C71E" w14:textId="77777777" w:rsidR="0084489F" w:rsidRDefault="00110FE6" w:rsidP="00806324">
      <w:pPr>
        <w:numPr>
          <w:ilvl w:val="0"/>
          <w:numId w:val="254"/>
        </w:numPr>
      </w:pPr>
      <w:r>
        <w:t>La mise en application du traité d’adhésion du Danemark à la Communauté économique européenne le 1</w:t>
      </w:r>
      <w:r>
        <w:rPr>
          <w:vertAlign w:val="superscript"/>
        </w:rPr>
        <w:t>er</w:t>
      </w:r>
      <w:r>
        <w:t xml:space="preserve"> janvier 1973 (</w:t>
      </w:r>
      <w:r>
        <w:rPr>
          <w:rStyle w:val="VerbatimChar"/>
        </w:rPr>
        <w:t>E85_Adhésion</w:t>
      </w:r>
      <w:r>
        <w:t>) a fait adhérer (</w:t>
      </w:r>
      <w:r>
        <w:rPr>
          <w:rStyle w:val="VerbatimChar"/>
        </w:rPr>
        <w:t>P143_a_fait_adhérer</w:t>
      </w:r>
      <w:r>
        <w:t>) le Danemark (</w:t>
      </w:r>
      <w:r>
        <w:rPr>
          <w:rStyle w:val="VerbatimChar"/>
        </w:rPr>
        <w:t>E74_Groupe</w:t>
      </w:r>
      <w:r>
        <w:t>) à la Communauté économique européenne.</w:t>
      </w:r>
    </w:p>
    <w:p w14:paraId="3458A4A3" w14:textId="77777777" w:rsidR="0084489F" w:rsidRDefault="00110FE6">
      <w:pPr>
        <w:pStyle w:val="FirstParagraph"/>
      </w:pPr>
      <w:r>
        <w:rPr>
          <w:b/>
          <w:bCs/>
        </w:rPr>
        <w:t>Logique</w:t>
      </w:r>
    </w:p>
    <w:p w14:paraId="47B0D9C8" w14:textId="77777777" w:rsidR="0084489F" w:rsidRDefault="00110FE6">
      <w:pPr>
        <w:pStyle w:val="BodyText"/>
      </w:pPr>
      <w:r w:rsidRPr="1B9E7434">
        <w:rPr>
          <w:lang w:val="fr-FR"/>
        </w:rPr>
        <w:t>P143(x,y) ⇒ E85(x)</w:t>
      </w:r>
    </w:p>
    <w:p w14:paraId="669F9BF4" w14:textId="77777777" w:rsidR="0084489F" w:rsidRDefault="00110FE6">
      <w:pPr>
        <w:pStyle w:val="BodyText"/>
      </w:pPr>
      <w:r w:rsidRPr="1B9E7434">
        <w:rPr>
          <w:lang w:val="fr-FR"/>
        </w:rPr>
        <w:t>P143(x,y) ⇒ E39(y)</w:t>
      </w:r>
    </w:p>
    <w:p w14:paraId="142ED8BA" w14:textId="77777777" w:rsidR="0084489F" w:rsidRDefault="00110FE6">
      <w:pPr>
        <w:pStyle w:val="BodyText"/>
      </w:pPr>
      <w:r w:rsidRPr="1B9E7434">
        <w:rPr>
          <w:lang w:val="fr-FR"/>
        </w:rPr>
        <w:t>P143(x,y) ⇒ P11(x,y)</w:t>
      </w:r>
    </w:p>
    <w:p w14:paraId="643D1F6D" w14:textId="77777777" w:rsidR="0084489F" w:rsidRDefault="00110FE6">
      <w:pPr>
        <w:pStyle w:val="BodyText"/>
      </w:pPr>
      <w:r>
        <w:rPr>
          <w:b/>
          <w:bCs/>
        </w:rPr>
        <w:t>Propriétés</w:t>
      </w:r>
    </w:p>
    <w:p w14:paraId="17EB79DB" w14:textId="77777777" w:rsidR="0084489F" w:rsidRPr="0090744B" w:rsidRDefault="00110FE6">
      <w:pPr>
        <w:pStyle w:val="BlockText"/>
        <w:rPr>
          <w:lang w:val="fr-CA"/>
        </w:rPr>
      </w:pPr>
      <w:r w:rsidRPr="0090744B">
        <w:rPr>
          <w:b/>
          <w:bCs/>
          <w:i/>
          <w:iCs/>
          <w:lang w:val="fr-CA"/>
        </w:rPr>
        <w:t>Note de traduction</w:t>
      </w:r>
    </w:p>
    <w:p w14:paraId="3FAE978E" w14:textId="77777777" w:rsidR="0084489F" w:rsidRDefault="00110FE6">
      <w:pPr>
        <w:pStyle w:val="BlockText"/>
      </w:pPr>
      <w:r w:rsidRPr="0090744B">
        <w:rPr>
          <w:lang w:val="fr-CA"/>
        </w:rPr>
        <w:t xml:space="preserve">Dans la phrase « The implementation of the membership treaty January 1. </w:t>
      </w:r>
      <w:r>
        <w:t xml:space="preserve">1973 between EU and Denmark (E85) </w:t>
      </w:r>
      <w:r>
        <w:rPr>
          <w:i/>
          <w:iCs/>
        </w:rPr>
        <w:t>joined</w:t>
      </w:r>
      <w:r>
        <w:t xml:space="preserve"> Denmark (E74) », « EU » a été traduit par « Communauté économique européenne », l’Union Européenne n’existant pas en 1973.</w:t>
      </w:r>
    </w:p>
    <w:p w14:paraId="27F909FD" w14:textId="77777777" w:rsidR="0084489F" w:rsidRDefault="00110FE6">
      <w:pPr>
        <w:pStyle w:val="BlockText"/>
      </w:pPr>
      <w:r>
        <w:rPr>
          <w:b/>
          <w:bCs/>
          <w:i/>
          <w:iCs/>
        </w:rPr>
        <w:t>Références</w:t>
      </w:r>
    </w:p>
    <w:p w14:paraId="1800FBDD" w14:textId="77777777" w:rsidR="0084489F" w:rsidRDefault="0084489F">
      <w:pPr>
        <w:pStyle w:val="BlockText"/>
      </w:pPr>
    </w:p>
    <w:p w14:paraId="78CB15AA" w14:textId="77777777" w:rsidR="0084489F" w:rsidRDefault="00110FE6">
      <w:pPr>
        <w:pStyle w:val="Heading2"/>
      </w:pPr>
      <w:bookmarkStart w:id="510" w:name="_Toc176864635"/>
      <w:bookmarkStart w:id="511" w:name="Xe62b65d0c4a40ce961d71dbd0a2b56a3a187435"/>
      <w:bookmarkEnd w:id="509"/>
      <w:r>
        <w:t>P144 a fait adhérer à (a accueilli le membre par)</w:t>
      </w:r>
      <w:bookmarkEnd w:id="510"/>
    </w:p>
    <w:p w14:paraId="220B066F" w14:textId="77777777" w:rsidR="0084489F" w:rsidRDefault="00110FE6">
      <w:pPr>
        <w:pStyle w:val="FirstParagraph"/>
      </w:pPr>
      <w:r>
        <w:rPr>
          <w:b/>
          <w:bCs/>
        </w:rPr>
        <w:t>Domaine</w:t>
      </w:r>
    </w:p>
    <w:p w14:paraId="1C02848D" w14:textId="77777777" w:rsidR="0084489F" w:rsidRDefault="00110FE6">
      <w:pPr>
        <w:pStyle w:val="BodyText"/>
      </w:pPr>
      <w:r>
        <w:rPr>
          <w:rStyle w:val="VerbatimChar"/>
        </w:rPr>
        <w:t>E85_Adhésion</w:t>
      </w:r>
    </w:p>
    <w:p w14:paraId="27A3DFDA" w14:textId="77777777" w:rsidR="0084489F" w:rsidRDefault="00110FE6">
      <w:pPr>
        <w:pStyle w:val="BodyText"/>
      </w:pPr>
      <w:r>
        <w:rPr>
          <w:b/>
          <w:bCs/>
        </w:rPr>
        <w:t>Portée</w:t>
      </w:r>
    </w:p>
    <w:p w14:paraId="54CF84BD" w14:textId="77777777" w:rsidR="0084489F" w:rsidRDefault="00110FE6">
      <w:pPr>
        <w:pStyle w:val="BodyText"/>
      </w:pPr>
      <w:r>
        <w:rPr>
          <w:rStyle w:val="VerbatimChar"/>
        </w:rPr>
        <w:t>E74_Groupe</w:t>
      </w:r>
    </w:p>
    <w:p w14:paraId="382418A2" w14:textId="77777777" w:rsidR="0084489F" w:rsidRDefault="00110FE6">
      <w:pPr>
        <w:pStyle w:val="BodyText"/>
      </w:pPr>
      <w:r>
        <w:rPr>
          <w:b/>
          <w:bCs/>
        </w:rPr>
        <w:t>Sous-propriété de</w:t>
      </w:r>
    </w:p>
    <w:p w14:paraId="5BD1CDC0"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P11_a_eu_pour_actant_participant (a_participé_à)</w:t>
      </w:r>
      <w:r w:rsidRPr="1B9E7434">
        <w:rPr>
          <w:lang w:val="fr-FR"/>
        </w:rPr>
        <w:t xml:space="preserve"> : </w:t>
      </w:r>
      <w:r w:rsidRPr="1B9E7434">
        <w:rPr>
          <w:rStyle w:val="VerbatimChar"/>
          <w:lang w:val="fr-FR"/>
        </w:rPr>
        <w:t>E39_Actant</w:t>
      </w:r>
    </w:p>
    <w:p w14:paraId="1ACF22DB" w14:textId="77777777" w:rsidR="0084489F" w:rsidRDefault="00110FE6">
      <w:pPr>
        <w:pStyle w:val="BodyText"/>
      </w:pPr>
      <w:r>
        <w:rPr>
          <w:b/>
          <w:bCs/>
        </w:rPr>
        <w:t>Super-propriété de</w:t>
      </w:r>
    </w:p>
    <w:p w14:paraId="1778F8D0" w14:textId="77777777" w:rsidR="0084489F" w:rsidRDefault="00110FE6">
      <w:pPr>
        <w:pStyle w:val="BodyText"/>
      </w:pPr>
      <w:r>
        <w:rPr>
          <w:b/>
          <w:bCs/>
        </w:rPr>
        <w:t>Quantification</w:t>
      </w:r>
    </w:p>
    <w:p w14:paraId="16EE0175" w14:textId="77777777" w:rsidR="0084489F" w:rsidRDefault="00110FE6">
      <w:pPr>
        <w:pStyle w:val="BodyText"/>
      </w:pPr>
      <w:r w:rsidRPr="1B9E7434">
        <w:rPr>
          <w:lang w:val="fr-FR"/>
        </w:rPr>
        <w:t>plusieurs à plusieurs, nécessaire (1,n:0,n)</w:t>
      </w:r>
    </w:p>
    <w:p w14:paraId="43BA9A54" w14:textId="77777777" w:rsidR="0084489F" w:rsidRDefault="00110FE6">
      <w:pPr>
        <w:pStyle w:val="BodyText"/>
      </w:pPr>
      <w:r>
        <w:rPr>
          <w:b/>
          <w:bCs/>
        </w:rPr>
        <w:t>Note d’application</w:t>
      </w:r>
    </w:p>
    <w:p w14:paraId="68BF6487" w14:textId="77777777" w:rsidR="0084489F" w:rsidRDefault="00110FE6">
      <w:pPr>
        <w:pStyle w:val="BodyText"/>
      </w:pPr>
      <w:r>
        <w:t xml:space="preserve">Cette propriété identifie l’instance de </w:t>
      </w:r>
      <w:r>
        <w:rPr>
          <w:rStyle w:val="VerbatimChar"/>
        </w:rPr>
        <w:t>E74_Groupe</w:t>
      </w:r>
      <w:r>
        <w:t xml:space="preserve"> dont une instance de </w:t>
      </w:r>
      <w:r>
        <w:rPr>
          <w:rStyle w:val="VerbatimChar"/>
        </w:rPr>
        <w:t>E39_Actant</w:t>
      </w:r>
      <w:r>
        <w:t xml:space="preserve"> devient membre par l'intermédiaire d'une instance de </w:t>
      </w:r>
      <w:r>
        <w:rPr>
          <w:rStyle w:val="VerbatimChar"/>
        </w:rPr>
        <w:t>E85_Adhésion</w:t>
      </w:r>
      <w:r>
        <w:t>.</w:t>
      </w:r>
    </w:p>
    <w:p w14:paraId="11806AFC" w14:textId="77777777" w:rsidR="0084489F" w:rsidRDefault="00110FE6">
      <w:pPr>
        <w:pStyle w:val="BodyText"/>
      </w:pPr>
      <w:r>
        <w:lastRenderedPageBreak/>
        <w:t xml:space="preserve">Bien qu'une activité d'adhésion ne concerne normalement qu'une seule instance de </w:t>
      </w:r>
      <w:r>
        <w:rPr>
          <w:rStyle w:val="VerbatimChar"/>
        </w:rPr>
        <w:t>E74_Groupe</w:t>
      </w:r>
      <w:r>
        <w:t>, il est possible d'imaginer des circonstances selon lesquelles devenir membre d'un groupe implique également de devenir membre d'un autre groupe.</w:t>
      </w:r>
    </w:p>
    <w:p w14:paraId="0694F428" w14:textId="77777777" w:rsidR="0084489F" w:rsidRDefault="00110FE6">
      <w:pPr>
        <w:pStyle w:val="BodyText"/>
      </w:pPr>
      <w:r w:rsidRPr="1B9E7434">
        <w:rPr>
          <w:lang w:val="fr-FR"/>
        </w:rPr>
        <w:t xml:space="preserve">Les évènements d'adhésion permettent de décrire les personnes qui deviennent membres d'un groupe avec le chemin sémantique plus détaillé </w:t>
      </w:r>
      <w:r w:rsidRPr="1B9E7434">
        <w:rPr>
          <w:rStyle w:val="VerbatimChar"/>
          <w:lang w:val="fr-FR"/>
        </w:rPr>
        <w:t>E74_Groupe</w:t>
      </w:r>
      <w:r w:rsidRPr="1B9E7434">
        <w:rPr>
          <w:lang w:val="fr-FR"/>
        </w:rPr>
        <w:t xml:space="preserve">, </w:t>
      </w:r>
      <w:r w:rsidRPr="1B9E7434">
        <w:rPr>
          <w:rStyle w:val="VerbatimChar"/>
          <w:lang w:val="fr-FR"/>
        </w:rPr>
        <w:t>P144i_a_accueilli_le_membre_par</w:t>
      </w:r>
      <w:r w:rsidRPr="1B9E7434">
        <w:rPr>
          <w:lang w:val="fr-FR"/>
        </w:rPr>
        <w:t xml:space="preserve">, </w:t>
      </w:r>
      <w:r w:rsidRPr="1B9E7434">
        <w:rPr>
          <w:rStyle w:val="VerbatimChar"/>
          <w:lang w:val="fr-FR"/>
        </w:rPr>
        <w:t>E85_Adhésion</w:t>
      </w:r>
      <w:r w:rsidRPr="1B9E7434">
        <w:rPr>
          <w:lang w:val="fr-FR"/>
        </w:rPr>
        <w:t xml:space="preserve">, </w:t>
      </w:r>
      <w:r w:rsidRPr="1B9E7434">
        <w:rPr>
          <w:rStyle w:val="VerbatimChar"/>
          <w:lang w:val="fr-FR"/>
        </w:rPr>
        <w:t>P143_a_fait_adhérer</w:t>
      </w:r>
      <w:r w:rsidRPr="1B9E7434">
        <w:rPr>
          <w:lang w:val="fr-FR"/>
        </w:rPr>
        <w:t xml:space="preserve">, </w:t>
      </w:r>
      <w:r w:rsidRPr="1B9E7434">
        <w:rPr>
          <w:rStyle w:val="VerbatimChar"/>
          <w:lang w:val="fr-FR"/>
        </w:rPr>
        <w:t>E39_Actant</w:t>
      </w:r>
      <w:r w:rsidRPr="1B9E7434">
        <w:rPr>
          <w:lang w:val="fr-FR"/>
        </w:rPr>
        <w:t xml:space="preserve">, comparativement au raccourci offert par </w:t>
      </w:r>
      <w:r w:rsidRPr="1B9E7434">
        <w:rPr>
          <w:rStyle w:val="VerbatimChar"/>
          <w:lang w:val="fr-FR"/>
        </w:rPr>
        <w:t>P107_a_pour_membre_actuel_ou_antérieur (est_le_membre_actuel_ou_antérieur_de)</w:t>
      </w:r>
      <w:r w:rsidRPr="1B9E7434">
        <w:rPr>
          <w:lang w:val="fr-FR"/>
        </w:rPr>
        <w:t>.</w:t>
      </w:r>
    </w:p>
    <w:p w14:paraId="1B675543" w14:textId="77777777" w:rsidR="0084489F" w:rsidRDefault="00110FE6">
      <w:pPr>
        <w:pStyle w:val="BodyText"/>
      </w:pPr>
      <w:r>
        <w:t xml:space="preserve">La propriété </w:t>
      </w:r>
      <w:r>
        <w:rPr>
          <w:rStyle w:val="VerbatimChar"/>
        </w:rPr>
        <w:t>P144.1_sorte_de_membre</w:t>
      </w:r>
      <w:r>
        <w:t xml:space="preserve"> peut être utilisée pour spécifier le type d'appartenance ou le rôle du membre dans le groupe.</w:t>
      </w:r>
    </w:p>
    <w:p w14:paraId="663E9DB1" w14:textId="77777777" w:rsidR="0084489F" w:rsidRDefault="00110FE6">
      <w:pPr>
        <w:pStyle w:val="BodyText"/>
      </w:pPr>
      <w:r>
        <w:rPr>
          <w:b/>
          <w:bCs/>
        </w:rPr>
        <w:t>Exemples</w:t>
      </w:r>
    </w:p>
    <w:p w14:paraId="0B346B8B" w14:textId="60F81999" w:rsidR="0084489F" w:rsidRDefault="00110FE6" w:rsidP="00806324">
      <w:pPr>
        <w:numPr>
          <w:ilvl w:val="0"/>
          <w:numId w:val="255"/>
        </w:numPr>
      </w:pPr>
      <w:r w:rsidRPr="1B9E7434">
        <w:rPr>
          <w:lang w:val="fr-FR"/>
        </w:rPr>
        <w:t>L’élection de Sir Isaac Newton en tant que membre du Parlement d'Angleterre à la convention du Parlement de 1689 (</w:t>
      </w:r>
      <w:r w:rsidRPr="1B9E7434">
        <w:rPr>
          <w:rStyle w:val="VerbatimChar"/>
          <w:lang w:val="fr-FR"/>
        </w:rPr>
        <w:t>E85_Adhésion</w:t>
      </w:r>
      <w:r w:rsidRPr="1B9E7434">
        <w:rPr>
          <w:lang w:val="fr-FR"/>
        </w:rPr>
        <w:t>) l'a fait adhérer à (</w:t>
      </w:r>
      <w:r w:rsidRPr="1B9E7434">
        <w:rPr>
          <w:rStyle w:val="VerbatimChar"/>
          <w:lang w:val="fr-FR"/>
        </w:rPr>
        <w:t>P144_a_fait_adhérer_à</w:t>
      </w:r>
      <w:r w:rsidRPr="1B9E7434">
        <w:rPr>
          <w:lang w:val="fr-FR"/>
        </w:rPr>
        <w:t>) la convention du Parlement (</w:t>
      </w:r>
      <w:r w:rsidRPr="1B9E7434">
        <w:rPr>
          <w:rStyle w:val="VerbatimChar"/>
          <w:lang w:val="fr-FR"/>
        </w:rPr>
        <w:t>E74_Groupe</w:t>
      </w:r>
      <w:r w:rsidRPr="1B9E7434">
        <w:rPr>
          <w:lang w:val="fr-FR"/>
        </w:rPr>
        <w:t>) (Iliffe, 2013)</w:t>
      </w:r>
    </w:p>
    <w:p w14:paraId="750E579C" w14:textId="77777777" w:rsidR="0084489F" w:rsidRDefault="00110FE6" w:rsidP="00806324">
      <w:pPr>
        <w:numPr>
          <w:ilvl w:val="0"/>
          <w:numId w:val="255"/>
        </w:numPr>
      </w:pPr>
      <w:r>
        <w:t>L'investiture de Mikhaïl Sergueïevitch Gorbatchev en tant que dirigeant de l’Union des républiques socialistes soviétiques (URSS) en 1985 (</w:t>
      </w:r>
      <w:r>
        <w:rPr>
          <w:rStyle w:val="VerbatimChar"/>
        </w:rPr>
        <w:t>E85_Adhésion</w:t>
      </w:r>
      <w:r>
        <w:t>) l'a fait adhérer à (</w:t>
      </w:r>
      <w:r>
        <w:rPr>
          <w:rStyle w:val="VerbatimChar"/>
        </w:rPr>
        <w:t>P144_a_fait_adhérer_à</w:t>
      </w:r>
      <w:r>
        <w:t>) l’Union des républiques socialistes soviétiques (URSS) (</w:t>
      </w:r>
      <w:r>
        <w:rPr>
          <w:rStyle w:val="VerbatimChar"/>
        </w:rPr>
        <w:t>E74_Groupe</w:t>
      </w:r>
      <w:r>
        <w:t>) avec sorte de membre (</w:t>
      </w:r>
      <w:r>
        <w:rPr>
          <w:rStyle w:val="VerbatimChar"/>
        </w:rPr>
        <w:t>P144.1_sorte_de_membre)</w:t>
      </w:r>
      <w:r>
        <w:t xml:space="preserve"> président (Galeotti, 1997)</w:t>
      </w:r>
    </w:p>
    <w:p w14:paraId="4243EAA4" w14:textId="77777777" w:rsidR="0084489F" w:rsidRDefault="00110FE6" w:rsidP="00806324">
      <w:pPr>
        <w:numPr>
          <w:ilvl w:val="0"/>
          <w:numId w:val="255"/>
        </w:numPr>
      </w:pPr>
      <w:r>
        <w:t>La mise en application du traité d’adhésion du Danemark à la Communauté économique européenne le 1</w:t>
      </w:r>
      <w:r>
        <w:rPr>
          <w:vertAlign w:val="superscript"/>
        </w:rPr>
        <w:t>er</w:t>
      </w:r>
      <w:r>
        <w:t xml:space="preserve"> janvier 1973 (</w:t>
      </w:r>
      <w:r>
        <w:rPr>
          <w:rStyle w:val="VerbatimChar"/>
        </w:rPr>
        <w:t>E85_Adhésion</w:t>
      </w:r>
      <w:r>
        <w:t>) l'a fait adhérer à (</w:t>
      </w:r>
      <w:r>
        <w:rPr>
          <w:rStyle w:val="VerbatimChar"/>
        </w:rPr>
        <w:t>P144_a_fait_adhérer_à</w:t>
      </w:r>
      <w:r>
        <w:t>) la Communauté économique européenne (</w:t>
      </w:r>
      <w:r>
        <w:rPr>
          <w:rStyle w:val="VerbatimChar"/>
        </w:rPr>
        <w:t>E74_Groupe</w:t>
      </w:r>
      <w:r>
        <w:t>)</w:t>
      </w:r>
    </w:p>
    <w:p w14:paraId="428D6FDE" w14:textId="77777777" w:rsidR="0084489F" w:rsidRDefault="00110FE6">
      <w:pPr>
        <w:pStyle w:val="FirstParagraph"/>
      </w:pPr>
      <w:r>
        <w:rPr>
          <w:b/>
          <w:bCs/>
        </w:rPr>
        <w:t>Logique</w:t>
      </w:r>
    </w:p>
    <w:p w14:paraId="47096CC4" w14:textId="77777777" w:rsidR="0084489F" w:rsidRDefault="00110FE6">
      <w:pPr>
        <w:pStyle w:val="BodyText"/>
      </w:pPr>
      <w:r w:rsidRPr="1B9E7434">
        <w:rPr>
          <w:lang w:val="fr-FR"/>
        </w:rPr>
        <w:t>P144(x,y) ⇒ E85(x)</w:t>
      </w:r>
    </w:p>
    <w:p w14:paraId="4F9E823B" w14:textId="77777777" w:rsidR="0084489F" w:rsidRDefault="00110FE6">
      <w:pPr>
        <w:pStyle w:val="BodyText"/>
      </w:pPr>
      <w:r w:rsidRPr="1B9E7434">
        <w:rPr>
          <w:lang w:val="fr-FR"/>
        </w:rPr>
        <w:t>P144(x,y) ⇒ E74(y)</w:t>
      </w:r>
    </w:p>
    <w:p w14:paraId="0EF6E1E9" w14:textId="77777777" w:rsidR="0084489F" w:rsidRDefault="00110FE6">
      <w:pPr>
        <w:pStyle w:val="BodyText"/>
      </w:pPr>
      <w:r w:rsidRPr="1B9E7434">
        <w:rPr>
          <w:lang w:val="fr-FR"/>
        </w:rPr>
        <w:t>P144(x,y,z) ⇒ [P144(x,y) ∧ E55(z)]</w:t>
      </w:r>
    </w:p>
    <w:p w14:paraId="30455E45" w14:textId="77777777" w:rsidR="0084489F" w:rsidRDefault="00110FE6">
      <w:pPr>
        <w:pStyle w:val="BodyText"/>
      </w:pPr>
      <w:r w:rsidRPr="1B9E7434">
        <w:rPr>
          <w:lang w:val="fr-FR"/>
        </w:rPr>
        <w:t>P144(x,y) ⇒ P11(x,y)</w:t>
      </w:r>
    </w:p>
    <w:p w14:paraId="703E4080" w14:textId="77777777" w:rsidR="0084489F" w:rsidRDefault="00110FE6">
      <w:pPr>
        <w:pStyle w:val="BodyText"/>
      </w:pPr>
      <w:r>
        <w:rPr>
          <w:b/>
          <w:bCs/>
        </w:rPr>
        <w:t>Propriétés</w:t>
      </w:r>
    </w:p>
    <w:p w14:paraId="1F3D5AA0" w14:textId="77777777" w:rsidR="0084489F" w:rsidRDefault="00110FE6">
      <w:pPr>
        <w:pStyle w:val="BodyText"/>
      </w:pPr>
      <w:r>
        <w:rPr>
          <w:rStyle w:val="VerbatimChar"/>
        </w:rPr>
        <w:t>P144.1_sorte_de_membre</w:t>
      </w:r>
      <w:r>
        <w:t xml:space="preserve"> : </w:t>
      </w:r>
      <w:r>
        <w:rPr>
          <w:rStyle w:val="VerbatimChar"/>
        </w:rPr>
        <w:t>E55_Type</w:t>
      </w:r>
    </w:p>
    <w:p w14:paraId="0FCA63CD" w14:textId="77777777" w:rsidR="0084489F" w:rsidRDefault="00110FE6">
      <w:pPr>
        <w:pStyle w:val="BlockText"/>
      </w:pPr>
      <w:r>
        <w:rPr>
          <w:b/>
          <w:bCs/>
          <w:i/>
          <w:iCs/>
        </w:rPr>
        <w:t>Note de traduction</w:t>
      </w:r>
    </w:p>
    <w:p w14:paraId="62636160" w14:textId="77777777" w:rsidR="0084489F" w:rsidRDefault="00110FE6">
      <w:pPr>
        <w:pStyle w:val="BlockText"/>
      </w:pPr>
      <w:r>
        <w:rPr>
          <w:b/>
          <w:bCs/>
          <w:i/>
          <w:iCs/>
        </w:rPr>
        <w:t>Références</w:t>
      </w:r>
    </w:p>
    <w:p w14:paraId="199B78AB" w14:textId="77777777" w:rsidR="0084489F" w:rsidRDefault="0084489F">
      <w:pPr>
        <w:pStyle w:val="BlockText"/>
      </w:pPr>
    </w:p>
    <w:p w14:paraId="7C70F4F6" w14:textId="77777777" w:rsidR="0084489F" w:rsidRDefault="00110FE6">
      <w:pPr>
        <w:pStyle w:val="Heading2"/>
      </w:pPr>
      <w:bookmarkStart w:id="512" w:name="_Toc176864636"/>
      <w:bookmarkStart w:id="513" w:name="p145-a-dissocie-(est-dissocie-par)"/>
      <w:bookmarkEnd w:id="511"/>
      <w:r>
        <w:t>P145 a dissocié (est dissocié par)</w:t>
      </w:r>
      <w:bookmarkEnd w:id="512"/>
    </w:p>
    <w:p w14:paraId="14726E17" w14:textId="77777777" w:rsidR="0084489F" w:rsidRDefault="00110FE6">
      <w:pPr>
        <w:pStyle w:val="FirstParagraph"/>
      </w:pPr>
      <w:r>
        <w:rPr>
          <w:b/>
          <w:bCs/>
        </w:rPr>
        <w:t>Domaine</w:t>
      </w:r>
    </w:p>
    <w:p w14:paraId="04F6316A" w14:textId="77777777" w:rsidR="0084489F" w:rsidRDefault="00110FE6">
      <w:pPr>
        <w:pStyle w:val="BodyText"/>
      </w:pPr>
      <w:r>
        <w:rPr>
          <w:rStyle w:val="VerbatimChar"/>
        </w:rPr>
        <w:t>E86_Départ</w:t>
      </w:r>
    </w:p>
    <w:p w14:paraId="73D266CD" w14:textId="77777777" w:rsidR="0084489F" w:rsidRDefault="00110FE6">
      <w:pPr>
        <w:pStyle w:val="BodyText"/>
      </w:pPr>
      <w:r>
        <w:rPr>
          <w:b/>
          <w:bCs/>
        </w:rPr>
        <w:t>Portée</w:t>
      </w:r>
    </w:p>
    <w:p w14:paraId="69BEC89F" w14:textId="77777777" w:rsidR="0084489F" w:rsidRDefault="00110FE6">
      <w:pPr>
        <w:pStyle w:val="BodyText"/>
      </w:pPr>
      <w:r>
        <w:rPr>
          <w:rStyle w:val="VerbatimChar"/>
        </w:rPr>
        <w:t>E39_Actant</w:t>
      </w:r>
    </w:p>
    <w:p w14:paraId="5723693B" w14:textId="77777777" w:rsidR="0084489F" w:rsidRDefault="00110FE6" w:rsidP="00FA3C06">
      <w:pPr>
        <w:pStyle w:val="BodyText"/>
        <w:keepNext/>
      </w:pPr>
      <w:r>
        <w:rPr>
          <w:b/>
          <w:bCs/>
        </w:rPr>
        <w:lastRenderedPageBreak/>
        <w:t>Sous-propriété de</w:t>
      </w:r>
    </w:p>
    <w:p w14:paraId="0488E4BD" w14:textId="77777777" w:rsidR="0084489F" w:rsidRDefault="00110FE6" w:rsidP="00FA3C06">
      <w:pPr>
        <w:pStyle w:val="BodyText"/>
        <w:keepNext/>
      </w:pPr>
      <w:r w:rsidRPr="1B9E7434">
        <w:rPr>
          <w:rStyle w:val="VerbatimChar"/>
          <w:lang w:val="fr-FR"/>
        </w:rPr>
        <w:t>E5_Évènement</w:t>
      </w:r>
      <w:r w:rsidRPr="1B9E7434">
        <w:rPr>
          <w:lang w:val="fr-FR"/>
        </w:rPr>
        <w:t xml:space="preserve">. </w:t>
      </w:r>
      <w:r w:rsidRPr="1B9E7434">
        <w:rPr>
          <w:rStyle w:val="VerbatimChar"/>
          <w:lang w:val="fr-FR"/>
        </w:rPr>
        <w:t>P11_a_eu_pour_actant_participant (a_participé_à)</w:t>
      </w:r>
      <w:r w:rsidRPr="1B9E7434">
        <w:rPr>
          <w:lang w:val="fr-FR"/>
        </w:rPr>
        <w:t xml:space="preserve"> : </w:t>
      </w:r>
      <w:r w:rsidRPr="1B9E7434">
        <w:rPr>
          <w:rStyle w:val="VerbatimChar"/>
          <w:lang w:val="fr-FR"/>
        </w:rPr>
        <w:t>E39_Actant</w:t>
      </w:r>
    </w:p>
    <w:p w14:paraId="12BBD425" w14:textId="77777777" w:rsidR="0084489F" w:rsidRDefault="00110FE6">
      <w:pPr>
        <w:pStyle w:val="BodyText"/>
      </w:pPr>
      <w:r>
        <w:rPr>
          <w:b/>
          <w:bCs/>
        </w:rPr>
        <w:t>Super-propriété de</w:t>
      </w:r>
    </w:p>
    <w:p w14:paraId="4AC64CBB" w14:textId="77777777" w:rsidR="0084489F" w:rsidRDefault="00110FE6">
      <w:pPr>
        <w:pStyle w:val="BodyText"/>
      </w:pPr>
      <w:r>
        <w:rPr>
          <w:b/>
          <w:bCs/>
        </w:rPr>
        <w:t>Quantification</w:t>
      </w:r>
    </w:p>
    <w:p w14:paraId="347A921A" w14:textId="77777777" w:rsidR="0084489F" w:rsidRDefault="00110FE6">
      <w:pPr>
        <w:pStyle w:val="BodyText"/>
      </w:pPr>
      <w:r w:rsidRPr="1B9E7434">
        <w:rPr>
          <w:lang w:val="fr-FR"/>
        </w:rPr>
        <w:t>plusieurs à plusieurs, nécessaire (1,n:0,n)</w:t>
      </w:r>
    </w:p>
    <w:p w14:paraId="5D43C610" w14:textId="77777777" w:rsidR="0084489F" w:rsidRDefault="00110FE6">
      <w:pPr>
        <w:pStyle w:val="BodyText"/>
      </w:pPr>
      <w:r>
        <w:rPr>
          <w:b/>
          <w:bCs/>
        </w:rPr>
        <w:t>Note d’application</w:t>
      </w:r>
    </w:p>
    <w:p w14:paraId="0C122CC2" w14:textId="77777777" w:rsidR="0084489F" w:rsidRDefault="00110FE6">
      <w:pPr>
        <w:pStyle w:val="BodyText"/>
      </w:pPr>
      <w:r>
        <w:t xml:space="preserve">Cette propriété identifie l'instance de </w:t>
      </w:r>
      <w:r>
        <w:rPr>
          <w:rStyle w:val="VerbatimChar"/>
        </w:rPr>
        <w:t>E39_Actant</w:t>
      </w:r>
      <w:r>
        <w:t xml:space="preserve"> qui quitte une instance de </w:t>
      </w:r>
      <w:r>
        <w:rPr>
          <w:rStyle w:val="VerbatimChar"/>
        </w:rPr>
        <w:t>E74_Groupe</w:t>
      </w:r>
      <w:r>
        <w:t xml:space="preserve"> par l'intermédiaire d'une instance de </w:t>
      </w:r>
      <w:r>
        <w:rPr>
          <w:rStyle w:val="VerbatimChar"/>
        </w:rPr>
        <w:t>E86_Départ</w:t>
      </w:r>
      <w:r>
        <w:t>.</w:t>
      </w:r>
    </w:p>
    <w:p w14:paraId="304BB2E5" w14:textId="77777777" w:rsidR="0084489F" w:rsidRDefault="00110FE6">
      <w:pPr>
        <w:pStyle w:val="BodyText"/>
      </w:pPr>
      <w:r>
        <w:rPr>
          <w:b/>
          <w:bCs/>
        </w:rPr>
        <w:t>Exemples</w:t>
      </w:r>
    </w:p>
    <w:p w14:paraId="631AB94E" w14:textId="1DAA8CDA" w:rsidR="0084489F" w:rsidRDefault="00110FE6" w:rsidP="00806324">
      <w:pPr>
        <w:numPr>
          <w:ilvl w:val="0"/>
          <w:numId w:val="256"/>
        </w:numPr>
      </w:pPr>
      <w:r w:rsidRPr="1B9E7434">
        <w:rPr>
          <w:lang w:val="fr-FR"/>
        </w:rPr>
        <w:t>La fin du mandat de Sir Isaac Newton comme membre du Parlement d’Angleterre pour l'Université de Cambridge à la convention du Parlement en 1702 (</w:t>
      </w:r>
      <w:r w:rsidRPr="1B9E7434">
        <w:rPr>
          <w:rStyle w:val="VerbatimChar"/>
          <w:lang w:val="fr-FR"/>
        </w:rPr>
        <w:t>E86_Départ</w:t>
      </w:r>
      <w:r w:rsidRPr="1B9E7434">
        <w:rPr>
          <w:lang w:val="fr-FR"/>
        </w:rPr>
        <w:t>) a dissocié (</w:t>
      </w:r>
      <w:r w:rsidRPr="1B9E7434">
        <w:rPr>
          <w:rStyle w:val="VerbatimChar"/>
          <w:lang w:val="fr-FR"/>
        </w:rPr>
        <w:t>P145_a_dissocié</w:t>
      </w:r>
      <w:r w:rsidRPr="1B9E7434">
        <w:rPr>
          <w:lang w:val="fr-FR"/>
        </w:rPr>
        <w:t>) Sir Isaac Newton (</w:t>
      </w:r>
      <w:r w:rsidRPr="1B9E7434">
        <w:rPr>
          <w:rStyle w:val="VerbatimChar"/>
          <w:lang w:val="fr-FR"/>
        </w:rPr>
        <w:t>E21_Personne</w:t>
      </w:r>
      <w:r w:rsidRPr="1B9E7434">
        <w:rPr>
          <w:lang w:val="fr-FR"/>
        </w:rPr>
        <w:t>) (Iliffe, 2013)</w:t>
      </w:r>
    </w:p>
    <w:p w14:paraId="1343D56F" w14:textId="77777777" w:rsidR="0084489F" w:rsidRDefault="00110FE6" w:rsidP="00806324">
      <w:pPr>
        <w:numPr>
          <w:ilvl w:val="0"/>
          <w:numId w:val="256"/>
        </w:numPr>
      </w:pPr>
      <w:r>
        <w:t>La fin du mandat de George Washington à la présidence des États-Unis en 1797 (</w:t>
      </w:r>
      <w:r>
        <w:rPr>
          <w:rStyle w:val="VerbatimChar"/>
        </w:rPr>
        <w:t>E86_Départ</w:t>
      </w:r>
      <w:r>
        <w:t>) a dissocié (</w:t>
      </w:r>
      <w:r>
        <w:rPr>
          <w:rStyle w:val="VerbatimChar"/>
        </w:rPr>
        <w:t>P145_a_dissocié</w:t>
      </w:r>
      <w:r>
        <w:t>) George Washington (</w:t>
      </w:r>
      <w:r>
        <w:rPr>
          <w:rStyle w:val="VerbatimChar"/>
        </w:rPr>
        <w:t>E21_Personne</w:t>
      </w:r>
      <w:r>
        <w:t>) du Bureau exécutif du président des États-Unis (Unger, 2015)</w:t>
      </w:r>
    </w:p>
    <w:p w14:paraId="2C5FAC9C" w14:textId="0DEE9825" w:rsidR="0084489F" w:rsidRDefault="00110FE6" w:rsidP="00806324">
      <w:pPr>
        <w:numPr>
          <w:ilvl w:val="0"/>
          <w:numId w:val="256"/>
        </w:numPr>
      </w:pPr>
      <w:r w:rsidRPr="1B9E7434">
        <w:rPr>
          <w:lang w:val="fr-FR"/>
        </w:rPr>
        <w:t>L’application du [n.d.t. « Traité sur le Grœnland »] entre l'Union européenne, le Danemark et le Grœnland le 1</w:t>
      </w:r>
      <w:r w:rsidRPr="1B9E7434">
        <w:rPr>
          <w:vertAlign w:val="superscript"/>
          <w:lang w:val="fr-FR"/>
        </w:rPr>
        <w:t>er</w:t>
      </w:r>
      <w:r w:rsidRPr="1B9E7434">
        <w:rPr>
          <w:lang w:val="fr-FR"/>
        </w:rPr>
        <w:t xml:space="preserve"> février 1985 (</w:t>
      </w:r>
      <w:r w:rsidRPr="1B9E7434">
        <w:rPr>
          <w:rStyle w:val="VerbatimChar"/>
          <w:lang w:val="fr-FR"/>
        </w:rPr>
        <w:t>E86_Départ</w:t>
      </w:r>
      <w:r w:rsidRPr="1B9E7434">
        <w:rPr>
          <w:lang w:val="fr-FR"/>
        </w:rPr>
        <w:t>) a dissocié (</w:t>
      </w:r>
      <w:r w:rsidRPr="1B9E7434">
        <w:rPr>
          <w:rStyle w:val="VerbatimChar"/>
          <w:lang w:val="fr-FR"/>
        </w:rPr>
        <w:t>P145_a_dissocié</w:t>
      </w:r>
      <w:r w:rsidRPr="1B9E7434">
        <w:rPr>
          <w:lang w:val="fr-FR"/>
        </w:rPr>
        <w:t>) le Grœnland (</w:t>
      </w:r>
      <w:r w:rsidRPr="1B9E7434">
        <w:rPr>
          <w:rStyle w:val="VerbatimChar"/>
          <w:lang w:val="fr-FR"/>
        </w:rPr>
        <w:t>E74_Groupe</w:t>
      </w:r>
      <w:r w:rsidRPr="1B9E7434">
        <w:rPr>
          <w:lang w:val="fr-FR"/>
        </w:rPr>
        <w:t>) de l’Union Européenne.</w:t>
      </w:r>
    </w:p>
    <w:p w14:paraId="6D6DB9BB" w14:textId="77777777" w:rsidR="0084489F" w:rsidRDefault="00110FE6">
      <w:pPr>
        <w:pStyle w:val="FirstParagraph"/>
      </w:pPr>
      <w:r>
        <w:rPr>
          <w:b/>
          <w:bCs/>
        </w:rPr>
        <w:t>Logique</w:t>
      </w:r>
    </w:p>
    <w:p w14:paraId="257B2BB4" w14:textId="77777777" w:rsidR="0084489F" w:rsidRDefault="00110FE6">
      <w:pPr>
        <w:pStyle w:val="BodyText"/>
      </w:pPr>
      <w:r w:rsidRPr="1B9E7434">
        <w:rPr>
          <w:lang w:val="fr-FR"/>
        </w:rPr>
        <w:t>P145(x,y) ⇒ E86(x)</w:t>
      </w:r>
    </w:p>
    <w:p w14:paraId="01485A1B" w14:textId="77777777" w:rsidR="0084489F" w:rsidRDefault="00110FE6">
      <w:pPr>
        <w:pStyle w:val="BodyText"/>
      </w:pPr>
      <w:r w:rsidRPr="1B9E7434">
        <w:rPr>
          <w:lang w:val="fr-FR"/>
        </w:rPr>
        <w:t>P145(x,y) ⇒ E39(y)</w:t>
      </w:r>
    </w:p>
    <w:p w14:paraId="4FB57CBF" w14:textId="77777777" w:rsidR="0084489F" w:rsidRDefault="00110FE6">
      <w:pPr>
        <w:pStyle w:val="BodyText"/>
      </w:pPr>
      <w:r w:rsidRPr="1B9E7434">
        <w:rPr>
          <w:lang w:val="fr-FR"/>
        </w:rPr>
        <w:t>P145(x,y) ⇒ P11(x,y)</w:t>
      </w:r>
    </w:p>
    <w:p w14:paraId="007F9B69" w14:textId="77777777" w:rsidR="0084489F" w:rsidRDefault="00110FE6">
      <w:pPr>
        <w:pStyle w:val="BodyText"/>
      </w:pPr>
      <w:r>
        <w:rPr>
          <w:b/>
          <w:bCs/>
        </w:rPr>
        <w:t>Propriétés</w:t>
      </w:r>
    </w:p>
    <w:p w14:paraId="3A79B8ED" w14:textId="77777777" w:rsidR="0084489F" w:rsidRDefault="00110FE6">
      <w:pPr>
        <w:pStyle w:val="BlockText"/>
      </w:pPr>
      <w:r>
        <w:rPr>
          <w:b/>
          <w:bCs/>
          <w:i/>
          <w:iCs/>
        </w:rPr>
        <w:t>Note de traduction</w:t>
      </w:r>
    </w:p>
    <w:p w14:paraId="6AB83543" w14:textId="77777777" w:rsidR="0084489F" w:rsidRDefault="00110FE6">
      <w:pPr>
        <w:pStyle w:val="BlockText"/>
      </w:pPr>
      <w:r>
        <w:rPr>
          <w:b/>
          <w:bCs/>
          <w:i/>
          <w:iCs/>
        </w:rPr>
        <w:t>Références</w:t>
      </w:r>
    </w:p>
    <w:p w14:paraId="37E0367D" w14:textId="77777777" w:rsidR="0084489F" w:rsidRDefault="0084489F">
      <w:pPr>
        <w:pStyle w:val="BlockText"/>
      </w:pPr>
    </w:p>
    <w:p w14:paraId="2F972983" w14:textId="77777777" w:rsidR="0084489F" w:rsidRDefault="00110FE6">
      <w:pPr>
        <w:pStyle w:val="Heading2"/>
      </w:pPr>
      <w:bookmarkStart w:id="514" w:name="_Toc176864637"/>
      <w:bookmarkStart w:id="515" w:name="X63cafaa2b6447fea26c2f58b6385fad9cbc698d"/>
      <w:bookmarkEnd w:id="513"/>
      <w:r>
        <w:t>P146 a dissocié de (a perdu le membre par)</w:t>
      </w:r>
      <w:bookmarkEnd w:id="514"/>
    </w:p>
    <w:p w14:paraId="552040BC" w14:textId="77777777" w:rsidR="0084489F" w:rsidRDefault="00110FE6">
      <w:pPr>
        <w:pStyle w:val="FirstParagraph"/>
      </w:pPr>
      <w:r>
        <w:rPr>
          <w:b/>
          <w:bCs/>
        </w:rPr>
        <w:t>Domaine</w:t>
      </w:r>
    </w:p>
    <w:p w14:paraId="51604456" w14:textId="77777777" w:rsidR="0084489F" w:rsidRDefault="00110FE6">
      <w:pPr>
        <w:pStyle w:val="BodyText"/>
      </w:pPr>
      <w:r>
        <w:rPr>
          <w:rStyle w:val="VerbatimChar"/>
        </w:rPr>
        <w:t>E86_Départ</w:t>
      </w:r>
    </w:p>
    <w:p w14:paraId="752A817D" w14:textId="77777777" w:rsidR="0084489F" w:rsidRDefault="00110FE6">
      <w:pPr>
        <w:pStyle w:val="BodyText"/>
      </w:pPr>
      <w:r>
        <w:rPr>
          <w:b/>
          <w:bCs/>
        </w:rPr>
        <w:t>Portée</w:t>
      </w:r>
    </w:p>
    <w:p w14:paraId="7AB687FA" w14:textId="77777777" w:rsidR="0084489F" w:rsidRDefault="00110FE6">
      <w:pPr>
        <w:pStyle w:val="BodyText"/>
      </w:pPr>
      <w:r>
        <w:rPr>
          <w:rStyle w:val="VerbatimChar"/>
        </w:rPr>
        <w:t>E74_Groupe</w:t>
      </w:r>
    </w:p>
    <w:p w14:paraId="478B6D7E" w14:textId="77777777" w:rsidR="0084489F" w:rsidRDefault="00110FE6">
      <w:pPr>
        <w:pStyle w:val="BodyText"/>
      </w:pPr>
      <w:r>
        <w:rPr>
          <w:b/>
          <w:bCs/>
        </w:rPr>
        <w:t>Sous-propriété de</w:t>
      </w:r>
    </w:p>
    <w:p w14:paraId="4AF4555D"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P11_a_eu_pour_actant_participant (a_participé_à)</w:t>
      </w:r>
      <w:r w:rsidRPr="1B9E7434">
        <w:rPr>
          <w:lang w:val="fr-FR"/>
        </w:rPr>
        <w:t xml:space="preserve"> : </w:t>
      </w:r>
      <w:r w:rsidRPr="1B9E7434">
        <w:rPr>
          <w:rStyle w:val="VerbatimChar"/>
          <w:lang w:val="fr-FR"/>
        </w:rPr>
        <w:t>E39_Actant</w:t>
      </w:r>
    </w:p>
    <w:p w14:paraId="1A7B9B6B" w14:textId="77777777" w:rsidR="0084489F" w:rsidRDefault="00110FE6">
      <w:pPr>
        <w:pStyle w:val="BodyText"/>
      </w:pPr>
      <w:r>
        <w:rPr>
          <w:b/>
          <w:bCs/>
        </w:rPr>
        <w:t>Super-propriété de</w:t>
      </w:r>
    </w:p>
    <w:p w14:paraId="1306080E" w14:textId="77777777" w:rsidR="0084489F" w:rsidRDefault="00110FE6">
      <w:pPr>
        <w:pStyle w:val="BodyText"/>
      </w:pPr>
      <w:r>
        <w:rPr>
          <w:b/>
          <w:bCs/>
        </w:rPr>
        <w:lastRenderedPageBreak/>
        <w:t>Quantification</w:t>
      </w:r>
    </w:p>
    <w:p w14:paraId="696FACB1" w14:textId="77777777" w:rsidR="0084489F" w:rsidRDefault="00110FE6">
      <w:pPr>
        <w:pStyle w:val="BodyText"/>
      </w:pPr>
      <w:r w:rsidRPr="1B9E7434">
        <w:rPr>
          <w:lang w:val="fr-FR"/>
        </w:rPr>
        <w:t>plusieurs à plusieurs, nécessaire (1,n:0,n)</w:t>
      </w:r>
    </w:p>
    <w:p w14:paraId="7C40F78F" w14:textId="77777777" w:rsidR="0084489F" w:rsidRDefault="00110FE6">
      <w:pPr>
        <w:pStyle w:val="BodyText"/>
      </w:pPr>
      <w:r>
        <w:rPr>
          <w:b/>
          <w:bCs/>
        </w:rPr>
        <w:t>Note d’application</w:t>
      </w:r>
    </w:p>
    <w:p w14:paraId="6366336A" w14:textId="77777777" w:rsidR="0084489F" w:rsidRDefault="00110FE6">
      <w:pPr>
        <w:pStyle w:val="BodyText"/>
      </w:pPr>
      <w:r>
        <w:t xml:space="preserve">Cette propriété identifie l'instance de </w:t>
      </w:r>
      <w:r>
        <w:rPr>
          <w:rStyle w:val="VerbatimChar"/>
        </w:rPr>
        <w:t>E74_Groupe</w:t>
      </w:r>
      <w:r>
        <w:t xml:space="preserve"> qu’une instance de </w:t>
      </w:r>
      <w:r>
        <w:rPr>
          <w:rStyle w:val="VerbatimChar"/>
        </w:rPr>
        <w:t>E39_Actant</w:t>
      </w:r>
      <w:r>
        <w:t xml:space="preserve"> quitte par l'intermédiaire d'une instance de </w:t>
      </w:r>
      <w:r>
        <w:rPr>
          <w:rStyle w:val="VerbatimChar"/>
        </w:rPr>
        <w:t>E86_Départ</w:t>
      </w:r>
      <w:r>
        <w:t>.</w:t>
      </w:r>
    </w:p>
    <w:p w14:paraId="62CF5D1F" w14:textId="77777777" w:rsidR="0084489F" w:rsidRDefault="00110FE6">
      <w:pPr>
        <w:pStyle w:val="BodyText"/>
      </w:pPr>
      <w:r>
        <w:t xml:space="preserve">Bien qu'une activité de départ ne concerne normalement qu'une seule instance de </w:t>
      </w:r>
      <w:r>
        <w:rPr>
          <w:rStyle w:val="VerbatimChar"/>
        </w:rPr>
        <w:t>E74_Groupe</w:t>
      </w:r>
      <w:r>
        <w:t xml:space="preserve">, il est possible d'imaginer des circonstances au cours desquelles quitter un </w:t>
      </w:r>
      <w:r>
        <w:rPr>
          <w:rStyle w:val="VerbatimChar"/>
        </w:rPr>
        <w:t>E74_Groupe</w:t>
      </w:r>
      <w:r>
        <w:t xml:space="preserve"> implique également de quitter un autre </w:t>
      </w:r>
      <w:r>
        <w:rPr>
          <w:rStyle w:val="VerbatimChar"/>
        </w:rPr>
        <w:t>E74_Groupe</w:t>
      </w:r>
      <w:r>
        <w:t>.</w:t>
      </w:r>
    </w:p>
    <w:p w14:paraId="48345284" w14:textId="77777777" w:rsidR="0084489F" w:rsidRDefault="00110FE6">
      <w:pPr>
        <w:pStyle w:val="BodyText"/>
      </w:pPr>
      <w:r>
        <w:rPr>
          <w:b/>
          <w:bCs/>
        </w:rPr>
        <w:t>Exemples</w:t>
      </w:r>
    </w:p>
    <w:p w14:paraId="1A4E6D25" w14:textId="5D7B8C1F" w:rsidR="0084489F" w:rsidRDefault="00110FE6" w:rsidP="00806324">
      <w:pPr>
        <w:numPr>
          <w:ilvl w:val="0"/>
          <w:numId w:val="257"/>
        </w:numPr>
      </w:pPr>
      <w:r w:rsidRPr="1B9E7434">
        <w:rPr>
          <w:lang w:val="fr-FR"/>
        </w:rPr>
        <w:t>La fin du mandat de Sir Isaac Newton en tant que membre du Parlement d’Angleterre pour l'Université de Cambridge à la convention du Parlement en 1702 (</w:t>
      </w:r>
      <w:r w:rsidRPr="1B9E7434">
        <w:rPr>
          <w:rStyle w:val="VerbatimChar"/>
          <w:lang w:val="fr-FR"/>
        </w:rPr>
        <w:t>E86_Départ</w:t>
      </w:r>
      <w:r w:rsidRPr="1B9E7434">
        <w:rPr>
          <w:lang w:val="fr-FR"/>
        </w:rPr>
        <w:t>) l’a dissocié de (</w:t>
      </w:r>
      <w:r w:rsidRPr="1B9E7434">
        <w:rPr>
          <w:rStyle w:val="VerbatimChar"/>
          <w:lang w:val="fr-FR"/>
        </w:rPr>
        <w:t>P146_a_dissocié_de</w:t>
      </w:r>
      <w:r w:rsidRPr="1B9E7434">
        <w:rPr>
          <w:lang w:val="fr-FR"/>
        </w:rPr>
        <w:t>) la convention du Parlement (</w:t>
      </w:r>
      <w:r w:rsidRPr="1B9E7434">
        <w:rPr>
          <w:rStyle w:val="VerbatimChar"/>
          <w:lang w:val="fr-FR"/>
        </w:rPr>
        <w:t>E74_Groupe</w:t>
      </w:r>
      <w:r w:rsidRPr="1B9E7434">
        <w:rPr>
          <w:lang w:val="fr-FR"/>
        </w:rPr>
        <w:t>) (Iliffe, 2013)</w:t>
      </w:r>
    </w:p>
    <w:p w14:paraId="4DBDDA17" w14:textId="77777777" w:rsidR="0084489F" w:rsidRDefault="00110FE6" w:rsidP="00806324">
      <w:pPr>
        <w:numPr>
          <w:ilvl w:val="0"/>
          <w:numId w:val="257"/>
        </w:numPr>
      </w:pPr>
      <w:r>
        <w:t>La fin du mandat de George Washington à la présidence des États-Unis en 1797 (</w:t>
      </w:r>
      <w:r>
        <w:rPr>
          <w:rStyle w:val="VerbatimChar"/>
        </w:rPr>
        <w:t>E86_Départ</w:t>
      </w:r>
      <w:r>
        <w:t>) l’a dissocié du (</w:t>
      </w:r>
      <w:r>
        <w:rPr>
          <w:rStyle w:val="VerbatimChar"/>
        </w:rPr>
        <w:t>P146_a_dissocié_de</w:t>
      </w:r>
      <w:r>
        <w:t>) Bureau exécutif du président des États-Unis (</w:t>
      </w:r>
      <w:r>
        <w:rPr>
          <w:rStyle w:val="VerbatimChar"/>
        </w:rPr>
        <w:t>E74_Groupe</w:t>
      </w:r>
      <w:r>
        <w:t>) (Unger, 2015)</w:t>
      </w:r>
    </w:p>
    <w:p w14:paraId="0764804C" w14:textId="7EEB19E4" w:rsidR="0084489F" w:rsidRDefault="00110FE6" w:rsidP="00806324">
      <w:pPr>
        <w:numPr>
          <w:ilvl w:val="0"/>
          <w:numId w:val="257"/>
        </w:numPr>
      </w:pPr>
      <w:r w:rsidRPr="1B9E7434">
        <w:rPr>
          <w:lang w:val="fr-FR"/>
        </w:rPr>
        <w:t>L’application du [n.d.t. « Traité du Grœnland »] entre l'Union Européenne, le Danemark et le Grœnland le 1</w:t>
      </w:r>
      <w:r w:rsidRPr="1B9E7434">
        <w:rPr>
          <w:vertAlign w:val="superscript"/>
          <w:lang w:val="fr-FR"/>
        </w:rPr>
        <w:t>er</w:t>
      </w:r>
      <w:r w:rsidRPr="1B9E7434">
        <w:rPr>
          <w:lang w:val="fr-FR"/>
        </w:rPr>
        <w:t xml:space="preserve"> février 1985 (</w:t>
      </w:r>
      <w:r w:rsidRPr="1B9E7434">
        <w:rPr>
          <w:rStyle w:val="VerbatimChar"/>
          <w:lang w:val="fr-FR"/>
        </w:rPr>
        <w:t>E86_Départ</w:t>
      </w:r>
      <w:r w:rsidRPr="1B9E7434">
        <w:rPr>
          <w:lang w:val="fr-FR"/>
        </w:rPr>
        <w:t>) a dissocié de (</w:t>
      </w:r>
      <w:r w:rsidRPr="1B9E7434">
        <w:rPr>
          <w:rStyle w:val="VerbatimChar"/>
          <w:lang w:val="fr-FR"/>
        </w:rPr>
        <w:t>P146_a_dissocié_de</w:t>
      </w:r>
      <w:r w:rsidRPr="1B9E7434">
        <w:rPr>
          <w:lang w:val="fr-FR"/>
        </w:rPr>
        <w:t>) l’Union Européenne (</w:t>
      </w:r>
      <w:r w:rsidRPr="1B9E7434">
        <w:rPr>
          <w:rStyle w:val="VerbatimChar"/>
          <w:lang w:val="fr-FR"/>
        </w:rPr>
        <w:t>E74_Groupe</w:t>
      </w:r>
      <w:r w:rsidRPr="1B9E7434">
        <w:rPr>
          <w:lang w:val="fr-FR"/>
        </w:rPr>
        <w:t>) le Grœnland</w:t>
      </w:r>
    </w:p>
    <w:p w14:paraId="359A9237" w14:textId="77777777" w:rsidR="0084489F" w:rsidRDefault="00110FE6">
      <w:pPr>
        <w:pStyle w:val="FirstParagraph"/>
      </w:pPr>
      <w:r>
        <w:rPr>
          <w:b/>
          <w:bCs/>
        </w:rPr>
        <w:t>Logique</w:t>
      </w:r>
    </w:p>
    <w:p w14:paraId="05E82113" w14:textId="77777777" w:rsidR="0084489F" w:rsidRDefault="00110FE6">
      <w:pPr>
        <w:pStyle w:val="BodyText"/>
      </w:pPr>
      <w:r w:rsidRPr="1B9E7434">
        <w:rPr>
          <w:lang w:val="fr-FR"/>
        </w:rPr>
        <w:t>P146(x,y) ⇒ E86(x)</w:t>
      </w:r>
    </w:p>
    <w:p w14:paraId="35498841" w14:textId="77777777" w:rsidR="0084489F" w:rsidRDefault="00110FE6">
      <w:pPr>
        <w:pStyle w:val="BodyText"/>
      </w:pPr>
      <w:r w:rsidRPr="1B9E7434">
        <w:rPr>
          <w:lang w:val="fr-FR"/>
        </w:rPr>
        <w:t>P146(x,y) ⇒ E74(y)</w:t>
      </w:r>
    </w:p>
    <w:p w14:paraId="60FD01D9" w14:textId="77777777" w:rsidR="0084489F" w:rsidRDefault="00110FE6">
      <w:pPr>
        <w:pStyle w:val="BodyText"/>
      </w:pPr>
      <w:r w:rsidRPr="1B9E7434">
        <w:rPr>
          <w:lang w:val="fr-FR"/>
        </w:rPr>
        <w:t>P146(x,y) ⇒ P11(x,y)</w:t>
      </w:r>
    </w:p>
    <w:p w14:paraId="653CD2AC" w14:textId="77777777" w:rsidR="0084489F" w:rsidRDefault="00110FE6">
      <w:pPr>
        <w:pStyle w:val="BodyText"/>
      </w:pPr>
      <w:r>
        <w:rPr>
          <w:b/>
          <w:bCs/>
        </w:rPr>
        <w:t>Propriétés</w:t>
      </w:r>
    </w:p>
    <w:p w14:paraId="696AFF73" w14:textId="77777777" w:rsidR="0084489F" w:rsidRDefault="00110FE6">
      <w:pPr>
        <w:pStyle w:val="BlockText"/>
      </w:pPr>
      <w:r>
        <w:rPr>
          <w:b/>
          <w:bCs/>
          <w:i/>
          <w:iCs/>
        </w:rPr>
        <w:t>Note de traduction</w:t>
      </w:r>
    </w:p>
    <w:p w14:paraId="48D6DF5B" w14:textId="77777777" w:rsidR="0084489F" w:rsidRDefault="00110FE6">
      <w:pPr>
        <w:pStyle w:val="BlockText"/>
      </w:pPr>
      <w:r>
        <w:rPr>
          <w:b/>
          <w:bCs/>
          <w:i/>
          <w:iCs/>
        </w:rPr>
        <w:t>Références</w:t>
      </w:r>
    </w:p>
    <w:p w14:paraId="76437435" w14:textId="77777777" w:rsidR="0084489F" w:rsidRDefault="0084489F">
      <w:pPr>
        <w:pStyle w:val="BlockText"/>
      </w:pPr>
    </w:p>
    <w:p w14:paraId="14CE0068" w14:textId="77777777" w:rsidR="0084489F" w:rsidRDefault="00110FE6">
      <w:pPr>
        <w:pStyle w:val="Heading2"/>
      </w:pPr>
      <w:bookmarkStart w:id="516" w:name="_Toc176864638"/>
      <w:bookmarkStart w:id="517" w:name="p147-a-gere-(a-ete-gere-par)"/>
      <w:bookmarkEnd w:id="515"/>
      <w:r>
        <w:t>P147 a géré (a été géré par)</w:t>
      </w:r>
      <w:bookmarkEnd w:id="516"/>
    </w:p>
    <w:p w14:paraId="3DF23FAB" w14:textId="77777777" w:rsidR="0084489F" w:rsidRDefault="00110FE6">
      <w:pPr>
        <w:pStyle w:val="FirstParagraph"/>
      </w:pPr>
      <w:r>
        <w:rPr>
          <w:b/>
          <w:bCs/>
        </w:rPr>
        <w:t>Domaine</w:t>
      </w:r>
    </w:p>
    <w:p w14:paraId="11814B35" w14:textId="77777777" w:rsidR="0084489F" w:rsidRDefault="00110FE6">
      <w:pPr>
        <w:pStyle w:val="BodyText"/>
      </w:pPr>
      <w:r>
        <w:rPr>
          <w:rStyle w:val="VerbatimChar"/>
        </w:rPr>
        <w:t>E87_Activité_curatoriale</w:t>
      </w:r>
    </w:p>
    <w:p w14:paraId="282ED9B1" w14:textId="77777777" w:rsidR="0084489F" w:rsidRDefault="00110FE6">
      <w:pPr>
        <w:pStyle w:val="BodyText"/>
      </w:pPr>
      <w:r>
        <w:rPr>
          <w:b/>
          <w:bCs/>
        </w:rPr>
        <w:t>Portée</w:t>
      </w:r>
    </w:p>
    <w:p w14:paraId="28621FF0" w14:textId="77777777" w:rsidR="0084489F" w:rsidRDefault="00110FE6">
      <w:pPr>
        <w:pStyle w:val="BodyText"/>
      </w:pPr>
      <w:r>
        <w:rPr>
          <w:rStyle w:val="VerbatimChar"/>
        </w:rPr>
        <w:t>E78_Collection</w:t>
      </w:r>
    </w:p>
    <w:p w14:paraId="576FFC59" w14:textId="77777777" w:rsidR="0084489F" w:rsidRDefault="00110FE6">
      <w:pPr>
        <w:pStyle w:val="BodyText"/>
      </w:pPr>
      <w:r>
        <w:rPr>
          <w:b/>
          <w:bCs/>
        </w:rPr>
        <w:t>Sous-propriété de</w:t>
      </w:r>
    </w:p>
    <w:p w14:paraId="7E30CB14" w14:textId="77777777" w:rsidR="0084489F" w:rsidRDefault="00110FE6">
      <w:pPr>
        <w:pStyle w:val="BodyText"/>
      </w:pPr>
      <w:r>
        <w:rPr>
          <w:b/>
          <w:bCs/>
        </w:rPr>
        <w:t>Super-propriété de</w:t>
      </w:r>
    </w:p>
    <w:p w14:paraId="30EBBBEC" w14:textId="77777777" w:rsidR="0084489F" w:rsidRDefault="00110FE6">
      <w:pPr>
        <w:pStyle w:val="BodyText"/>
      </w:pPr>
      <w:r>
        <w:rPr>
          <w:b/>
          <w:bCs/>
        </w:rPr>
        <w:t>Quantification</w:t>
      </w:r>
    </w:p>
    <w:p w14:paraId="5E9517BC" w14:textId="77777777" w:rsidR="0084489F" w:rsidRDefault="00110FE6">
      <w:pPr>
        <w:pStyle w:val="BodyText"/>
      </w:pPr>
      <w:r w:rsidRPr="1B9E7434">
        <w:rPr>
          <w:lang w:val="fr-FR"/>
        </w:rPr>
        <w:t>plusieurs à plusieurs, nécessaire (1,n:0,n)</w:t>
      </w:r>
    </w:p>
    <w:p w14:paraId="18BC80AF" w14:textId="77777777" w:rsidR="0084489F" w:rsidRDefault="00110FE6">
      <w:pPr>
        <w:pStyle w:val="BodyText"/>
      </w:pPr>
      <w:r>
        <w:rPr>
          <w:b/>
          <w:bCs/>
        </w:rPr>
        <w:lastRenderedPageBreak/>
        <w:t>Note d’application</w:t>
      </w:r>
    </w:p>
    <w:p w14:paraId="12A176F2" w14:textId="77777777" w:rsidR="0084489F" w:rsidRDefault="00110FE6">
      <w:pPr>
        <w:pStyle w:val="BodyText"/>
      </w:pPr>
      <w:r w:rsidRPr="1B9E7434">
        <w:rPr>
          <w:lang w:val="fr-FR"/>
        </w:rPr>
        <w:t xml:space="preserve">Cette propriété associe une instance de </w:t>
      </w:r>
      <w:r w:rsidRPr="1B9E7434">
        <w:rPr>
          <w:rStyle w:val="VerbatimChar"/>
          <w:lang w:val="fr-FR"/>
        </w:rPr>
        <w:t>E87_Activité_curatoriale</w:t>
      </w:r>
      <w:r w:rsidRPr="1B9E7434">
        <w:rPr>
          <w:lang w:val="fr-FR"/>
        </w:rPr>
        <w:t xml:space="preserve"> à l'instance de </w:t>
      </w:r>
      <w:r w:rsidRPr="1B9E7434">
        <w:rPr>
          <w:rStyle w:val="VerbatimChar"/>
          <w:lang w:val="fr-FR"/>
        </w:rPr>
        <w:t>E78_Collection</w:t>
      </w:r>
      <w:r w:rsidRPr="1B9E7434">
        <w:rPr>
          <w:lang w:val="fr-FR"/>
        </w:rPr>
        <w:t xml:space="preserve"> qui fait l'objet de cette activité en suivant un plan de gestion d’activités curatoriales implicite ou explicite.</w:t>
      </w:r>
    </w:p>
    <w:p w14:paraId="575CCC53" w14:textId="77777777" w:rsidR="0084489F" w:rsidRDefault="00110FE6">
      <w:pPr>
        <w:pStyle w:val="BodyText"/>
      </w:pPr>
      <w:r>
        <w:rPr>
          <w:b/>
          <w:bCs/>
        </w:rPr>
        <w:t>Exemples</w:t>
      </w:r>
    </w:p>
    <w:p w14:paraId="1E175EA7" w14:textId="67636935" w:rsidR="0084489F" w:rsidRDefault="00110FE6" w:rsidP="00806324">
      <w:pPr>
        <w:numPr>
          <w:ilvl w:val="0"/>
          <w:numId w:val="258"/>
        </w:numPr>
      </w:pPr>
      <w:r w:rsidRPr="1B9E7434">
        <w:rPr>
          <w:lang w:val="fr-FR"/>
        </w:rPr>
        <w:t>Les activités curatoriales du Musée Benaki concernant la collection du Département de l’enfance, des jouets et des jeux (</w:t>
      </w:r>
      <w:r w:rsidRPr="1B9E7434">
        <w:rPr>
          <w:rStyle w:val="VerbatimChar"/>
          <w:lang w:val="fr-FR"/>
        </w:rPr>
        <w:t>E87_Activité_curatoriale</w:t>
      </w:r>
      <w:r w:rsidRPr="1B9E7434">
        <w:rPr>
          <w:lang w:val="fr-FR"/>
        </w:rPr>
        <w:t>) ont géré (</w:t>
      </w:r>
      <w:r w:rsidRPr="1B9E7434">
        <w:rPr>
          <w:rStyle w:val="VerbatimChar"/>
          <w:lang w:val="fr-FR"/>
        </w:rPr>
        <w:t>P147_a_géré</w:t>
      </w:r>
      <w:r w:rsidRPr="1B9E7434">
        <w:rPr>
          <w:lang w:val="fr-FR"/>
        </w:rPr>
        <w:t>) la collection du Département de l’enfance, des jouets et des jeux (</w:t>
      </w:r>
      <w:r w:rsidRPr="1B9E7434">
        <w:rPr>
          <w:rStyle w:val="VerbatimChar"/>
          <w:lang w:val="fr-FR"/>
        </w:rPr>
        <w:t>E78_Collection</w:t>
      </w:r>
      <w:r w:rsidRPr="1B9E7434">
        <w:rPr>
          <w:lang w:val="fr-FR"/>
        </w:rPr>
        <w:t>). [Les activités curatoriales comprenaient l'acquisition de poupées et de jeux de fabrication urbaine et populaire datant du XVII</w:t>
      </w:r>
      <w:r w:rsidRPr="1B9E7434">
        <w:rPr>
          <w:vertAlign w:val="superscript"/>
          <w:lang w:val="fr-FR"/>
        </w:rPr>
        <w:t>e</w:t>
      </w:r>
      <w:r w:rsidRPr="1B9E7434">
        <w:rPr>
          <w:lang w:val="fr-FR"/>
        </w:rPr>
        <w:t xml:space="preserve"> au XX</w:t>
      </w:r>
      <w:r w:rsidRPr="1B9E7434">
        <w:rPr>
          <w:vertAlign w:val="superscript"/>
          <w:lang w:val="fr-FR"/>
        </w:rPr>
        <w:t>e</w:t>
      </w:r>
      <w:r w:rsidRPr="1B9E7434">
        <w:rPr>
          <w:lang w:val="fr-FR"/>
        </w:rPr>
        <w:t> siècle et provenant d'Angleterre, de France et d'Allemagne pour la collection du Département de l’enfance, des jouets et des jeux du musée] (Musée Benaki, 2016)</w:t>
      </w:r>
    </w:p>
    <w:p w14:paraId="0196DFA0" w14:textId="3C0DEE0D" w:rsidR="0084489F" w:rsidRDefault="00110FE6" w:rsidP="00806324">
      <w:pPr>
        <w:numPr>
          <w:ilvl w:val="0"/>
          <w:numId w:val="258"/>
        </w:numPr>
      </w:pPr>
      <w:r w:rsidRPr="1B9E7434">
        <w:rPr>
          <w:lang w:val="fr-FR"/>
        </w:rPr>
        <w:t>Les activités curatoriales du Musée historique de Crète à Héraklion concernant sa collection permanente de numismatique de 2005 à aujourd'hui (</w:t>
      </w:r>
      <w:r w:rsidRPr="1B9E7434">
        <w:rPr>
          <w:rStyle w:val="VerbatimChar"/>
          <w:lang w:val="fr-FR"/>
        </w:rPr>
        <w:t>E87_Activité_curatoriale</w:t>
      </w:r>
      <w:r w:rsidRPr="1B9E7434">
        <w:rPr>
          <w:lang w:val="fr-FR"/>
        </w:rPr>
        <w:t>) ont géré (</w:t>
      </w:r>
      <w:r w:rsidRPr="1B9E7434">
        <w:rPr>
          <w:rStyle w:val="VerbatimChar"/>
          <w:lang w:val="fr-FR"/>
        </w:rPr>
        <w:t>P147_a_géré</w:t>
      </w:r>
      <w:r w:rsidRPr="1B9E7434">
        <w:rPr>
          <w:lang w:val="fr-FR"/>
        </w:rPr>
        <w:t>) la collection permanente de numismatique (</w:t>
      </w:r>
      <w:r w:rsidRPr="1B9E7434">
        <w:rPr>
          <w:rStyle w:val="VerbatimChar"/>
          <w:lang w:val="fr-FR"/>
        </w:rPr>
        <w:t>E78_Collection</w:t>
      </w:r>
      <w:r w:rsidRPr="1B9E7434">
        <w:rPr>
          <w:lang w:val="fr-FR"/>
        </w:rPr>
        <w:t>) (Musée historique de Crète, 2005)</w:t>
      </w:r>
    </w:p>
    <w:p w14:paraId="140D9E06" w14:textId="04854A52" w:rsidR="0084489F" w:rsidRDefault="00110FE6" w:rsidP="00806324">
      <w:pPr>
        <w:numPr>
          <w:ilvl w:val="0"/>
          <w:numId w:val="258"/>
        </w:numPr>
      </w:pPr>
      <w:r w:rsidRPr="1B9E7434">
        <w:rPr>
          <w:lang w:val="fr-FR"/>
        </w:rPr>
        <w:t>Les activités curatoriales de Mikæl Heggelund Foslie (</w:t>
      </w:r>
      <w:r w:rsidRPr="1B9E7434">
        <w:rPr>
          <w:rStyle w:val="VerbatimChar"/>
          <w:lang w:val="fr-FR"/>
        </w:rPr>
        <w:t>E87_Activité_curatoriale</w:t>
      </w:r>
      <w:r w:rsidRPr="1B9E7434">
        <w:rPr>
          <w:lang w:val="fr-FR"/>
        </w:rPr>
        <w:t>) ont géré (</w:t>
      </w:r>
      <w:r w:rsidRPr="1B9E7434">
        <w:rPr>
          <w:rStyle w:val="VerbatimChar"/>
          <w:lang w:val="fr-FR"/>
        </w:rPr>
        <w:t>P147_a_géré</w:t>
      </w:r>
      <w:r w:rsidRPr="1B9E7434">
        <w:rPr>
          <w:lang w:val="fr-FR"/>
        </w:rPr>
        <w:t>) l'herbier d'algues rouges coralliennes de Mikæl Heggelund Foslie (</w:t>
      </w:r>
      <w:r w:rsidRPr="1B9E7434">
        <w:rPr>
          <w:rStyle w:val="VerbatimChar"/>
          <w:lang w:val="fr-FR"/>
        </w:rPr>
        <w:t>E78_Collection</w:t>
      </w:r>
      <w:r w:rsidRPr="1B9E7434">
        <w:rPr>
          <w:lang w:val="fr-FR"/>
        </w:rPr>
        <w:t>) (Wœlkerling &amp; al, 2005)</w:t>
      </w:r>
    </w:p>
    <w:p w14:paraId="6973F5B0" w14:textId="77777777" w:rsidR="0084489F" w:rsidRDefault="00110FE6">
      <w:pPr>
        <w:pStyle w:val="FirstParagraph"/>
      </w:pPr>
      <w:r>
        <w:rPr>
          <w:b/>
          <w:bCs/>
        </w:rPr>
        <w:t>Logique</w:t>
      </w:r>
    </w:p>
    <w:p w14:paraId="20A55E68" w14:textId="77777777" w:rsidR="0084489F" w:rsidRDefault="00110FE6">
      <w:pPr>
        <w:pStyle w:val="BodyText"/>
      </w:pPr>
      <w:r w:rsidRPr="1B9E7434">
        <w:rPr>
          <w:lang w:val="fr-FR"/>
        </w:rPr>
        <w:t>P147(x,y) ⇒ E87(x)</w:t>
      </w:r>
    </w:p>
    <w:p w14:paraId="03238883" w14:textId="77777777" w:rsidR="0084489F" w:rsidRDefault="00110FE6">
      <w:pPr>
        <w:pStyle w:val="BodyText"/>
      </w:pPr>
      <w:r w:rsidRPr="1B9E7434">
        <w:rPr>
          <w:lang w:val="fr-FR"/>
        </w:rPr>
        <w:t>P147(x,y) ⇒ E78(y)</w:t>
      </w:r>
    </w:p>
    <w:p w14:paraId="0538BD12" w14:textId="77777777" w:rsidR="0084489F" w:rsidRDefault="00110FE6">
      <w:pPr>
        <w:pStyle w:val="BodyText"/>
      </w:pPr>
      <w:r>
        <w:rPr>
          <w:b/>
          <w:bCs/>
        </w:rPr>
        <w:t>Propriétés</w:t>
      </w:r>
    </w:p>
    <w:p w14:paraId="6CBA06D9" w14:textId="77777777" w:rsidR="0084489F" w:rsidRDefault="00110FE6">
      <w:pPr>
        <w:pStyle w:val="BlockText"/>
      </w:pPr>
      <w:r>
        <w:rPr>
          <w:b/>
          <w:bCs/>
          <w:i/>
          <w:iCs/>
        </w:rPr>
        <w:t>Note de traduction</w:t>
      </w:r>
    </w:p>
    <w:p w14:paraId="37A5A337" w14:textId="77777777" w:rsidR="0084489F" w:rsidRDefault="00110FE6">
      <w:pPr>
        <w:pStyle w:val="BlockText"/>
      </w:pPr>
      <w:r>
        <w:rPr>
          <w:b/>
          <w:bCs/>
          <w:i/>
          <w:iCs/>
        </w:rPr>
        <w:t>Références</w:t>
      </w:r>
    </w:p>
    <w:p w14:paraId="6873515D" w14:textId="77777777" w:rsidR="0084489F" w:rsidRPr="008C0D99" w:rsidRDefault="00110FE6">
      <w:pPr>
        <w:pStyle w:val="BlockText"/>
        <w:rPr>
          <w:lang w:val="en-CA"/>
        </w:rPr>
      </w:pPr>
      <w:r>
        <w:t xml:space="preserve">Benaki Museum. </w:t>
      </w:r>
      <w:r w:rsidRPr="008C0D99">
        <w:rPr>
          <w:lang w:val="en-CA"/>
        </w:rPr>
        <w:t xml:space="preserve">« Childhood, Toys and Games - </w:t>
      </w:r>
      <w:r>
        <w:t>Μουσείο</w:t>
      </w:r>
      <w:r w:rsidRPr="008C0D99">
        <w:rPr>
          <w:lang w:val="en-CA"/>
        </w:rPr>
        <w:t xml:space="preserve"> </w:t>
      </w:r>
      <w:r>
        <w:t>Μπενάκη</w:t>
      </w:r>
      <w:r w:rsidRPr="008C0D99">
        <w:rPr>
          <w:lang w:val="en-CA"/>
        </w:rPr>
        <w:t xml:space="preserve"> ». Benaki Museum, 2016.</w:t>
      </w:r>
      <w:hyperlink r:id="rId277">
        <w:r w:rsidRPr="008C0D99">
          <w:rPr>
            <w:rStyle w:val="Hyperlink"/>
            <w:lang w:val="en-CA"/>
          </w:rPr>
          <w:t xml:space="preserve"> </w:t>
        </w:r>
      </w:hyperlink>
      <w:hyperlink r:id="rId278">
        <w:r w:rsidRPr="008C0D99">
          <w:rPr>
            <w:rStyle w:val="Hyperlink"/>
            <w:lang w:val="en-CA"/>
          </w:rPr>
          <w:t>https://www.benaki.org//index.php?option=com_collections&amp;view=collection&amp;id=45&amp;Itemid=540&amp;lang=el</w:t>
        </w:r>
      </w:hyperlink>
      <w:r w:rsidRPr="008C0D99">
        <w:rPr>
          <w:lang w:val="en-CA"/>
        </w:rPr>
        <w:t>.</w:t>
      </w:r>
    </w:p>
    <w:p w14:paraId="2B055B91" w14:textId="77777777" w:rsidR="0084489F" w:rsidRDefault="00110FE6">
      <w:pPr>
        <w:pStyle w:val="BlockText"/>
      </w:pPr>
      <w:r w:rsidRPr="008C0D99">
        <w:rPr>
          <w:lang w:val="en-CA"/>
        </w:rPr>
        <w:t xml:space="preserve">Theodoropoulos, Alexandros. « Maria Argyriadi: The Researcher and Toys Collector That Changed the Benaki Museum ». </w:t>
      </w:r>
      <w:r>
        <w:rPr>
          <w:i/>
          <w:iCs/>
        </w:rPr>
        <w:t>ImpacTalk</w:t>
      </w:r>
      <w:r>
        <w:t xml:space="preserve"> (blog), 21 mai 2021.</w:t>
      </w:r>
      <w:hyperlink r:id="rId279">
        <w:r>
          <w:rPr>
            <w:rStyle w:val="Hyperlink"/>
          </w:rPr>
          <w:t xml:space="preserve"> </w:t>
        </w:r>
      </w:hyperlink>
      <w:hyperlink r:id="rId280">
        <w:r>
          <w:rPr>
            <w:rStyle w:val="Hyperlink"/>
          </w:rPr>
          <w:t>https://impactalk.gr/en/stories-talk/maria-argyriadi-researcher-and-toys-collector-changed-benaki-museum</w:t>
        </w:r>
      </w:hyperlink>
      <w:r>
        <w:t>.</w:t>
      </w:r>
    </w:p>
    <w:p w14:paraId="11F297F9" w14:textId="77777777" w:rsidR="00453C68" w:rsidRPr="00453C68" w:rsidRDefault="00453C68" w:rsidP="00453C68">
      <w:pPr>
        <w:pStyle w:val="BodyText"/>
      </w:pPr>
    </w:p>
    <w:p w14:paraId="07968A0B" w14:textId="77777777" w:rsidR="0084489F" w:rsidRDefault="00110FE6">
      <w:pPr>
        <w:pStyle w:val="Heading2"/>
      </w:pPr>
      <w:bookmarkStart w:id="518" w:name="_Toc176864639"/>
      <w:bookmarkStart w:id="519" w:name="X72bd8fce6273cb779c487f8046bd32680771bfa"/>
      <w:bookmarkEnd w:id="517"/>
      <w:r>
        <w:t>P148 a pour composant (est le composant de)</w:t>
      </w:r>
      <w:bookmarkEnd w:id="518"/>
    </w:p>
    <w:p w14:paraId="353A7C99" w14:textId="77777777" w:rsidR="0084489F" w:rsidRDefault="00110FE6">
      <w:pPr>
        <w:pStyle w:val="FirstParagraph"/>
      </w:pPr>
      <w:r>
        <w:rPr>
          <w:b/>
          <w:bCs/>
        </w:rPr>
        <w:t>Domaine</w:t>
      </w:r>
    </w:p>
    <w:p w14:paraId="1FCAC0B1" w14:textId="77777777" w:rsidR="0084489F" w:rsidRDefault="00110FE6">
      <w:pPr>
        <w:pStyle w:val="BodyText"/>
      </w:pPr>
      <w:r>
        <w:rPr>
          <w:rStyle w:val="VerbatimChar"/>
        </w:rPr>
        <w:t>E89_Objet_propositionnel</w:t>
      </w:r>
    </w:p>
    <w:p w14:paraId="404F083D" w14:textId="77777777" w:rsidR="0084489F" w:rsidRDefault="00110FE6">
      <w:pPr>
        <w:pStyle w:val="BodyText"/>
      </w:pPr>
      <w:r>
        <w:rPr>
          <w:b/>
          <w:bCs/>
        </w:rPr>
        <w:t>Portée</w:t>
      </w:r>
    </w:p>
    <w:p w14:paraId="32FBE002" w14:textId="77777777" w:rsidR="0084489F" w:rsidRDefault="00110FE6">
      <w:pPr>
        <w:pStyle w:val="BodyText"/>
      </w:pPr>
      <w:r>
        <w:rPr>
          <w:rStyle w:val="VerbatimChar"/>
        </w:rPr>
        <w:t>E89_Objet_propositionnel</w:t>
      </w:r>
    </w:p>
    <w:p w14:paraId="03CD6A06" w14:textId="77777777" w:rsidR="0084489F" w:rsidRDefault="00110FE6">
      <w:pPr>
        <w:pStyle w:val="BodyText"/>
      </w:pPr>
      <w:r>
        <w:rPr>
          <w:b/>
          <w:bCs/>
        </w:rPr>
        <w:t>Sous-propriété de</w:t>
      </w:r>
    </w:p>
    <w:p w14:paraId="7A690B9E" w14:textId="77777777" w:rsidR="0084489F" w:rsidRDefault="00110FE6">
      <w:pPr>
        <w:pStyle w:val="BodyText"/>
      </w:pPr>
      <w:r>
        <w:rPr>
          <w:b/>
          <w:bCs/>
        </w:rPr>
        <w:t>Super-propriété de</w:t>
      </w:r>
    </w:p>
    <w:p w14:paraId="2AEFA961" w14:textId="77777777" w:rsidR="0084489F" w:rsidRDefault="00110FE6">
      <w:pPr>
        <w:pStyle w:val="BodyText"/>
      </w:pPr>
      <w:r>
        <w:rPr>
          <w:b/>
          <w:bCs/>
        </w:rPr>
        <w:t>Quantification</w:t>
      </w:r>
    </w:p>
    <w:p w14:paraId="4741C72E" w14:textId="77777777" w:rsidR="0084489F" w:rsidRDefault="00110FE6">
      <w:pPr>
        <w:pStyle w:val="BodyText"/>
      </w:pPr>
      <w:r w:rsidRPr="1B9E7434">
        <w:rPr>
          <w:lang w:val="fr-FR"/>
        </w:rPr>
        <w:lastRenderedPageBreak/>
        <w:t>plusieurs à plusieurs (0,n:0,n)</w:t>
      </w:r>
    </w:p>
    <w:p w14:paraId="4182FA7D" w14:textId="77777777" w:rsidR="0084489F" w:rsidRDefault="00110FE6">
      <w:pPr>
        <w:pStyle w:val="BodyText"/>
      </w:pPr>
      <w:r>
        <w:rPr>
          <w:b/>
          <w:bCs/>
        </w:rPr>
        <w:t>Note d’application</w:t>
      </w:r>
    </w:p>
    <w:p w14:paraId="58D071E3" w14:textId="77777777" w:rsidR="0084489F" w:rsidRDefault="00110FE6">
      <w:pPr>
        <w:pStyle w:val="BodyText"/>
      </w:pPr>
      <w:r>
        <w:t xml:space="preserve">Cette propriété associe une instance de </w:t>
      </w:r>
      <w:r>
        <w:rPr>
          <w:rStyle w:val="VerbatimChar"/>
        </w:rPr>
        <w:t>E89_Objet_propositionnel</w:t>
      </w:r>
      <w:r>
        <w:t xml:space="preserve"> avec une de ses parties structurelles qui est elle-même une instance de </w:t>
      </w:r>
      <w:r>
        <w:rPr>
          <w:rStyle w:val="VerbatimChar"/>
        </w:rPr>
        <w:t>E89_Objet_propositionnel</w:t>
      </w:r>
      <w:r>
        <w:t>.</w:t>
      </w:r>
    </w:p>
    <w:p w14:paraId="4FAE018F" w14:textId="77777777" w:rsidR="0084489F" w:rsidRDefault="00110FE6">
      <w:pPr>
        <w:pStyle w:val="BodyText"/>
      </w:pPr>
      <w:r>
        <w:t>Cette propriété est transitive et asymétrique.</w:t>
      </w:r>
    </w:p>
    <w:p w14:paraId="617E9A99" w14:textId="77777777" w:rsidR="0084489F" w:rsidRDefault="00110FE6">
      <w:pPr>
        <w:pStyle w:val="BodyText"/>
      </w:pPr>
      <w:r>
        <w:rPr>
          <w:b/>
          <w:bCs/>
        </w:rPr>
        <w:t>Exemples</w:t>
      </w:r>
    </w:p>
    <w:p w14:paraId="50FDBCA4" w14:textId="77777777" w:rsidR="0084489F" w:rsidRDefault="00110FE6" w:rsidP="00806324">
      <w:pPr>
        <w:numPr>
          <w:ilvl w:val="0"/>
          <w:numId w:val="259"/>
        </w:numPr>
      </w:pPr>
      <w:r>
        <w:t xml:space="preserve">La </w:t>
      </w:r>
      <w:r>
        <w:rPr>
          <w:i/>
          <w:iCs/>
        </w:rPr>
        <w:t>Divine comédie</w:t>
      </w:r>
      <w:r>
        <w:t xml:space="preserve"> de Dante (</w:t>
      </w:r>
      <w:r>
        <w:rPr>
          <w:rStyle w:val="VerbatimChar"/>
        </w:rPr>
        <w:t>E89_Objet_propositionnel</w:t>
      </w:r>
      <w:r>
        <w:t>) a pour composant (</w:t>
      </w:r>
      <w:r>
        <w:rPr>
          <w:rStyle w:val="VerbatimChar"/>
        </w:rPr>
        <w:t>P148_a_pour_composant</w:t>
      </w:r>
      <w:r>
        <w:t>) « L'Enfer » (</w:t>
      </w:r>
      <w:r>
        <w:rPr>
          <w:rStyle w:val="VerbatimChar"/>
        </w:rPr>
        <w:t>E89_Objet_propositionnel</w:t>
      </w:r>
      <w:r>
        <w:t>) (Alighieri, 1956)</w:t>
      </w:r>
    </w:p>
    <w:p w14:paraId="313AD059" w14:textId="77777777" w:rsidR="0084489F" w:rsidRDefault="00110FE6">
      <w:pPr>
        <w:pStyle w:val="FirstParagraph"/>
      </w:pPr>
      <w:r>
        <w:rPr>
          <w:b/>
          <w:bCs/>
        </w:rPr>
        <w:t>Logique</w:t>
      </w:r>
    </w:p>
    <w:p w14:paraId="3857A7F8" w14:textId="77777777" w:rsidR="0084489F" w:rsidRDefault="00110FE6">
      <w:pPr>
        <w:pStyle w:val="BodyText"/>
      </w:pPr>
      <w:r w:rsidRPr="1B9E7434">
        <w:rPr>
          <w:lang w:val="fr-FR"/>
        </w:rPr>
        <w:t>P148(x,y) ⇒ E89(x)</w:t>
      </w:r>
    </w:p>
    <w:p w14:paraId="15D3B36E" w14:textId="77777777" w:rsidR="0084489F" w:rsidRDefault="00110FE6">
      <w:pPr>
        <w:pStyle w:val="BodyText"/>
      </w:pPr>
      <w:r w:rsidRPr="1B9E7434">
        <w:rPr>
          <w:lang w:val="fr-FR"/>
        </w:rPr>
        <w:t>P148(x,y) ⇒ E89(y)</w:t>
      </w:r>
    </w:p>
    <w:p w14:paraId="759750BC" w14:textId="77777777" w:rsidR="0084489F" w:rsidRDefault="00110FE6">
      <w:pPr>
        <w:pStyle w:val="BodyText"/>
      </w:pPr>
      <w:r w:rsidRPr="1B9E7434">
        <w:rPr>
          <w:lang w:val="fr-FR"/>
        </w:rPr>
        <w:t>[P148(x,y) ∧ P148(y,z)] ⇒ P148(x,z)</w:t>
      </w:r>
    </w:p>
    <w:p w14:paraId="49012AF7" w14:textId="77777777" w:rsidR="0084489F" w:rsidRDefault="00110FE6">
      <w:pPr>
        <w:pStyle w:val="BodyText"/>
      </w:pPr>
      <w:r w:rsidRPr="1B9E7434">
        <w:rPr>
          <w:lang w:val="fr-FR"/>
        </w:rPr>
        <w:t>P148(x,y) ⇒ ¬P148(y,x)</w:t>
      </w:r>
    </w:p>
    <w:p w14:paraId="4CDA2A82" w14:textId="77777777" w:rsidR="0084489F" w:rsidRDefault="00110FE6">
      <w:pPr>
        <w:pStyle w:val="BodyText"/>
      </w:pPr>
      <w:r>
        <w:rPr>
          <w:b/>
          <w:bCs/>
        </w:rPr>
        <w:t>Propriétés</w:t>
      </w:r>
    </w:p>
    <w:p w14:paraId="689DA2D4" w14:textId="77777777" w:rsidR="0084489F" w:rsidRDefault="00110FE6">
      <w:pPr>
        <w:pStyle w:val="BlockText"/>
      </w:pPr>
      <w:r>
        <w:rPr>
          <w:b/>
          <w:bCs/>
          <w:i/>
          <w:iCs/>
        </w:rPr>
        <w:t>Note de traduction</w:t>
      </w:r>
    </w:p>
    <w:p w14:paraId="027C848C" w14:textId="77777777" w:rsidR="0084489F" w:rsidRDefault="00110FE6">
      <w:pPr>
        <w:pStyle w:val="BlockText"/>
      </w:pPr>
      <w:r w:rsidRPr="1B9E7434">
        <w:rPr>
          <w:lang w:val="fr-FR"/>
        </w:rPr>
        <w:t>La traduction des titres de « Divine Comedy » est issue de la version française publiée par la Bibliothèque de la Pléiade en 2021.</w:t>
      </w:r>
    </w:p>
    <w:p w14:paraId="7DF5A70D" w14:textId="77777777" w:rsidR="0084489F" w:rsidRDefault="00110FE6">
      <w:pPr>
        <w:pStyle w:val="BlockText"/>
      </w:pPr>
      <w:r>
        <w:rPr>
          <w:b/>
          <w:bCs/>
          <w:i/>
          <w:iCs/>
        </w:rPr>
        <w:t>Références</w:t>
      </w:r>
    </w:p>
    <w:p w14:paraId="5416A6C5" w14:textId="2F06A9D6" w:rsidR="0084489F" w:rsidRDefault="00110FE6">
      <w:pPr>
        <w:pStyle w:val="BlockText"/>
      </w:pPr>
      <w:r w:rsidRPr="1B9E7434">
        <w:rPr>
          <w:lang w:val="fr-FR"/>
        </w:rPr>
        <w:t xml:space="preserve">Alighieri, Dante. </w:t>
      </w:r>
      <w:r w:rsidRPr="1B9E7434">
        <w:rPr>
          <w:i/>
          <w:iCs/>
          <w:lang w:val="fr-FR"/>
        </w:rPr>
        <w:t>La divine comédie</w:t>
      </w:r>
      <w:r w:rsidRPr="1B9E7434">
        <w:rPr>
          <w:lang w:val="fr-FR"/>
        </w:rPr>
        <w:t xml:space="preserve">. Édité par Carlo Ossola. Traduit par Jacqueline Risset. Éd. bilingue. Bibliothèque de la Pléiade 659. 1308–1321. </w:t>
      </w:r>
      <w:r w:rsidR="009D0EAD" w:rsidRPr="1B9E7434">
        <w:rPr>
          <w:lang w:val="fr-FR"/>
        </w:rPr>
        <w:t>Réimpression</w:t>
      </w:r>
      <w:r w:rsidRPr="1B9E7434">
        <w:rPr>
          <w:lang w:val="fr-FR"/>
        </w:rPr>
        <w:t>, Paris: Gallimard, 2021.</w:t>
      </w:r>
    </w:p>
    <w:p w14:paraId="3940066E" w14:textId="77777777" w:rsidR="00FA3C06" w:rsidRPr="00FA3C06" w:rsidRDefault="00FA3C06" w:rsidP="00FA3C06">
      <w:pPr>
        <w:pStyle w:val="BodyText"/>
      </w:pPr>
    </w:p>
    <w:p w14:paraId="0408A684" w14:textId="77777777" w:rsidR="0084489F" w:rsidRDefault="00110FE6">
      <w:pPr>
        <w:pStyle w:val="Heading2"/>
      </w:pPr>
      <w:bookmarkStart w:id="520" w:name="_Toc176864640"/>
      <w:bookmarkStart w:id="521" w:name="X3d83cb5bc3288ef6cfb4d9d695ba8f6547ae0bc"/>
      <w:bookmarkEnd w:id="519"/>
      <w:r>
        <w:t>P150 définit les éléments typiques de (définit l’ensemble typique pour)</w:t>
      </w:r>
      <w:bookmarkEnd w:id="520"/>
    </w:p>
    <w:p w14:paraId="5AE8CC5A" w14:textId="77777777" w:rsidR="0084489F" w:rsidRDefault="00110FE6">
      <w:pPr>
        <w:pStyle w:val="FirstParagraph"/>
      </w:pPr>
      <w:r>
        <w:rPr>
          <w:b/>
          <w:bCs/>
        </w:rPr>
        <w:t>Domaine</w:t>
      </w:r>
    </w:p>
    <w:p w14:paraId="2FF46D97" w14:textId="77777777" w:rsidR="0084489F" w:rsidRDefault="00110FE6">
      <w:pPr>
        <w:pStyle w:val="BodyText"/>
      </w:pPr>
      <w:r>
        <w:rPr>
          <w:rStyle w:val="VerbatimChar"/>
        </w:rPr>
        <w:t>E55_Type</w:t>
      </w:r>
    </w:p>
    <w:p w14:paraId="4F1D0BFA" w14:textId="77777777" w:rsidR="0084489F" w:rsidRDefault="00110FE6">
      <w:pPr>
        <w:pStyle w:val="BodyText"/>
      </w:pPr>
      <w:r>
        <w:rPr>
          <w:b/>
          <w:bCs/>
        </w:rPr>
        <w:t>Portée</w:t>
      </w:r>
    </w:p>
    <w:p w14:paraId="286152A9" w14:textId="77777777" w:rsidR="0084489F" w:rsidRDefault="00110FE6">
      <w:pPr>
        <w:pStyle w:val="BodyText"/>
      </w:pPr>
      <w:r>
        <w:rPr>
          <w:rStyle w:val="VerbatimChar"/>
        </w:rPr>
        <w:t>E55_Type</w:t>
      </w:r>
    </w:p>
    <w:p w14:paraId="38ACD2E5" w14:textId="77777777" w:rsidR="0084489F" w:rsidRDefault="00110FE6">
      <w:pPr>
        <w:pStyle w:val="BodyText"/>
      </w:pPr>
      <w:r>
        <w:rPr>
          <w:b/>
          <w:bCs/>
        </w:rPr>
        <w:t>Sous-propriété de</w:t>
      </w:r>
    </w:p>
    <w:p w14:paraId="59236931" w14:textId="77777777" w:rsidR="0084489F" w:rsidRDefault="00110FE6">
      <w:pPr>
        <w:pStyle w:val="BodyText"/>
      </w:pPr>
      <w:r>
        <w:rPr>
          <w:b/>
          <w:bCs/>
        </w:rPr>
        <w:t>Super-propriété de</w:t>
      </w:r>
    </w:p>
    <w:p w14:paraId="3E875A03" w14:textId="77777777" w:rsidR="0084489F" w:rsidRDefault="00110FE6">
      <w:pPr>
        <w:pStyle w:val="BodyText"/>
      </w:pPr>
      <w:r>
        <w:rPr>
          <w:b/>
          <w:bCs/>
        </w:rPr>
        <w:t>Quantification</w:t>
      </w:r>
    </w:p>
    <w:p w14:paraId="6994FD6E" w14:textId="77777777" w:rsidR="0084489F" w:rsidRDefault="00110FE6">
      <w:pPr>
        <w:pStyle w:val="BodyText"/>
      </w:pPr>
      <w:r w:rsidRPr="1B9E7434">
        <w:rPr>
          <w:lang w:val="fr-FR"/>
        </w:rPr>
        <w:t>plusieurs à plusieurs (0,n:0,n)</w:t>
      </w:r>
    </w:p>
    <w:p w14:paraId="13CB44B9" w14:textId="77777777" w:rsidR="0084489F" w:rsidRDefault="00110FE6">
      <w:pPr>
        <w:pStyle w:val="BodyText"/>
      </w:pPr>
      <w:r>
        <w:rPr>
          <w:b/>
          <w:bCs/>
        </w:rPr>
        <w:t>Note d’application</w:t>
      </w:r>
    </w:p>
    <w:p w14:paraId="781825ED" w14:textId="77777777" w:rsidR="0084489F" w:rsidRDefault="00110FE6">
      <w:pPr>
        <w:pStyle w:val="BodyText"/>
      </w:pPr>
      <w:r>
        <w:t xml:space="preserve">Cette propriété associe une instance </w:t>
      </w:r>
      <w:r>
        <w:rPr>
          <w:rStyle w:val="VerbatimChar"/>
        </w:rPr>
        <w:t>E55_Type</w:t>
      </w:r>
      <w:r>
        <w:t xml:space="preserve"> de type « A » avec une instance </w:t>
      </w:r>
      <w:r>
        <w:rPr>
          <w:rStyle w:val="VerbatimChar"/>
        </w:rPr>
        <w:t>E55_Type</w:t>
      </w:r>
      <w:r>
        <w:t xml:space="preserve"> de type « B », lorsque des entités de type « A » forment typiquement des éléments d’entités de type « B », tels que les « moteurs de voiture » et les « voitures ».</w:t>
      </w:r>
    </w:p>
    <w:p w14:paraId="5173E231" w14:textId="77777777" w:rsidR="0084489F" w:rsidRDefault="00110FE6">
      <w:pPr>
        <w:pStyle w:val="BodyText"/>
      </w:pPr>
      <w:r w:rsidRPr="1B9E7434">
        <w:rPr>
          <w:lang w:val="fr-FR"/>
        </w:rPr>
        <w:lastRenderedPageBreak/>
        <w:t>Cela permet aux types « A » et « B » d’être organisés en hiérarchies basées sur un type décrivant des éléments typiques d’un autre type. Cette propriété est équivalente au « terme générique partitif (TGP) » défini par la norme ISO 2788 et par la propriété « </w:t>
      </w:r>
      <w:r w:rsidRPr="1B9E7434">
        <w:rPr>
          <w:rStyle w:val="VerbatimChar"/>
          <w:lang w:val="fr-FR"/>
        </w:rPr>
        <w:t>broaderPartitive</w:t>
      </w:r>
      <w:r w:rsidRPr="1B9E7434">
        <w:rPr>
          <w:lang w:val="fr-FR"/>
        </w:rPr>
        <w:t> » dans la recommandation SKOS.</w:t>
      </w:r>
    </w:p>
    <w:p w14:paraId="65B95D9F" w14:textId="77777777" w:rsidR="0084489F" w:rsidRDefault="00110FE6">
      <w:pPr>
        <w:pStyle w:val="BodyText"/>
      </w:pPr>
      <w:r>
        <w:t>La propriété n’est pas transitive, mais est asymétrique.</w:t>
      </w:r>
    </w:p>
    <w:p w14:paraId="13498537" w14:textId="77777777" w:rsidR="0084489F" w:rsidRDefault="00110FE6">
      <w:pPr>
        <w:pStyle w:val="BodyText"/>
      </w:pPr>
      <w:r>
        <w:rPr>
          <w:b/>
          <w:bCs/>
        </w:rPr>
        <w:t>Exemples</w:t>
      </w:r>
    </w:p>
    <w:p w14:paraId="06884A67" w14:textId="77777777" w:rsidR="0084489F" w:rsidRDefault="00110FE6" w:rsidP="00806324">
      <w:pPr>
        <w:numPr>
          <w:ilvl w:val="0"/>
          <w:numId w:val="260"/>
        </w:numPr>
      </w:pPr>
      <w:r>
        <w:t>Les moteurs de voiture (</w:t>
      </w:r>
      <w:r>
        <w:rPr>
          <w:rStyle w:val="VerbatimChar"/>
        </w:rPr>
        <w:t>E55_Type</w:t>
      </w:r>
      <w:r>
        <w:t>) définissent les éléments typiques (</w:t>
      </w:r>
      <w:r>
        <w:rPr>
          <w:rStyle w:val="VerbatimChar"/>
        </w:rPr>
        <w:t>P150_définit_les_éléments_typiques_de</w:t>
      </w:r>
      <w:r>
        <w:t>) des voitures (</w:t>
      </w:r>
      <w:r>
        <w:rPr>
          <w:rStyle w:val="VerbatimChar"/>
        </w:rPr>
        <w:t>E55_Type</w:t>
      </w:r>
      <w:r>
        <w:t>) (fictif)</w:t>
      </w:r>
    </w:p>
    <w:p w14:paraId="359B0678" w14:textId="77777777" w:rsidR="0084489F" w:rsidRDefault="00110FE6">
      <w:pPr>
        <w:pStyle w:val="FirstParagraph"/>
      </w:pPr>
      <w:r>
        <w:rPr>
          <w:b/>
          <w:bCs/>
        </w:rPr>
        <w:t>Logique</w:t>
      </w:r>
    </w:p>
    <w:p w14:paraId="1753F426" w14:textId="77777777" w:rsidR="0084489F" w:rsidRDefault="00110FE6">
      <w:pPr>
        <w:pStyle w:val="BodyText"/>
      </w:pPr>
      <w:r w:rsidRPr="1B9E7434">
        <w:rPr>
          <w:lang w:val="fr-FR"/>
        </w:rPr>
        <w:t>P150(x,y) ⇒ E55(x)</w:t>
      </w:r>
    </w:p>
    <w:p w14:paraId="0ACA2562" w14:textId="77777777" w:rsidR="0084489F" w:rsidRDefault="00110FE6">
      <w:pPr>
        <w:pStyle w:val="BodyText"/>
      </w:pPr>
      <w:r w:rsidRPr="1B9E7434">
        <w:rPr>
          <w:lang w:val="fr-FR"/>
        </w:rPr>
        <w:t>P150(x,y) ⇒ E55(y)</w:t>
      </w:r>
    </w:p>
    <w:p w14:paraId="0808D056" w14:textId="77777777" w:rsidR="0084489F" w:rsidRDefault="00110FE6">
      <w:pPr>
        <w:pStyle w:val="BodyText"/>
      </w:pPr>
      <w:r w:rsidRPr="1B9E7434">
        <w:rPr>
          <w:lang w:val="fr-FR"/>
        </w:rPr>
        <w:t>P150(x,y) ⇒ ¬P150(y,x)</w:t>
      </w:r>
    </w:p>
    <w:p w14:paraId="552D1B67" w14:textId="77777777" w:rsidR="0084489F" w:rsidRDefault="00110FE6">
      <w:pPr>
        <w:pStyle w:val="BodyText"/>
      </w:pPr>
      <w:r>
        <w:rPr>
          <w:b/>
          <w:bCs/>
        </w:rPr>
        <w:t>Propriétés</w:t>
      </w:r>
    </w:p>
    <w:p w14:paraId="3E81260B" w14:textId="77777777" w:rsidR="0084489F" w:rsidRDefault="00110FE6">
      <w:pPr>
        <w:pStyle w:val="BlockText"/>
      </w:pPr>
      <w:r>
        <w:rPr>
          <w:b/>
          <w:bCs/>
          <w:i/>
          <w:iCs/>
        </w:rPr>
        <w:t>Note de traduction</w:t>
      </w:r>
    </w:p>
    <w:p w14:paraId="7B9D55D9" w14:textId="77777777" w:rsidR="0084489F" w:rsidRDefault="00110FE6">
      <w:pPr>
        <w:pStyle w:val="BlockText"/>
      </w:pPr>
      <w:r>
        <w:rPr>
          <w:b/>
          <w:bCs/>
          <w:i/>
          <w:iCs/>
        </w:rPr>
        <w:t>Références</w:t>
      </w:r>
    </w:p>
    <w:p w14:paraId="5DF36E93" w14:textId="77777777" w:rsidR="0084489F" w:rsidRDefault="0084489F">
      <w:pPr>
        <w:pStyle w:val="BlockText"/>
      </w:pPr>
    </w:p>
    <w:p w14:paraId="5EE5EA46" w14:textId="77777777" w:rsidR="0084489F" w:rsidRDefault="00110FE6">
      <w:pPr>
        <w:pStyle w:val="Heading2"/>
      </w:pPr>
      <w:bookmarkStart w:id="522" w:name="_Toc176864641"/>
      <w:bookmarkStart w:id="523" w:name="X27bef95c9de4b0a591355b7bda11f3791f130de"/>
      <w:bookmarkEnd w:id="521"/>
      <w:r>
        <w:t>P151 a été formé à partir de (a participé à)</w:t>
      </w:r>
      <w:bookmarkEnd w:id="522"/>
    </w:p>
    <w:p w14:paraId="35595659" w14:textId="77777777" w:rsidR="0084489F" w:rsidRDefault="00110FE6">
      <w:pPr>
        <w:pStyle w:val="FirstParagraph"/>
      </w:pPr>
      <w:r>
        <w:rPr>
          <w:b/>
          <w:bCs/>
        </w:rPr>
        <w:t>Domaine</w:t>
      </w:r>
    </w:p>
    <w:p w14:paraId="3F5262C8" w14:textId="77777777" w:rsidR="0084489F" w:rsidRDefault="00110FE6">
      <w:pPr>
        <w:pStyle w:val="BodyText"/>
      </w:pPr>
      <w:r>
        <w:rPr>
          <w:rStyle w:val="VerbatimChar"/>
        </w:rPr>
        <w:t>E66_Formation</w:t>
      </w:r>
    </w:p>
    <w:p w14:paraId="56A47350" w14:textId="77777777" w:rsidR="0084489F" w:rsidRDefault="00110FE6">
      <w:pPr>
        <w:pStyle w:val="BodyText"/>
      </w:pPr>
      <w:r>
        <w:rPr>
          <w:b/>
          <w:bCs/>
        </w:rPr>
        <w:t>Portée</w:t>
      </w:r>
    </w:p>
    <w:p w14:paraId="7DE8AA09" w14:textId="77777777" w:rsidR="0084489F" w:rsidRDefault="00110FE6">
      <w:pPr>
        <w:pStyle w:val="BodyText"/>
      </w:pPr>
      <w:r>
        <w:rPr>
          <w:rStyle w:val="VerbatimChar"/>
        </w:rPr>
        <w:t>E74_Groupe</w:t>
      </w:r>
    </w:p>
    <w:p w14:paraId="61D023A3" w14:textId="77777777" w:rsidR="0084489F" w:rsidRDefault="00110FE6">
      <w:pPr>
        <w:pStyle w:val="BodyText"/>
      </w:pPr>
      <w:r>
        <w:rPr>
          <w:b/>
          <w:bCs/>
        </w:rPr>
        <w:t>Sous-propriété de</w:t>
      </w:r>
    </w:p>
    <w:p w14:paraId="08F41489" w14:textId="77777777" w:rsidR="0084489F" w:rsidRDefault="00110FE6">
      <w:pPr>
        <w:pStyle w:val="BodyText"/>
      </w:pPr>
      <w:r w:rsidRPr="1B9E7434">
        <w:rPr>
          <w:rStyle w:val="VerbatimChar"/>
          <w:lang w:val="fr-FR"/>
        </w:rPr>
        <w:t>E5_Évènement</w:t>
      </w:r>
      <w:r w:rsidRPr="1B9E7434">
        <w:rPr>
          <w:lang w:val="fr-FR"/>
        </w:rPr>
        <w:t xml:space="preserve">. </w:t>
      </w:r>
      <w:r w:rsidRPr="1B9E7434">
        <w:rPr>
          <w:rStyle w:val="VerbatimChar"/>
          <w:lang w:val="fr-FR"/>
        </w:rPr>
        <w:t>P11_a_eu_pour_actant_participant (a_participé_à)</w:t>
      </w:r>
      <w:r w:rsidRPr="1B9E7434">
        <w:rPr>
          <w:lang w:val="fr-FR"/>
        </w:rPr>
        <w:t xml:space="preserve"> : </w:t>
      </w:r>
      <w:r w:rsidRPr="1B9E7434">
        <w:rPr>
          <w:rStyle w:val="VerbatimChar"/>
          <w:lang w:val="fr-FR"/>
        </w:rPr>
        <w:t>E39_Actant</w:t>
      </w:r>
    </w:p>
    <w:p w14:paraId="16C489F6" w14:textId="77777777" w:rsidR="0084489F" w:rsidRDefault="00110FE6">
      <w:pPr>
        <w:pStyle w:val="BodyText"/>
      </w:pPr>
      <w:r>
        <w:rPr>
          <w:b/>
          <w:bCs/>
        </w:rPr>
        <w:t>Super-propriété de</w:t>
      </w:r>
    </w:p>
    <w:p w14:paraId="0CED7312" w14:textId="77777777" w:rsidR="0084489F" w:rsidRDefault="00110FE6">
      <w:pPr>
        <w:pStyle w:val="BodyText"/>
      </w:pPr>
      <w:r>
        <w:rPr>
          <w:b/>
          <w:bCs/>
        </w:rPr>
        <w:t>Quantification</w:t>
      </w:r>
    </w:p>
    <w:p w14:paraId="0C641EB5" w14:textId="77777777" w:rsidR="0084489F" w:rsidRDefault="00110FE6">
      <w:pPr>
        <w:pStyle w:val="BodyText"/>
      </w:pPr>
      <w:r w:rsidRPr="1B9E7434">
        <w:rPr>
          <w:lang w:val="fr-FR"/>
        </w:rPr>
        <w:t>plusieurs à plusieurs (0,n:0,n)</w:t>
      </w:r>
    </w:p>
    <w:p w14:paraId="77FABCD3" w14:textId="77777777" w:rsidR="0084489F" w:rsidRDefault="00110FE6">
      <w:pPr>
        <w:pStyle w:val="BodyText"/>
      </w:pPr>
      <w:r>
        <w:rPr>
          <w:b/>
          <w:bCs/>
        </w:rPr>
        <w:t>Note d’application</w:t>
      </w:r>
    </w:p>
    <w:p w14:paraId="692AD7E5" w14:textId="77777777" w:rsidR="0084489F" w:rsidRDefault="00110FE6">
      <w:pPr>
        <w:pStyle w:val="BodyText"/>
      </w:pPr>
      <w:r>
        <w:t xml:space="preserve">Cette propriété associe une instance de </w:t>
      </w:r>
      <w:r>
        <w:rPr>
          <w:rStyle w:val="VerbatimChar"/>
        </w:rPr>
        <w:t>E66_Formation</w:t>
      </w:r>
      <w:r>
        <w:t xml:space="preserve"> à l’instance de </w:t>
      </w:r>
      <w:r>
        <w:rPr>
          <w:rStyle w:val="VerbatimChar"/>
        </w:rPr>
        <w:t>E74_Groupe</w:t>
      </w:r>
      <w:r>
        <w:t xml:space="preserve"> à partir de laquelle un nouveau groupe a été fondé tout en conservant une forme de continuité, tel que dans la mission, les membres ou la tradition.</w:t>
      </w:r>
    </w:p>
    <w:p w14:paraId="2BA9661A" w14:textId="77777777" w:rsidR="0084489F" w:rsidRDefault="00110FE6">
      <w:pPr>
        <w:pStyle w:val="BodyText"/>
      </w:pPr>
      <w:r>
        <w:rPr>
          <w:b/>
          <w:bCs/>
        </w:rPr>
        <w:t>Exemples</w:t>
      </w:r>
    </w:p>
    <w:p w14:paraId="1CBEBB3B" w14:textId="7C5D7E60" w:rsidR="0084489F" w:rsidRDefault="00110FE6" w:rsidP="00806324">
      <w:pPr>
        <w:numPr>
          <w:ilvl w:val="0"/>
          <w:numId w:val="261"/>
        </w:numPr>
      </w:pPr>
      <w:r w:rsidRPr="1B9E7434">
        <w:rPr>
          <w:lang w:val="fr-FR"/>
        </w:rPr>
        <w:t>La formation de la Maison de Bourbon-Conti en 1581 (</w:t>
      </w:r>
      <w:r w:rsidRPr="1B9E7434">
        <w:rPr>
          <w:rStyle w:val="VerbatimChar"/>
          <w:lang w:val="fr-FR"/>
        </w:rPr>
        <w:t>E66_Formation</w:t>
      </w:r>
      <w:r w:rsidRPr="1B9E7434">
        <w:rPr>
          <w:lang w:val="fr-FR"/>
        </w:rPr>
        <w:t>) a été formée à partir de (</w:t>
      </w:r>
      <w:r w:rsidRPr="1B9E7434">
        <w:rPr>
          <w:rStyle w:val="VerbatimChar"/>
          <w:lang w:val="fr-FR"/>
        </w:rPr>
        <w:t>P151_a_été_formé_à_partir_de</w:t>
      </w:r>
      <w:r w:rsidRPr="1B9E7434">
        <w:rPr>
          <w:lang w:val="fr-FR"/>
        </w:rPr>
        <w:t>) la Maison de Condé (</w:t>
      </w:r>
      <w:r w:rsidRPr="1B9E7434">
        <w:rPr>
          <w:rStyle w:val="VerbatimChar"/>
          <w:lang w:val="fr-FR"/>
        </w:rPr>
        <w:t>E74_Groupe</w:t>
      </w:r>
      <w:r w:rsidRPr="1B9E7434">
        <w:rPr>
          <w:lang w:val="fr-FR"/>
        </w:rPr>
        <w:t>) (Collectif &amp; Musée d'art et d'histoire Louis-Senlecq, 1900)</w:t>
      </w:r>
    </w:p>
    <w:p w14:paraId="5C217A5C" w14:textId="77777777" w:rsidR="0084489F" w:rsidRDefault="00110FE6" w:rsidP="00FA3C06">
      <w:pPr>
        <w:pStyle w:val="FirstParagraph"/>
        <w:keepNext/>
      </w:pPr>
      <w:r>
        <w:rPr>
          <w:b/>
          <w:bCs/>
        </w:rPr>
        <w:lastRenderedPageBreak/>
        <w:t>Logique</w:t>
      </w:r>
    </w:p>
    <w:p w14:paraId="0B5FF08B" w14:textId="77777777" w:rsidR="0084489F" w:rsidRDefault="00110FE6" w:rsidP="00FA3C06">
      <w:pPr>
        <w:pStyle w:val="BodyText"/>
        <w:keepNext/>
      </w:pPr>
      <w:r w:rsidRPr="1B9E7434">
        <w:rPr>
          <w:lang w:val="fr-FR"/>
        </w:rPr>
        <w:t>P151(x,y) ⇒ E66(x)</w:t>
      </w:r>
    </w:p>
    <w:p w14:paraId="7A9BC528" w14:textId="77777777" w:rsidR="0084489F" w:rsidRDefault="00110FE6">
      <w:pPr>
        <w:pStyle w:val="BodyText"/>
      </w:pPr>
      <w:r w:rsidRPr="1B9E7434">
        <w:rPr>
          <w:lang w:val="fr-FR"/>
        </w:rPr>
        <w:t>P151(x,y) ⇒ E74(y)</w:t>
      </w:r>
    </w:p>
    <w:p w14:paraId="44E7865E" w14:textId="77777777" w:rsidR="0084489F" w:rsidRDefault="00110FE6">
      <w:pPr>
        <w:pStyle w:val="BodyText"/>
      </w:pPr>
      <w:r w:rsidRPr="1B9E7434">
        <w:rPr>
          <w:lang w:val="fr-FR"/>
        </w:rPr>
        <w:t>P151(x,y) ⇒ P11(x,y)</w:t>
      </w:r>
    </w:p>
    <w:p w14:paraId="011AA14A" w14:textId="77777777" w:rsidR="0084489F" w:rsidRDefault="00110FE6">
      <w:pPr>
        <w:pStyle w:val="BodyText"/>
      </w:pPr>
      <w:r>
        <w:rPr>
          <w:b/>
          <w:bCs/>
        </w:rPr>
        <w:t>Propriétés</w:t>
      </w:r>
    </w:p>
    <w:p w14:paraId="75AA3EE4" w14:textId="77777777" w:rsidR="0084489F" w:rsidRDefault="00110FE6">
      <w:pPr>
        <w:pStyle w:val="BlockText"/>
      </w:pPr>
      <w:r>
        <w:rPr>
          <w:b/>
          <w:bCs/>
          <w:i/>
          <w:iCs/>
        </w:rPr>
        <w:t>Note de traduction</w:t>
      </w:r>
    </w:p>
    <w:p w14:paraId="1F3B94B6" w14:textId="77777777" w:rsidR="0084489F" w:rsidRDefault="00110FE6">
      <w:pPr>
        <w:pStyle w:val="BlockText"/>
      </w:pPr>
      <w:r>
        <w:rPr>
          <w:b/>
          <w:bCs/>
          <w:i/>
          <w:iCs/>
        </w:rPr>
        <w:t>Références</w:t>
      </w:r>
    </w:p>
    <w:p w14:paraId="4BC4CE14" w14:textId="77777777" w:rsidR="0084489F" w:rsidRDefault="0084489F">
      <w:pPr>
        <w:pStyle w:val="BlockText"/>
      </w:pPr>
    </w:p>
    <w:p w14:paraId="5822A570" w14:textId="77777777" w:rsidR="0084489F" w:rsidRDefault="00110FE6">
      <w:pPr>
        <w:pStyle w:val="Heading2"/>
      </w:pPr>
      <w:bookmarkStart w:id="524" w:name="_Toc176864642"/>
      <w:bookmarkStart w:id="525" w:name="p152-a-pour-parent-(est-le-parent-de)"/>
      <w:bookmarkEnd w:id="523"/>
      <w:r>
        <w:t>P152 a pour parent (est le parent de)</w:t>
      </w:r>
      <w:bookmarkEnd w:id="524"/>
    </w:p>
    <w:p w14:paraId="4431A12A" w14:textId="77777777" w:rsidR="0084489F" w:rsidRDefault="00110FE6">
      <w:pPr>
        <w:pStyle w:val="FirstParagraph"/>
      </w:pPr>
      <w:r>
        <w:rPr>
          <w:b/>
          <w:bCs/>
        </w:rPr>
        <w:t>Domaine</w:t>
      </w:r>
    </w:p>
    <w:p w14:paraId="3F009C2E" w14:textId="77777777" w:rsidR="0084489F" w:rsidRDefault="00110FE6">
      <w:pPr>
        <w:pStyle w:val="BodyText"/>
      </w:pPr>
      <w:r>
        <w:rPr>
          <w:rStyle w:val="VerbatimChar"/>
        </w:rPr>
        <w:t>E21_Personne</w:t>
      </w:r>
    </w:p>
    <w:p w14:paraId="157454F9" w14:textId="77777777" w:rsidR="0084489F" w:rsidRDefault="00110FE6">
      <w:pPr>
        <w:pStyle w:val="BodyText"/>
      </w:pPr>
      <w:r>
        <w:rPr>
          <w:b/>
          <w:bCs/>
        </w:rPr>
        <w:t>Portée</w:t>
      </w:r>
    </w:p>
    <w:p w14:paraId="2AEC9A24" w14:textId="77777777" w:rsidR="0084489F" w:rsidRDefault="00110FE6">
      <w:pPr>
        <w:pStyle w:val="BodyText"/>
      </w:pPr>
      <w:r>
        <w:rPr>
          <w:rStyle w:val="VerbatimChar"/>
        </w:rPr>
        <w:t>E21_Personne</w:t>
      </w:r>
    </w:p>
    <w:p w14:paraId="51E22E12" w14:textId="77777777" w:rsidR="0084489F" w:rsidRDefault="00110FE6">
      <w:pPr>
        <w:pStyle w:val="BodyText"/>
      </w:pPr>
      <w:r>
        <w:rPr>
          <w:b/>
          <w:bCs/>
        </w:rPr>
        <w:t>Sous-propriété de</w:t>
      </w:r>
    </w:p>
    <w:p w14:paraId="6D0E3DF4" w14:textId="77777777" w:rsidR="0084489F" w:rsidRDefault="00110FE6">
      <w:pPr>
        <w:pStyle w:val="BodyText"/>
      </w:pPr>
      <w:r>
        <w:rPr>
          <w:b/>
          <w:bCs/>
        </w:rPr>
        <w:t>Super-propriété de</w:t>
      </w:r>
    </w:p>
    <w:p w14:paraId="566BBC8A" w14:textId="77777777" w:rsidR="0084489F" w:rsidRDefault="00110FE6">
      <w:pPr>
        <w:pStyle w:val="BodyText"/>
      </w:pPr>
      <w:r>
        <w:rPr>
          <w:b/>
          <w:bCs/>
        </w:rPr>
        <w:t>Quantification</w:t>
      </w:r>
    </w:p>
    <w:p w14:paraId="7E2CE08E" w14:textId="77777777" w:rsidR="0084489F" w:rsidRDefault="00110FE6">
      <w:pPr>
        <w:pStyle w:val="BodyText"/>
      </w:pPr>
      <w:r w:rsidRPr="1B9E7434">
        <w:rPr>
          <w:lang w:val="fr-FR"/>
        </w:rPr>
        <w:t>plusieurs à plusieurs, nécessaire (2,n:0,n)</w:t>
      </w:r>
    </w:p>
    <w:p w14:paraId="1AAFB368" w14:textId="77777777" w:rsidR="0084489F" w:rsidRDefault="00110FE6">
      <w:pPr>
        <w:pStyle w:val="BodyText"/>
      </w:pPr>
      <w:r>
        <w:rPr>
          <w:b/>
          <w:bCs/>
        </w:rPr>
        <w:t>Note d’application</w:t>
      </w:r>
    </w:p>
    <w:p w14:paraId="61824E28" w14:textId="77777777" w:rsidR="0084489F" w:rsidRDefault="00110FE6">
      <w:pPr>
        <w:pStyle w:val="BodyText"/>
      </w:pPr>
      <w:r>
        <w:t xml:space="preserve">Cette propriété associe une instance de </w:t>
      </w:r>
      <w:r>
        <w:rPr>
          <w:rStyle w:val="VerbatimChar"/>
        </w:rPr>
        <w:t>E21_Personne</w:t>
      </w:r>
      <w:r>
        <w:t xml:space="preserve"> avec une autre instance de </w:t>
      </w:r>
      <w:r>
        <w:rPr>
          <w:rStyle w:val="VerbatimChar"/>
        </w:rPr>
        <w:t>E21_Personne</w:t>
      </w:r>
      <w:r>
        <w:t xml:space="preserve"> qui joue le rôle de parent de la première. Cette relation parentale peut être caractérisée par un lien biologique, qu’il soit supposé, prétendu ou attesté, ou par toute autre forme équivalente de statut légal impliquant des droits et devoirs obtenus par un acte social ou légal.</w:t>
      </w:r>
    </w:p>
    <w:p w14:paraId="5EFD4945" w14:textId="77777777" w:rsidR="0084489F" w:rsidRDefault="00110FE6">
      <w:pPr>
        <w:pStyle w:val="BodyText"/>
      </w:pPr>
      <w:r w:rsidRPr="1B9E7434">
        <w:rPr>
          <w:lang w:val="fr-FR"/>
        </w:rPr>
        <w:t>Cette propriété est, parmis d’autres, un raccourci des chemins sémantiques suivants :</w:t>
      </w:r>
    </w:p>
    <w:p w14:paraId="35F0B5C2" w14:textId="77777777" w:rsidR="0084489F" w:rsidRDefault="00110FE6">
      <w:pPr>
        <w:pStyle w:val="BodyText"/>
      </w:pPr>
      <w:r>
        <w:rPr>
          <w:rStyle w:val="VerbatimChar"/>
        </w:rPr>
        <w:t>E21_Personne</w:t>
      </w:r>
      <w:r>
        <w:t xml:space="preserve">, </w:t>
      </w:r>
      <w:r>
        <w:rPr>
          <w:rStyle w:val="VerbatimChar"/>
        </w:rPr>
        <w:t>P98i_est_né</w:t>
      </w:r>
      <w:r>
        <w:t xml:space="preserve">, </w:t>
      </w:r>
      <w:r>
        <w:rPr>
          <w:rStyle w:val="VerbatimChar"/>
        </w:rPr>
        <w:t>E67_Naissance</w:t>
      </w:r>
      <w:r>
        <w:t xml:space="preserve">, </w:t>
      </w:r>
      <w:r>
        <w:rPr>
          <w:rStyle w:val="VerbatimChar"/>
        </w:rPr>
        <w:t>P96_de_mère</w:t>
      </w:r>
      <w:r>
        <w:t xml:space="preserve">, </w:t>
      </w:r>
      <w:r>
        <w:rPr>
          <w:rStyle w:val="VerbatimChar"/>
        </w:rPr>
        <w:t>E21_Personne</w:t>
      </w:r>
    </w:p>
    <w:p w14:paraId="6E799736" w14:textId="77777777" w:rsidR="0084489F" w:rsidRDefault="00110FE6">
      <w:pPr>
        <w:pStyle w:val="BodyText"/>
      </w:pPr>
      <w:r>
        <w:rPr>
          <w:rStyle w:val="VerbatimChar"/>
        </w:rPr>
        <w:t>E21_Personne</w:t>
      </w:r>
      <w:r>
        <w:t xml:space="preserve">, </w:t>
      </w:r>
      <w:r>
        <w:rPr>
          <w:rStyle w:val="VerbatimChar"/>
        </w:rPr>
        <w:t>P98i_est_né</w:t>
      </w:r>
      <w:r>
        <w:t xml:space="preserve">, </w:t>
      </w:r>
      <w:r>
        <w:rPr>
          <w:rStyle w:val="VerbatimChar"/>
        </w:rPr>
        <w:t>E67_Naissance</w:t>
      </w:r>
      <w:r>
        <w:t xml:space="preserve">, </w:t>
      </w:r>
      <w:r>
        <w:rPr>
          <w:rStyle w:val="VerbatimChar"/>
        </w:rPr>
        <w:t>P97_de_père</w:t>
      </w:r>
      <w:r>
        <w:t xml:space="preserve">, </w:t>
      </w:r>
      <w:r>
        <w:rPr>
          <w:rStyle w:val="VerbatimChar"/>
        </w:rPr>
        <w:t>E21_Personne</w:t>
      </w:r>
      <w:r>
        <w:t>.</w:t>
      </w:r>
    </w:p>
    <w:p w14:paraId="49AAD440" w14:textId="77777777" w:rsidR="0084489F" w:rsidRDefault="00110FE6">
      <w:pPr>
        <w:pStyle w:val="BodyText"/>
      </w:pPr>
      <w:r w:rsidRPr="1B9E7434">
        <w:rPr>
          <w:lang w:val="fr-FR"/>
        </w:rPr>
        <w:t>Cette propriété est non transitive et irréflexive.</w:t>
      </w:r>
    </w:p>
    <w:p w14:paraId="399D68CD" w14:textId="77777777" w:rsidR="0084489F" w:rsidRDefault="00110FE6">
      <w:pPr>
        <w:pStyle w:val="BodyText"/>
      </w:pPr>
      <w:r>
        <w:rPr>
          <w:b/>
          <w:bCs/>
        </w:rPr>
        <w:t>Exemples</w:t>
      </w:r>
    </w:p>
    <w:p w14:paraId="66CA5A3C" w14:textId="1A32C9DD" w:rsidR="0084489F" w:rsidRDefault="00110FE6" w:rsidP="00806324">
      <w:pPr>
        <w:numPr>
          <w:ilvl w:val="0"/>
          <w:numId w:val="262"/>
        </w:numPr>
      </w:pPr>
      <w:r w:rsidRPr="1B9E7434">
        <w:rPr>
          <w:lang w:val="fr-FR"/>
        </w:rPr>
        <w:t>Gaius Octavius (</w:t>
      </w:r>
      <w:r w:rsidRPr="1B9E7434">
        <w:rPr>
          <w:rStyle w:val="VerbatimChar"/>
          <w:lang w:val="fr-FR"/>
        </w:rPr>
        <w:t>E21_Personne</w:t>
      </w:r>
      <w:r w:rsidRPr="1B9E7434">
        <w:rPr>
          <w:lang w:val="fr-FR"/>
        </w:rPr>
        <w:t>) a pour parent (</w:t>
      </w:r>
      <w:r w:rsidRPr="1B9E7434">
        <w:rPr>
          <w:rStyle w:val="VerbatimChar"/>
          <w:lang w:val="fr-FR"/>
        </w:rPr>
        <w:t>P152_a_pour_parent</w:t>
      </w:r>
      <w:r w:rsidRPr="1B9E7434">
        <w:rPr>
          <w:lang w:val="fr-FR"/>
        </w:rPr>
        <w:t>) Jules César (</w:t>
      </w:r>
      <w:r w:rsidRPr="1B9E7434">
        <w:rPr>
          <w:rStyle w:val="VerbatimChar"/>
          <w:lang w:val="fr-FR"/>
        </w:rPr>
        <w:t>E21_Personne</w:t>
      </w:r>
      <w:r w:rsidRPr="1B9E7434">
        <w:rPr>
          <w:lang w:val="fr-FR"/>
        </w:rPr>
        <w:t>) (Bleicken &amp; Bell, 2015)</w:t>
      </w:r>
    </w:p>
    <w:p w14:paraId="7BF4A0DC" w14:textId="1951DE1F" w:rsidR="0084489F" w:rsidRDefault="00110FE6" w:rsidP="00806324">
      <w:pPr>
        <w:numPr>
          <w:ilvl w:val="0"/>
          <w:numId w:val="262"/>
        </w:numPr>
      </w:pPr>
      <w:r w:rsidRPr="1B9E7434">
        <w:rPr>
          <w:lang w:val="fr-FR"/>
        </w:rPr>
        <w:t>Steve Jobs (</w:t>
      </w:r>
      <w:r w:rsidRPr="1B9E7434">
        <w:rPr>
          <w:rStyle w:val="VerbatimChar"/>
          <w:lang w:val="fr-FR"/>
        </w:rPr>
        <w:t>E21_Personne</w:t>
      </w:r>
      <w:r w:rsidRPr="1B9E7434">
        <w:rPr>
          <w:lang w:val="fr-FR"/>
        </w:rPr>
        <w:t>) a pour parent (</w:t>
      </w:r>
      <w:r w:rsidRPr="1B9E7434">
        <w:rPr>
          <w:rStyle w:val="VerbatimChar"/>
          <w:lang w:val="fr-FR"/>
        </w:rPr>
        <w:t>P152_a_pour_parent</w:t>
      </w:r>
      <w:r w:rsidRPr="1B9E7434">
        <w:rPr>
          <w:lang w:val="fr-FR"/>
        </w:rPr>
        <w:t>) Joanne Simpson [mère biologique] (</w:t>
      </w:r>
      <w:r w:rsidRPr="1B9E7434">
        <w:rPr>
          <w:rStyle w:val="VerbatimChar"/>
          <w:lang w:val="fr-FR"/>
        </w:rPr>
        <w:t>E21_Personne</w:t>
      </w:r>
      <w:r w:rsidRPr="1B9E7434">
        <w:rPr>
          <w:lang w:val="fr-FR"/>
        </w:rPr>
        <w:t>) (Isaacson, 2011)</w:t>
      </w:r>
    </w:p>
    <w:p w14:paraId="72CC1BCB" w14:textId="0E74850D" w:rsidR="0084489F" w:rsidRDefault="00110FE6" w:rsidP="00806324">
      <w:pPr>
        <w:numPr>
          <w:ilvl w:val="0"/>
          <w:numId w:val="262"/>
        </w:numPr>
      </w:pPr>
      <w:r w:rsidRPr="1B9E7434">
        <w:rPr>
          <w:lang w:val="fr-FR"/>
        </w:rPr>
        <w:t>Steve Jobs (</w:t>
      </w:r>
      <w:r w:rsidRPr="1B9E7434">
        <w:rPr>
          <w:rStyle w:val="VerbatimChar"/>
          <w:lang w:val="fr-FR"/>
        </w:rPr>
        <w:t>E21_Personne</w:t>
      </w:r>
      <w:r w:rsidRPr="1B9E7434">
        <w:rPr>
          <w:lang w:val="fr-FR"/>
        </w:rPr>
        <w:t>) a pour parent (</w:t>
      </w:r>
      <w:r w:rsidRPr="1B9E7434">
        <w:rPr>
          <w:rStyle w:val="VerbatimChar"/>
          <w:lang w:val="fr-FR"/>
        </w:rPr>
        <w:t>P152_a_pour_parent</w:t>
      </w:r>
      <w:r w:rsidRPr="1B9E7434">
        <w:rPr>
          <w:lang w:val="fr-FR"/>
        </w:rPr>
        <w:t>) Clara Jobs [mère adoptive] (</w:t>
      </w:r>
      <w:r w:rsidRPr="1B9E7434">
        <w:rPr>
          <w:rStyle w:val="VerbatimChar"/>
          <w:lang w:val="fr-FR"/>
        </w:rPr>
        <w:t>E21_Personne</w:t>
      </w:r>
      <w:r w:rsidRPr="1B9E7434">
        <w:rPr>
          <w:lang w:val="fr-FR"/>
        </w:rPr>
        <w:t>) (Isaacson, 2011)</w:t>
      </w:r>
    </w:p>
    <w:p w14:paraId="1B532EF6" w14:textId="77777777" w:rsidR="0084489F" w:rsidRDefault="00110FE6" w:rsidP="00FA3C06">
      <w:pPr>
        <w:pStyle w:val="FirstParagraph"/>
        <w:keepNext/>
      </w:pPr>
      <w:r>
        <w:rPr>
          <w:b/>
          <w:bCs/>
        </w:rPr>
        <w:lastRenderedPageBreak/>
        <w:t>Logique</w:t>
      </w:r>
    </w:p>
    <w:p w14:paraId="613D62B7" w14:textId="77777777" w:rsidR="0084489F" w:rsidRDefault="00110FE6" w:rsidP="00FA3C06">
      <w:pPr>
        <w:pStyle w:val="BodyText"/>
        <w:keepNext/>
      </w:pPr>
      <w:r w:rsidRPr="1B9E7434">
        <w:rPr>
          <w:lang w:val="fr-FR"/>
        </w:rPr>
        <w:t>P152(x,y) ⇒ E21(x)</w:t>
      </w:r>
    </w:p>
    <w:p w14:paraId="0B00EE09" w14:textId="77777777" w:rsidR="0084489F" w:rsidRDefault="00110FE6">
      <w:pPr>
        <w:pStyle w:val="BodyText"/>
      </w:pPr>
      <w:r w:rsidRPr="1B9E7434">
        <w:rPr>
          <w:lang w:val="fr-FR"/>
        </w:rPr>
        <w:t>P152(x,y) ⇒ E21(y)</w:t>
      </w:r>
    </w:p>
    <w:p w14:paraId="3DB883CB" w14:textId="77777777" w:rsidR="0084489F" w:rsidRDefault="00110FE6">
      <w:pPr>
        <w:pStyle w:val="BodyText"/>
      </w:pPr>
      <w:r w:rsidRPr="1B9E7434">
        <w:rPr>
          <w:lang w:val="fr-FR"/>
        </w:rPr>
        <w:t>P152(x,y) ⇐ (∃z) [E67(z) ˄ P98i(x,z) ˄ P96(z,y)]</w:t>
      </w:r>
    </w:p>
    <w:p w14:paraId="6AA4E93F" w14:textId="77777777" w:rsidR="0084489F" w:rsidRDefault="00110FE6">
      <w:pPr>
        <w:pStyle w:val="BodyText"/>
      </w:pPr>
      <w:r w:rsidRPr="1B9E7434">
        <w:rPr>
          <w:lang w:val="fr-FR"/>
        </w:rPr>
        <w:t>P152(x,y) ⇐ (∃z) [E67(z) ˄ P98i(x,z) ˄ P97(z,y)]</w:t>
      </w:r>
    </w:p>
    <w:p w14:paraId="5395024F" w14:textId="77777777" w:rsidR="0084489F" w:rsidRDefault="00110FE6">
      <w:pPr>
        <w:pStyle w:val="BodyText"/>
      </w:pPr>
      <w:r w:rsidRPr="1B9E7434">
        <w:rPr>
          <w:lang w:val="fr-FR"/>
        </w:rPr>
        <w:t>¬P152(x,x)</w:t>
      </w:r>
    </w:p>
    <w:p w14:paraId="1686642C" w14:textId="77777777" w:rsidR="0084489F" w:rsidRDefault="00110FE6">
      <w:pPr>
        <w:pStyle w:val="BodyText"/>
      </w:pPr>
      <w:r>
        <w:rPr>
          <w:b/>
          <w:bCs/>
        </w:rPr>
        <w:t>Propriétés</w:t>
      </w:r>
    </w:p>
    <w:p w14:paraId="3CBDACCC" w14:textId="77777777" w:rsidR="0084489F" w:rsidRDefault="00110FE6">
      <w:pPr>
        <w:pStyle w:val="BlockText"/>
      </w:pPr>
      <w:r>
        <w:rPr>
          <w:b/>
          <w:bCs/>
          <w:i/>
          <w:iCs/>
        </w:rPr>
        <w:t>Note de traduction</w:t>
      </w:r>
    </w:p>
    <w:p w14:paraId="539AEC85" w14:textId="77777777" w:rsidR="0084489F" w:rsidRDefault="00110FE6">
      <w:pPr>
        <w:pStyle w:val="BlockText"/>
      </w:pPr>
      <w:r>
        <w:rPr>
          <w:b/>
          <w:bCs/>
          <w:i/>
          <w:iCs/>
        </w:rPr>
        <w:t>Références</w:t>
      </w:r>
    </w:p>
    <w:p w14:paraId="79707F0F" w14:textId="77777777" w:rsidR="0084489F" w:rsidRDefault="0084489F">
      <w:pPr>
        <w:pStyle w:val="BlockText"/>
      </w:pPr>
    </w:p>
    <w:p w14:paraId="6BC74CFF" w14:textId="77777777" w:rsidR="0084489F" w:rsidRDefault="00110FE6">
      <w:pPr>
        <w:pStyle w:val="Heading2"/>
      </w:pPr>
      <w:bookmarkStart w:id="526" w:name="_Toc176864643"/>
      <w:bookmarkStart w:id="527" w:name="p156-occupe-(est-occupe-par)"/>
      <w:bookmarkEnd w:id="525"/>
      <w:r>
        <w:t>P156 occupe (est occupé par)</w:t>
      </w:r>
      <w:bookmarkEnd w:id="526"/>
    </w:p>
    <w:p w14:paraId="57E1B7DD" w14:textId="77777777" w:rsidR="0084489F" w:rsidRDefault="00110FE6">
      <w:pPr>
        <w:pStyle w:val="FirstParagraph"/>
      </w:pPr>
      <w:r>
        <w:rPr>
          <w:b/>
          <w:bCs/>
        </w:rPr>
        <w:t>Domaine</w:t>
      </w:r>
    </w:p>
    <w:p w14:paraId="0957826A" w14:textId="77777777" w:rsidR="0084489F" w:rsidRDefault="00110FE6">
      <w:pPr>
        <w:pStyle w:val="BodyText"/>
      </w:pPr>
      <w:r>
        <w:rPr>
          <w:rStyle w:val="VerbatimChar"/>
        </w:rPr>
        <w:t>E18_Chose_matérielle</w:t>
      </w:r>
    </w:p>
    <w:p w14:paraId="7D32C9E9" w14:textId="77777777" w:rsidR="0084489F" w:rsidRDefault="00110FE6">
      <w:pPr>
        <w:pStyle w:val="BodyText"/>
      </w:pPr>
      <w:r>
        <w:rPr>
          <w:b/>
          <w:bCs/>
        </w:rPr>
        <w:t>Portée</w:t>
      </w:r>
    </w:p>
    <w:p w14:paraId="2078F2B2" w14:textId="77777777" w:rsidR="0084489F" w:rsidRDefault="00110FE6">
      <w:pPr>
        <w:pStyle w:val="BodyText"/>
      </w:pPr>
      <w:r>
        <w:rPr>
          <w:rStyle w:val="VerbatimChar"/>
        </w:rPr>
        <w:t>E53_Lieu</w:t>
      </w:r>
    </w:p>
    <w:p w14:paraId="5B0364AA" w14:textId="77777777" w:rsidR="0084489F" w:rsidRDefault="00110FE6">
      <w:pPr>
        <w:pStyle w:val="BodyText"/>
      </w:pPr>
      <w:r>
        <w:rPr>
          <w:b/>
          <w:bCs/>
        </w:rPr>
        <w:t>Sous-propriété de</w:t>
      </w:r>
    </w:p>
    <w:p w14:paraId="2C39AAF8"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P53_a_pour_localisation_actuelle_ou_antérieure (est_la_localisation_actuelle_ou_antérieure_de)</w:t>
      </w:r>
      <w:r w:rsidRPr="1B9E7434">
        <w:rPr>
          <w:lang w:val="fr-FR"/>
        </w:rPr>
        <w:t xml:space="preserve"> : </w:t>
      </w:r>
      <w:r w:rsidRPr="1B9E7434">
        <w:rPr>
          <w:rStyle w:val="VerbatimChar"/>
          <w:lang w:val="fr-FR"/>
        </w:rPr>
        <w:t>E53_Lieu</w:t>
      </w:r>
    </w:p>
    <w:p w14:paraId="3B60C46F"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P157i_procure_l’espace_de_référence_pour (est_à_l’arrêt_par_rapport_à)</w:t>
      </w:r>
      <w:r w:rsidRPr="1B9E7434">
        <w:rPr>
          <w:lang w:val="fr-FR"/>
        </w:rPr>
        <w:t xml:space="preserve"> : </w:t>
      </w:r>
      <w:r w:rsidRPr="1B9E7434">
        <w:rPr>
          <w:rStyle w:val="VerbatimChar"/>
          <w:lang w:val="fr-FR"/>
        </w:rPr>
        <w:t>E53_Lieu</w:t>
      </w:r>
    </w:p>
    <w:p w14:paraId="0A5CB616" w14:textId="77777777" w:rsidR="0084489F" w:rsidRDefault="00110FE6">
      <w:pPr>
        <w:pStyle w:val="BodyText"/>
      </w:pPr>
      <w:r>
        <w:rPr>
          <w:b/>
          <w:bCs/>
        </w:rPr>
        <w:t>Super-propriété de</w:t>
      </w:r>
    </w:p>
    <w:p w14:paraId="21C222B7" w14:textId="77777777" w:rsidR="0084489F" w:rsidRDefault="00110FE6">
      <w:pPr>
        <w:pStyle w:val="BodyText"/>
      </w:pPr>
      <w:r>
        <w:rPr>
          <w:b/>
          <w:bCs/>
        </w:rPr>
        <w:t>Quantification</w:t>
      </w:r>
    </w:p>
    <w:p w14:paraId="2FBA8D37" w14:textId="77777777" w:rsidR="0084489F" w:rsidRDefault="00110FE6">
      <w:pPr>
        <w:pStyle w:val="BodyText"/>
      </w:pPr>
      <w:r w:rsidRPr="1B9E7434">
        <w:rPr>
          <w:lang w:val="fr-FR"/>
        </w:rPr>
        <w:t>plusieurs à un (0,1:0,n)</w:t>
      </w:r>
    </w:p>
    <w:p w14:paraId="22C83C71" w14:textId="77777777" w:rsidR="0084489F" w:rsidRDefault="00110FE6">
      <w:pPr>
        <w:pStyle w:val="BodyText"/>
      </w:pPr>
      <w:r>
        <w:rPr>
          <w:b/>
          <w:bCs/>
        </w:rPr>
        <w:t>Note d’application</w:t>
      </w:r>
    </w:p>
    <w:p w14:paraId="76C37D22" w14:textId="77777777" w:rsidR="0084489F" w:rsidRDefault="00110FE6">
      <w:pPr>
        <w:pStyle w:val="BodyText"/>
      </w:pPr>
      <w:r>
        <w:t xml:space="preserve">Cette propriété décrit l'espace le plus volumineux (une instance de </w:t>
      </w:r>
      <w:r>
        <w:rPr>
          <w:rStyle w:val="VerbatimChar"/>
        </w:rPr>
        <w:t>E53_Lieu</w:t>
      </w:r>
      <w:r>
        <w:t xml:space="preserve">) qu'une instance de </w:t>
      </w:r>
      <w:r>
        <w:rPr>
          <w:rStyle w:val="VerbatimChar"/>
        </w:rPr>
        <w:t>E18_Chose_matérielle</w:t>
      </w:r>
      <w:r>
        <w:t xml:space="preserve"> a occupé durant son existence, ce volume étant déterminé par rapport à l'espace relatif de la chose elle-même. Cette manière de faire permet de décrire la chose comme un lieu pouvant lui-même contenir d'autres choses, par exemple une boîte contenant des pièces de monnaie. En d'autres termes, cette propriété décrit le volume que forment tous les points qu'une chose a recouvert durant son existence.</w:t>
      </w:r>
    </w:p>
    <w:p w14:paraId="44A4897F" w14:textId="77777777" w:rsidR="0084489F" w:rsidRDefault="00110FE6">
      <w:pPr>
        <w:pStyle w:val="BodyText"/>
      </w:pPr>
      <w:r>
        <w:t>L'espace de référence du lieu associé à une chose physique doit être à l'arrêt par rapport à celle-ci (</w:t>
      </w:r>
      <w:r>
        <w:rPr>
          <w:rStyle w:val="VerbatimChar"/>
        </w:rPr>
        <w:t>P157_est_à_l’arrêt_par_rapport_à</w:t>
      </w:r>
      <w:r>
        <w:t>).</w:t>
      </w:r>
    </w:p>
    <w:p w14:paraId="773BA89F" w14:textId="77777777" w:rsidR="0084489F" w:rsidRDefault="00110FE6" w:rsidP="00806324">
      <w:pPr>
        <w:numPr>
          <w:ilvl w:val="0"/>
          <w:numId w:val="263"/>
        </w:numPr>
      </w:pPr>
      <w:r>
        <w:t xml:space="preserve">Dans le cas des instances de </w:t>
      </w:r>
      <w:r>
        <w:rPr>
          <w:rStyle w:val="VerbatimChar"/>
        </w:rPr>
        <w:t>E19_Objet_matériel</w:t>
      </w:r>
      <w:r>
        <w:t>, cet espace de référence est celui qui est à l'arrêt par rapport à l'objet lui-même, c.-à-d. l'espace qui se déplace de concert avec l'objet.</w:t>
      </w:r>
    </w:p>
    <w:p w14:paraId="46C0D3A6" w14:textId="77777777" w:rsidR="0084489F" w:rsidRDefault="00110FE6" w:rsidP="00806324">
      <w:pPr>
        <w:numPr>
          <w:ilvl w:val="0"/>
          <w:numId w:val="263"/>
        </w:numPr>
      </w:pPr>
      <w:r>
        <w:lastRenderedPageBreak/>
        <w:t xml:space="preserve">Dans le cas des instances de </w:t>
      </w:r>
      <w:r>
        <w:rPr>
          <w:rStyle w:val="VerbatimChar"/>
        </w:rPr>
        <w:t>E26_Caractéristique_physique</w:t>
      </w:r>
      <w:r>
        <w:t>, cet espace de référence est celui qui est à l'arrêt par rapport à la caractéristique physique elle-même ainsi qu'à la matière qui y est immédiatement connectée.</w:t>
      </w:r>
    </w:p>
    <w:p w14:paraId="6E8452C1" w14:textId="77777777" w:rsidR="0084489F" w:rsidRDefault="00110FE6">
      <w:pPr>
        <w:pStyle w:val="FirstParagraph"/>
      </w:pPr>
      <w:r w:rsidRPr="1B9E7434">
        <w:rPr>
          <w:lang w:val="fr-FR"/>
        </w:rPr>
        <w:t xml:space="preserve">Il y a donc une relation 1:1 entre une instance de </w:t>
      </w:r>
      <w:r w:rsidRPr="1B9E7434">
        <w:rPr>
          <w:rStyle w:val="VerbatimChar"/>
          <w:lang w:val="fr-FR"/>
        </w:rPr>
        <w:t>E18_Chose_matérielle</w:t>
      </w:r>
      <w:r w:rsidRPr="1B9E7434">
        <w:rPr>
          <w:lang w:val="fr-FR"/>
        </w:rPr>
        <w:t xml:space="preserve"> et l'instance de </w:t>
      </w:r>
      <w:r w:rsidRPr="1B9E7434">
        <w:rPr>
          <w:rStyle w:val="VerbatimChar"/>
          <w:lang w:val="fr-FR"/>
        </w:rPr>
        <w:t>E53_Lieu</w:t>
      </w:r>
      <w:r w:rsidRPr="1B9E7434">
        <w:rPr>
          <w:lang w:val="fr-FR"/>
        </w:rPr>
        <w:t xml:space="preserve"> qu'elle occupe, lequel comprend à la fois l'espace compris par la matière de la chose ainsi que ses interstices internes.</w:t>
      </w:r>
    </w:p>
    <w:p w14:paraId="6567B2F1" w14:textId="77777777" w:rsidR="0084489F" w:rsidRDefault="00110FE6">
      <w:pPr>
        <w:pStyle w:val="BodyText"/>
      </w:pPr>
      <w:r>
        <w:t xml:space="preserve">Cette propriété est un raccourci du chemin sémantique suivant : </w:t>
      </w:r>
      <w:r>
        <w:rPr>
          <w:rStyle w:val="VerbatimChar"/>
        </w:rPr>
        <w:t>E18_Chose_matérielle</w:t>
      </w:r>
      <w:r>
        <w:t xml:space="preserve">, </w:t>
      </w:r>
      <w:r>
        <w:rPr>
          <w:rStyle w:val="VerbatimChar"/>
        </w:rPr>
        <w:t>P196_définit</w:t>
      </w:r>
      <w:r>
        <w:t xml:space="preserve">, </w:t>
      </w:r>
      <w:r>
        <w:rPr>
          <w:rStyle w:val="VerbatimChar"/>
        </w:rPr>
        <w:t>E92_Volume_spatio-temporel</w:t>
      </w:r>
      <w:r>
        <w:t xml:space="preserve">, </w:t>
      </w:r>
      <w:r>
        <w:rPr>
          <w:rStyle w:val="VerbatimChar"/>
        </w:rPr>
        <w:t>P161_a_pour_projection_spatiale</w:t>
      </w:r>
      <w:r>
        <w:t xml:space="preserve">, </w:t>
      </w:r>
      <w:r>
        <w:rPr>
          <w:rStyle w:val="VerbatimChar"/>
        </w:rPr>
        <w:t>E53_Lieu</w:t>
      </w:r>
      <w:r>
        <w:t xml:space="preserve">. Contrairement à la propriété </w:t>
      </w:r>
      <w:r>
        <w:rPr>
          <w:rStyle w:val="VerbatimChar"/>
        </w:rPr>
        <w:t>P156_occupe</w:t>
      </w:r>
      <w:r>
        <w:t xml:space="preserve">, la propriété </w:t>
      </w:r>
      <w:r>
        <w:rPr>
          <w:rStyle w:val="VerbatimChar"/>
        </w:rPr>
        <w:t>P161_a_pour_projection_spatiale</w:t>
      </w:r>
      <w:r>
        <w:t xml:space="preserve"> n'impose pas de contraintes quant à l'espace par rapport auquel est établie l'instance de </w:t>
      </w:r>
      <w:r>
        <w:rPr>
          <w:rStyle w:val="VerbatimChar"/>
        </w:rPr>
        <w:t>E53_Lieu</w:t>
      </w:r>
      <w:r>
        <w:t>.</w:t>
      </w:r>
    </w:p>
    <w:p w14:paraId="5648B911" w14:textId="77777777" w:rsidR="0084489F" w:rsidRDefault="00110FE6">
      <w:pPr>
        <w:pStyle w:val="BodyText"/>
      </w:pPr>
      <w:r>
        <w:t xml:space="preserve">Contrairement à la propriété </w:t>
      </w:r>
      <w:r>
        <w:rPr>
          <w:rStyle w:val="VerbatimChar"/>
        </w:rPr>
        <w:t>P156_occupe</w:t>
      </w:r>
      <w:r>
        <w:t xml:space="preserve">, la propriété </w:t>
      </w:r>
      <w:r>
        <w:rPr>
          <w:rStyle w:val="VerbatimChar"/>
        </w:rPr>
        <w:t>P53_a_pour_localisation_actuelle_ou_antérieure</w:t>
      </w:r>
      <w:r>
        <w:t> :</w:t>
      </w:r>
    </w:p>
    <w:p w14:paraId="3EF0A222" w14:textId="0E2E13EF" w:rsidR="0084489F" w:rsidRDefault="00110FE6" w:rsidP="00806324">
      <w:pPr>
        <w:numPr>
          <w:ilvl w:val="0"/>
          <w:numId w:val="264"/>
        </w:numPr>
      </w:pPr>
      <w:r w:rsidRPr="1B9E7434">
        <w:rPr>
          <w:lang w:val="fr-FR"/>
        </w:rPr>
        <w:t xml:space="preserve">n'impose pas de contraintes quant à l'espace par rapport auquel est établie l'instance de </w:t>
      </w:r>
      <w:r w:rsidRPr="1B9E7434">
        <w:rPr>
          <w:rStyle w:val="VerbatimChar"/>
          <w:lang w:val="fr-FR"/>
        </w:rPr>
        <w:t>E53_Lieu</w:t>
      </w:r>
      <w:r w:rsidRPr="1B9E7434">
        <w:rPr>
          <w:lang w:val="fr-FR"/>
        </w:rPr>
        <w:t>;</w:t>
      </w:r>
    </w:p>
    <w:p w14:paraId="3088CDD7" w14:textId="394FE8A6" w:rsidR="0084489F" w:rsidRDefault="00110FE6" w:rsidP="00806324">
      <w:pPr>
        <w:numPr>
          <w:ilvl w:val="0"/>
          <w:numId w:val="264"/>
        </w:numPr>
      </w:pPr>
      <w:r w:rsidRPr="1B9E7434">
        <w:rPr>
          <w:lang w:val="fr-FR"/>
        </w:rPr>
        <w:t xml:space="preserve">identifie une instance possiblement plus large de </w:t>
      </w:r>
      <w:r w:rsidRPr="1B9E7434">
        <w:rPr>
          <w:rStyle w:val="VerbatimChar"/>
          <w:lang w:val="fr-FR"/>
        </w:rPr>
        <w:t>E53_Lieu</w:t>
      </w:r>
      <w:r w:rsidRPr="1B9E7434">
        <w:rPr>
          <w:lang w:val="fr-FR"/>
        </w:rPr>
        <w:t xml:space="preserve"> à laquelle est ou s'est trouvée la chose pour une période indéterminée.</w:t>
      </w:r>
    </w:p>
    <w:p w14:paraId="0B4D82A2" w14:textId="77777777" w:rsidR="0084489F" w:rsidRDefault="00110FE6">
      <w:pPr>
        <w:pStyle w:val="FirstParagraph"/>
      </w:pPr>
      <w:r>
        <w:t xml:space="preserve">Si l'espace par rapport auquel est établie l'instance de </w:t>
      </w:r>
      <w:r>
        <w:rPr>
          <w:rStyle w:val="VerbatimChar"/>
        </w:rPr>
        <w:t>E53_Lieu</w:t>
      </w:r>
      <w:r>
        <w:t xml:space="preserve"> n'est pas à l'arrêt au regard de la chose physique qui s'y trouve, il est possible que cette chose physique s'éloigne vers un autre lieu après un moment (ou qu'elle se soit trouvée dans un autre lieu auparavant). Cela s'applique en outre pour le chemin sémantique complet mentionné ci-haut : </w:t>
      </w:r>
      <w:r>
        <w:rPr>
          <w:rStyle w:val="VerbatimChar"/>
        </w:rPr>
        <w:t>E18_Chose_matérielle</w:t>
      </w:r>
      <w:r>
        <w:t xml:space="preserve">, </w:t>
      </w:r>
      <w:r>
        <w:rPr>
          <w:rStyle w:val="VerbatimChar"/>
        </w:rPr>
        <w:t>P196_définit</w:t>
      </w:r>
      <w:r>
        <w:t xml:space="preserve">, </w:t>
      </w:r>
      <w:r>
        <w:rPr>
          <w:rStyle w:val="VerbatimChar"/>
        </w:rPr>
        <w:t>E92_Volume_spatio-temporel</w:t>
      </w:r>
      <w:r>
        <w:t xml:space="preserve">, </w:t>
      </w:r>
      <w:r>
        <w:rPr>
          <w:rStyle w:val="VerbatimChar"/>
        </w:rPr>
        <w:t>P161_a_pour_projection_spatiale</w:t>
      </w:r>
      <w:r>
        <w:t xml:space="preserve">, </w:t>
      </w:r>
      <w:r>
        <w:rPr>
          <w:rStyle w:val="VerbatimChar"/>
        </w:rPr>
        <w:t>E53_Lieu</w:t>
      </w:r>
      <w:r>
        <w:t>.</w:t>
      </w:r>
    </w:p>
    <w:p w14:paraId="379925F1" w14:textId="77777777" w:rsidR="0084489F" w:rsidRDefault="00110FE6">
      <w:pPr>
        <w:pStyle w:val="BodyText"/>
      </w:pPr>
      <w:r>
        <w:rPr>
          <w:b/>
          <w:bCs/>
        </w:rPr>
        <w:t>Exemples</w:t>
      </w:r>
    </w:p>
    <w:p w14:paraId="09516506" w14:textId="77777777" w:rsidR="0084489F" w:rsidRDefault="00110FE6" w:rsidP="00806324">
      <w:pPr>
        <w:numPr>
          <w:ilvl w:val="0"/>
          <w:numId w:val="265"/>
        </w:numPr>
      </w:pPr>
      <w:r>
        <w:t>Le reliquaire de Saint-Tite (</w:t>
      </w:r>
      <w:r>
        <w:rPr>
          <w:rStyle w:val="VerbatimChar"/>
        </w:rPr>
        <w:t>E22_Objet_élaboré_par_l’humain</w:t>
      </w:r>
      <w:r>
        <w:t>) occupe (</w:t>
      </w:r>
      <w:r>
        <w:rPr>
          <w:rStyle w:val="VerbatimChar"/>
        </w:rPr>
        <w:t>P156_occupe</w:t>
      </w:r>
      <w:r>
        <w:t>) l'espace du reliquaire de Saint-Tite (</w:t>
      </w:r>
      <w:r>
        <w:rPr>
          <w:rStyle w:val="VerbatimChar"/>
        </w:rPr>
        <w:t>E53_Lieu</w:t>
      </w:r>
      <w:r>
        <w:t>) [le reliquaire se trouve dans l'église Saint-Tite d'Héraklion, en Crète, depuis 1966 et il contient la relique de saint Tite] (Fisher &amp; Garvey, 2010)</w:t>
      </w:r>
    </w:p>
    <w:p w14:paraId="129D3BD3" w14:textId="5EA89D73" w:rsidR="0084489F" w:rsidRDefault="00110FE6" w:rsidP="00806324">
      <w:pPr>
        <w:numPr>
          <w:ilvl w:val="0"/>
          <w:numId w:val="265"/>
        </w:numPr>
      </w:pPr>
      <w:r w:rsidRPr="1B9E7434">
        <w:rPr>
          <w:lang w:val="fr-FR"/>
        </w:rPr>
        <w:t>Le château d'Eltz (</w:t>
      </w:r>
      <w:r w:rsidRPr="1B9E7434">
        <w:rPr>
          <w:rStyle w:val="VerbatimChar"/>
          <w:lang w:val="fr-FR"/>
        </w:rPr>
        <w:t>E24_Chose_matérielle_élaborée_par_l’humain</w:t>
      </w:r>
      <w:r w:rsidRPr="1B9E7434">
        <w:rPr>
          <w:lang w:val="fr-FR"/>
        </w:rPr>
        <w:t>) près de Coblence, en Allemagne, occupe (</w:t>
      </w:r>
      <w:r w:rsidRPr="1B9E7434">
        <w:rPr>
          <w:rStyle w:val="VerbatimChar"/>
          <w:lang w:val="fr-FR"/>
        </w:rPr>
        <w:t>P156_occupe</w:t>
      </w:r>
      <w:r w:rsidRPr="1B9E7434">
        <w:rPr>
          <w:lang w:val="fr-FR"/>
        </w:rPr>
        <w:t>) l'espace se trouvant à l'intérieur des remparts du château d'Eltz (</w:t>
      </w:r>
      <w:r w:rsidRPr="1B9E7434">
        <w:rPr>
          <w:rStyle w:val="VerbatimChar"/>
          <w:lang w:val="fr-FR"/>
        </w:rPr>
        <w:t>E53_Lieu</w:t>
      </w:r>
      <w:r w:rsidRPr="1B9E7434">
        <w:rPr>
          <w:lang w:val="fr-FR"/>
        </w:rPr>
        <w:t>) datant de 1661 EC [une série de travaux d'expansion du château ayant débuté au XII</w:t>
      </w:r>
      <w:r w:rsidRPr="1B9E7434">
        <w:rPr>
          <w:vertAlign w:val="superscript"/>
          <w:lang w:val="fr-FR"/>
        </w:rPr>
        <w:t>e</w:t>
      </w:r>
      <w:r w:rsidRPr="1B9E7434">
        <w:rPr>
          <w:lang w:val="fr-FR"/>
        </w:rPr>
        <w:t> siècle et culminé en 1661 EC a eu pour résultat le château actuel qui comprend des bâtiments de diverses périodes]</w:t>
      </w:r>
    </w:p>
    <w:p w14:paraId="350CBA50" w14:textId="77777777" w:rsidR="0084489F" w:rsidRDefault="00110FE6">
      <w:pPr>
        <w:pStyle w:val="FirstParagraph"/>
      </w:pPr>
      <w:r>
        <w:rPr>
          <w:b/>
          <w:bCs/>
        </w:rPr>
        <w:t>Logique</w:t>
      </w:r>
    </w:p>
    <w:p w14:paraId="44544C6E" w14:textId="77777777" w:rsidR="0084489F" w:rsidRDefault="00110FE6">
      <w:pPr>
        <w:pStyle w:val="BodyText"/>
      </w:pPr>
      <w:r w:rsidRPr="1B9E7434">
        <w:rPr>
          <w:lang w:val="fr-FR"/>
        </w:rPr>
        <w:t>P156(x,y) ⇒ E53(y)</w:t>
      </w:r>
    </w:p>
    <w:p w14:paraId="7104E8BB" w14:textId="77777777" w:rsidR="0084489F" w:rsidRDefault="00110FE6">
      <w:pPr>
        <w:pStyle w:val="BodyText"/>
      </w:pPr>
      <w:r w:rsidRPr="1B9E7434">
        <w:rPr>
          <w:lang w:val="fr-FR"/>
        </w:rPr>
        <w:t>P156(x,y) ⇒ E18(x)</w:t>
      </w:r>
    </w:p>
    <w:p w14:paraId="646146CB" w14:textId="77777777" w:rsidR="0084489F" w:rsidRDefault="00110FE6">
      <w:pPr>
        <w:pStyle w:val="BodyText"/>
      </w:pPr>
      <w:r w:rsidRPr="1B9E7434">
        <w:rPr>
          <w:lang w:val="fr-FR"/>
        </w:rPr>
        <w:t>P156(x,y) ⇔ (∃z) [E18(x) ∧ E53(y) ∧ P196(x,z) ∧ P161(z,y) ∧ P157(y,x)]</w:t>
      </w:r>
    </w:p>
    <w:p w14:paraId="02E5B324" w14:textId="77777777" w:rsidR="0084489F" w:rsidRDefault="00110FE6">
      <w:pPr>
        <w:pStyle w:val="BodyText"/>
      </w:pPr>
      <w:r>
        <w:rPr>
          <w:b/>
          <w:bCs/>
        </w:rPr>
        <w:t>Propriétés</w:t>
      </w:r>
    </w:p>
    <w:p w14:paraId="411613F1" w14:textId="77777777" w:rsidR="0084489F" w:rsidRDefault="00110FE6">
      <w:pPr>
        <w:pStyle w:val="BlockText"/>
      </w:pPr>
      <w:r>
        <w:rPr>
          <w:b/>
          <w:bCs/>
          <w:i/>
          <w:iCs/>
        </w:rPr>
        <w:t>Note de traduction</w:t>
      </w:r>
    </w:p>
    <w:p w14:paraId="0707D04F" w14:textId="77777777" w:rsidR="0084489F" w:rsidRDefault="00110FE6">
      <w:pPr>
        <w:pStyle w:val="BlockText"/>
      </w:pPr>
      <w:r>
        <w:rPr>
          <w:b/>
          <w:bCs/>
          <w:i/>
          <w:iCs/>
        </w:rPr>
        <w:t>Références</w:t>
      </w:r>
    </w:p>
    <w:p w14:paraId="51CF2351" w14:textId="77777777" w:rsidR="0084489F" w:rsidRDefault="0084489F">
      <w:pPr>
        <w:pStyle w:val="BlockText"/>
      </w:pPr>
    </w:p>
    <w:p w14:paraId="128AB23F" w14:textId="77777777" w:rsidR="0084489F" w:rsidRDefault="00110FE6">
      <w:pPr>
        <w:pStyle w:val="Heading2"/>
      </w:pPr>
      <w:bookmarkStart w:id="528" w:name="_Toc176864644"/>
      <w:bookmarkStart w:id="529" w:name="Xfb8c3c426d9a0d9a2932bfd99dea01bef2f5c1b"/>
      <w:bookmarkEnd w:id="527"/>
      <w:r>
        <w:lastRenderedPageBreak/>
        <w:t>P157 est à l’arrêt par rapport à (procure l’espace de référence pour)</w:t>
      </w:r>
      <w:bookmarkEnd w:id="528"/>
    </w:p>
    <w:p w14:paraId="6DE4C9DD" w14:textId="77777777" w:rsidR="0084489F" w:rsidRDefault="00110FE6">
      <w:pPr>
        <w:pStyle w:val="FirstParagraph"/>
      </w:pPr>
      <w:r>
        <w:rPr>
          <w:b/>
          <w:bCs/>
        </w:rPr>
        <w:t>Domaine</w:t>
      </w:r>
    </w:p>
    <w:p w14:paraId="7D211F37" w14:textId="77777777" w:rsidR="0084489F" w:rsidRDefault="00110FE6">
      <w:pPr>
        <w:pStyle w:val="BodyText"/>
      </w:pPr>
      <w:r>
        <w:rPr>
          <w:rStyle w:val="VerbatimChar"/>
        </w:rPr>
        <w:t>E53_Lieu</w:t>
      </w:r>
    </w:p>
    <w:p w14:paraId="7AB76B9A" w14:textId="77777777" w:rsidR="0084489F" w:rsidRDefault="00110FE6">
      <w:pPr>
        <w:pStyle w:val="BodyText"/>
      </w:pPr>
      <w:r>
        <w:rPr>
          <w:b/>
          <w:bCs/>
        </w:rPr>
        <w:t>Portée</w:t>
      </w:r>
    </w:p>
    <w:p w14:paraId="69A7DF11" w14:textId="77777777" w:rsidR="0084489F" w:rsidRDefault="00110FE6">
      <w:pPr>
        <w:pStyle w:val="BodyText"/>
      </w:pPr>
      <w:r>
        <w:rPr>
          <w:rStyle w:val="VerbatimChar"/>
        </w:rPr>
        <w:t>E18_Chose_matérielle</w:t>
      </w:r>
    </w:p>
    <w:p w14:paraId="68256D35" w14:textId="77777777" w:rsidR="0084489F" w:rsidRDefault="00110FE6">
      <w:pPr>
        <w:pStyle w:val="BodyText"/>
      </w:pPr>
      <w:r>
        <w:rPr>
          <w:b/>
          <w:bCs/>
        </w:rPr>
        <w:t>Sous-propriété de</w:t>
      </w:r>
    </w:p>
    <w:p w14:paraId="7EDB88E1" w14:textId="77777777" w:rsidR="0084489F" w:rsidRDefault="00110FE6">
      <w:pPr>
        <w:pStyle w:val="BodyText"/>
      </w:pPr>
      <w:r>
        <w:rPr>
          <w:b/>
          <w:bCs/>
        </w:rPr>
        <w:t>Super-propriété de</w:t>
      </w:r>
    </w:p>
    <w:p w14:paraId="471F1EE4" w14:textId="77777777" w:rsidR="0084489F" w:rsidRDefault="00110FE6">
      <w:pPr>
        <w:pStyle w:val="BodyText"/>
      </w:pPr>
      <w:r>
        <w:rPr>
          <w:rStyle w:val="VerbatimChar"/>
        </w:rPr>
        <w:t>E53_Lieu</w:t>
      </w:r>
      <w:r>
        <w:t xml:space="preserve">. </w:t>
      </w:r>
      <w:r>
        <w:rPr>
          <w:rStyle w:val="VerbatimChar"/>
        </w:rPr>
        <w:t>P59i_se_situe_sur_ou_dans</w:t>
      </w:r>
      <w:r>
        <w:t> : </w:t>
      </w:r>
      <w:r>
        <w:rPr>
          <w:rStyle w:val="VerbatimChar"/>
        </w:rPr>
        <w:t>E18_Chose_matérielle</w:t>
      </w:r>
    </w:p>
    <w:p w14:paraId="0FF0F41D" w14:textId="77777777" w:rsidR="0084489F" w:rsidRDefault="00110FE6">
      <w:pPr>
        <w:pStyle w:val="BodyText"/>
      </w:pPr>
      <w:r w:rsidRPr="1B9E7434">
        <w:rPr>
          <w:rStyle w:val="VerbatimChar"/>
          <w:lang w:val="fr-FR"/>
        </w:rPr>
        <w:t>E18_Chose_matérielle</w:t>
      </w:r>
      <w:r w:rsidRPr="1B9E7434">
        <w:rPr>
          <w:lang w:val="fr-FR"/>
        </w:rPr>
        <w:t xml:space="preserve">. </w:t>
      </w:r>
      <w:r w:rsidRPr="1B9E7434">
        <w:rPr>
          <w:rStyle w:val="VerbatimChar"/>
          <w:lang w:val="fr-FR"/>
        </w:rPr>
        <w:t>P156_occupe (est_occupé_par)</w:t>
      </w:r>
      <w:r w:rsidRPr="1B9E7434">
        <w:rPr>
          <w:lang w:val="fr-FR"/>
        </w:rPr>
        <w:t> : </w:t>
      </w:r>
      <w:r w:rsidRPr="1B9E7434">
        <w:rPr>
          <w:rStyle w:val="VerbatimChar"/>
          <w:lang w:val="fr-FR"/>
        </w:rPr>
        <w:t>E53_Lieu</w:t>
      </w:r>
    </w:p>
    <w:p w14:paraId="29D1A380" w14:textId="77777777" w:rsidR="0084489F" w:rsidRDefault="00110FE6">
      <w:pPr>
        <w:pStyle w:val="BodyText"/>
      </w:pPr>
      <w:r>
        <w:rPr>
          <w:b/>
          <w:bCs/>
        </w:rPr>
        <w:t>Quantification</w:t>
      </w:r>
    </w:p>
    <w:p w14:paraId="6A7A2A5B" w14:textId="77777777" w:rsidR="0084489F" w:rsidRDefault="00110FE6">
      <w:pPr>
        <w:pStyle w:val="BodyText"/>
      </w:pPr>
      <w:r w:rsidRPr="1B9E7434">
        <w:rPr>
          <w:lang w:val="fr-FR"/>
        </w:rPr>
        <w:t>plusieurs à plusieurs, nécessaire (1,n:0,n)</w:t>
      </w:r>
    </w:p>
    <w:p w14:paraId="6BB7E27C" w14:textId="77777777" w:rsidR="0084489F" w:rsidRDefault="00110FE6">
      <w:pPr>
        <w:pStyle w:val="BodyText"/>
      </w:pPr>
      <w:r>
        <w:rPr>
          <w:b/>
          <w:bCs/>
        </w:rPr>
        <w:t>Note d’application</w:t>
      </w:r>
    </w:p>
    <w:p w14:paraId="0878B1CD" w14:textId="77777777" w:rsidR="0084489F" w:rsidRDefault="00110FE6">
      <w:pPr>
        <w:pStyle w:val="BodyText"/>
      </w:pPr>
      <w:r>
        <w:t xml:space="preserve">Cette propriété associe une instance de </w:t>
      </w:r>
      <w:r>
        <w:rPr>
          <w:rStyle w:val="VerbatimChar"/>
        </w:rPr>
        <w:t>E53_Lieu</w:t>
      </w:r>
      <w:r>
        <w:t xml:space="preserve"> à l’instance de </w:t>
      </w:r>
      <w:r>
        <w:rPr>
          <w:rStyle w:val="VerbatimChar"/>
        </w:rPr>
        <w:t>E18_Chose_matérielle</w:t>
      </w:r>
      <w:r>
        <w:t xml:space="preserve"> qui détermine un espace de référence pour cette instance de </w:t>
      </w:r>
      <w:r>
        <w:rPr>
          <w:rStyle w:val="VerbatimChar"/>
        </w:rPr>
        <w:t>E53_Lieu</w:t>
      </w:r>
      <w:r>
        <w:t xml:space="preserve"> en étant en arrêt par rapport à ce même espace de référence. La stabilité relative de la forme d’une instance de </w:t>
      </w:r>
      <w:r>
        <w:rPr>
          <w:rStyle w:val="VerbatimChar"/>
        </w:rPr>
        <w:t>E18_Chose_matérielle</w:t>
      </w:r>
      <w:r>
        <w:t xml:space="preserve"> définit son espace de référence par défaut. L’espace de référence n’est pas limité dans l’espace par la chose référencée. Par exemple, un navire détermine un espace de référence en fonction duquel des navires avoisinants peuvent être décrits. De grands regroupements de matière, tels que les plaques tectoniques, peuvent comprendre plusieurs caractéristiques physiques qui sont à l’arrêt par rapport à ceux-ci et qui définissent le même espace de référence.</w:t>
      </w:r>
    </w:p>
    <w:p w14:paraId="1949B79A" w14:textId="77777777" w:rsidR="0084489F" w:rsidRDefault="00110FE6">
      <w:pPr>
        <w:pStyle w:val="BodyText"/>
      </w:pPr>
      <w:r>
        <w:rPr>
          <w:b/>
          <w:bCs/>
        </w:rPr>
        <w:t>Exemples</w:t>
      </w:r>
    </w:p>
    <w:p w14:paraId="3C155647" w14:textId="422CA2DE" w:rsidR="0084489F" w:rsidRDefault="00110FE6" w:rsidP="00806324">
      <w:pPr>
        <w:numPr>
          <w:ilvl w:val="0"/>
          <w:numId w:val="266"/>
        </w:numPr>
      </w:pPr>
      <w:r w:rsidRPr="1B9E7434">
        <w:rPr>
          <w:lang w:val="fr-FR"/>
        </w:rPr>
        <w:t>L’étendue spatiale de la ville d’Athènes en 2014 (</w:t>
      </w:r>
      <w:r w:rsidRPr="1B9E7434">
        <w:rPr>
          <w:rStyle w:val="VerbatimChar"/>
          <w:lang w:val="fr-FR"/>
        </w:rPr>
        <w:t>E53_Lieu</w:t>
      </w:r>
      <w:r w:rsidRPr="1B9E7434">
        <w:rPr>
          <w:lang w:val="fr-FR"/>
        </w:rPr>
        <w:t>) est à l’arrêt par rapport à (</w:t>
      </w:r>
      <w:r w:rsidRPr="1B9E7434">
        <w:rPr>
          <w:rStyle w:val="VerbatimChar"/>
          <w:lang w:val="fr-FR"/>
        </w:rPr>
        <w:t>P157_est_à_l’arrêt_par_rapport_à</w:t>
      </w:r>
      <w:r w:rsidRPr="1B9E7434">
        <w:rPr>
          <w:lang w:val="fr-FR"/>
        </w:rPr>
        <w:t>) l’Observatoire royal de Greenwich (</w:t>
      </w:r>
      <w:r w:rsidRPr="1B9E7434">
        <w:rPr>
          <w:rStyle w:val="VerbatimChar"/>
          <w:lang w:val="fr-FR"/>
        </w:rPr>
        <w:t>E25_Caractéristique_élaborée_par_l’humain</w:t>
      </w:r>
      <w:r w:rsidRPr="1B9E7434">
        <w:rPr>
          <w:lang w:val="fr-FR"/>
        </w:rPr>
        <w:t>) (Maunder, 1900)</w:t>
      </w:r>
    </w:p>
    <w:p w14:paraId="199BB8A3" w14:textId="50897640" w:rsidR="0084489F" w:rsidRDefault="00110FE6" w:rsidP="00806324">
      <w:pPr>
        <w:numPr>
          <w:ilvl w:val="0"/>
          <w:numId w:val="266"/>
        </w:numPr>
      </w:pPr>
      <w:r w:rsidRPr="1B9E7434">
        <w:rPr>
          <w:lang w:val="fr-FR"/>
        </w:rPr>
        <w:t>Le lieu où est décédé Lord Nelson sur le HMS Victory (</w:t>
      </w:r>
      <w:r w:rsidRPr="1B9E7434">
        <w:rPr>
          <w:rStyle w:val="VerbatimChar"/>
          <w:lang w:val="fr-FR"/>
        </w:rPr>
        <w:t>E53_Lieu</w:t>
      </w:r>
      <w:r w:rsidRPr="1B9E7434">
        <w:rPr>
          <w:lang w:val="fr-FR"/>
        </w:rPr>
        <w:t>) est à l’arrêt par rapport au (</w:t>
      </w:r>
      <w:r w:rsidRPr="1B9E7434">
        <w:rPr>
          <w:rStyle w:val="VerbatimChar"/>
          <w:lang w:val="fr-FR"/>
        </w:rPr>
        <w:t>P157_est_à_l’arrêt_par_rapport_à</w:t>
      </w:r>
      <w:r w:rsidRPr="1B9E7434">
        <w:rPr>
          <w:lang w:val="fr-FR"/>
        </w:rPr>
        <w:t>) HMS Victory (</w:t>
      </w:r>
      <w:r w:rsidRPr="1B9E7434">
        <w:rPr>
          <w:rStyle w:val="VerbatimChar"/>
          <w:lang w:val="fr-FR"/>
        </w:rPr>
        <w:t>E22_Objet_élaboré_par_l’humain</w:t>
      </w:r>
      <w:r w:rsidRPr="1B9E7434">
        <w:rPr>
          <w:lang w:val="fr-FR"/>
        </w:rPr>
        <w:t>) (Adkin, 2005)</w:t>
      </w:r>
    </w:p>
    <w:p w14:paraId="06070CB3" w14:textId="77777777" w:rsidR="0084489F" w:rsidRDefault="00110FE6">
      <w:pPr>
        <w:pStyle w:val="FirstParagraph"/>
      </w:pPr>
      <w:r>
        <w:rPr>
          <w:b/>
          <w:bCs/>
        </w:rPr>
        <w:t>Logique</w:t>
      </w:r>
    </w:p>
    <w:p w14:paraId="577EED71" w14:textId="77777777" w:rsidR="0084489F" w:rsidRDefault="00110FE6">
      <w:pPr>
        <w:pStyle w:val="BodyText"/>
      </w:pPr>
      <w:r w:rsidRPr="1B9E7434">
        <w:rPr>
          <w:lang w:val="fr-FR"/>
        </w:rPr>
        <w:t>P157(x,y) ⇒ E53(x)</w:t>
      </w:r>
    </w:p>
    <w:p w14:paraId="3B67EDA7" w14:textId="77777777" w:rsidR="0084489F" w:rsidRDefault="00110FE6">
      <w:pPr>
        <w:pStyle w:val="BodyText"/>
      </w:pPr>
      <w:r w:rsidRPr="1B9E7434">
        <w:rPr>
          <w:lang w:val="fr-FR"/>
        </w:rPr>
        <w:t>P157(x,y) ⇒ E18(y)</w:t>
      </w:r>
    </w:p>
    <w:p w14:paraId="1D150533" w14:textId="77777777" w:rsidR="0084489F" w:rsidRDefault="00110FE6">
      <w:pPr>
        <w:pStyle w:val="BodyText"/>
      </w:pPr>
      <w:r>
        <w:rPr>
          <w:b/>
          <w:bCs/>
        </w:rPr>
        <w:t>Propriétés</w:t>
      </w:r>
    </w:p>
    <w:p w14:paraId="4A752DB9" w14:textId="77777777" w:rsidR="0084489F" w:rsidRDefault="00110FE6">
      <w:pPr>
        <w:pStyle w:val="BlockText"/>
      </w:pPr>
      <w:r>
        <w:rPr>
          <w:b/>
          <w:bCs/>
          <w:i/>
          <w:iCs/>
        </w:rPr>
        <w:t>Note de traduction</w:t>
      </w:r>
    </w:p>
    <w:p w14:paraId="0C67F4E4" w14:textId="77777777" w:rsidR="0084489F" w:rsidRDefault="00110FE6">
      <w:pPr>
        <w:pStyle w:val="BlockText"/>
      </w:pPr>
      <w:r>
        <w:rPr>
          <w:b/>
          <w:bCs/>
          <w:i/>
          <w:iCs/>
        </w:rPr>
        <w:t>Références</w:t>
      </w:r>
    </w:p>
    <w:p w14:paraId="0B2A8AC6" w14:textId="77777777" w:rsidR="0084489F" w:rsidRDefault="0084489F">
      <w:pPr>
        <w:pStyle w:val="BlockText"/>
      </w:pPr>
    </w:p>
    <w:p w14:paraId="7A1A8D64" w14:textId="77777777" w:rsidR="0084489F" w:rsidRDefault="00110FE6">
      <w:pPr>
        <w:pStyle w:val="Heading2"/>
      </w:pPr>
      <w:bookmarkStart w:id="530" w:name="_Toc176864645"/>
      <w:bookmarkStart w:id="531" w:name="Xfb7715626a51bbf63308d29e8364789f7761803"/>
      <w:bookmarkEnd w:id="529"/>
      <w:r>
        <w:lastRenderedPageBreak/>
        <w:t>P160 a pour projection temporelle (est la projection temporelle de)</w:t>
      </w:r>
      <w:bookmarkEnd w:id="530"/>
    </w:p>
    <w:p w14:paraId="67AF2FC2" w14:textId="77777777" w:rsidR="0084489F" w:rsidRDefault="00110FE6">
      <w:pPr>
        <w:pStyle w:val="FirstParagraph"/>
      </w:pPr>
      <w:r>
        <w:rPr>
          <w:b/>
          <w:bCs/>
        </w:rPr>
        <w:t>Domaine</w:t>
      </w:r>
    </w:p>
    <w:p w14:paraId="46C81E30" w14:textId="77777777" w:rsidR="0084489F" w:rsidRDefault="00110FE6">
      <w:pPr>
        <w:pStyle w:val="BodyText"/>
      </w:pPr>
      <w:r>
        <w:rPr>
          <w:rStyle w:val="VerbatimChar"/>
        </w:rPr>
        <w:t>E92_Volume_spatio-temporel</w:t>
      </w:r>
    </w:p>
    <w:p w14:paraId="063AE2D2" w14:textId="77777777" w:rsidR="0084489F" w:rsidRDefault="00110FE6">
      <w:pPr>
        <w:pStyle w:val="BodyText"/>
      </w:pPr>
      <w:r>
        <w:rPr>
          <w:b/>
          <w:bCs/>
        </w:rPr>
        <w:t>Portée</w:t>
      </w:r>
    </w:p>
    <w:p w14:paraId="1C1C3B6D" w14:textId="77777777" w:rsidR="0084489F" w:rsidRDefault="00110FE6">
      <w:pPr>
        <w:pStyle w:val="BodyText"/>
      </w:pPr>
      <w:r>
        <w:rPr>
          <w:rStyle w:val="VerbatimChar"/>
        </w:rPr>
        <w:t>E52_Intervalle_temporel</w:t>
      </w:r>
    </w:p>
    <w:p w14:paraId="022093BA" w14:textId="77777777" w:rsidR="0084489F" w:rsidRDefault="00110FE6">
      <w:pPr>
        <w:pStyle w:val="BodyText"/>
      </w:pPr>
      <w:r>
        <w:rPr>
          <w:b/>
          <w:bCs/>
        </w:rPr>
        <w:t>Sous-propriété de</w:t>
      </w:r>
    </w:p>
    <w:p w14:paraId="36CFF2DB" w14:textId="77777777" w:rsidR="0084489F" w:rsidRDefault="00110FE6">
      <w:pPr>
        <w:pStyle w:val="BodyText"/>
      </w:pPr>
      <w:r>
        <w:rPr>
          <w:b/>
          <w:bCs/>
        </w:rPr>
        <w:t>Super-propriété de</w:t>
      </w:r>
    </w:p>
    <w:p w14:paraId="62A47C72" w14:textId="77777777" w:rsidR="0084489F" w:rsidRDefault="00110FE6">
      <w:pPr>
        <w:pStyle w:val="BodyText"/>
      </w:pPr>
      <w:r w:rsidRPr="1B9E7434">
        <w:rPr>
          <w:rStyle w:val="VerbatimChar"/>
          <w:lang w:val="fr-FR"/>
        </w:rPr>
        <w:t>E93_Présence</w:t>
      </w:r>
      <w:r w:rsidRPr="1B9E7434">
        <w:rPr>
          <w:lang w:val="fr-FR"/>
        </w:rPr>
        <w:t xml:space="preserve">. </w:t>
      </w:r>
      <w:r w:rsidRPr="1B9E7434">
        <w:rPr>
          <w:rStyle w:val="VerbatimChar"/>
          <w:lang w:val="fr-FR"/>
        </w:rPr>
        <w:t>P164_est_temporellement_spécifié_par (spécifie_temporellement)</w:t>
      </w:r>
      <w:r w:rsidRPr="1B9E7434">
        <w:rPr>
          <w:lang w:val="fr-FR"/>
        </w:rPr>
        <w:t xml:space="preserve"> : </w:t>
      </w:r>
      <w:r w:rsidRPr="1B9E7434">
        <w:rPr>
          <w:rStyle w:val="VerbatimChar"/>
          <w:lang w:val="fr-FR"/>
        </w:rPr>
        <w:t>E52_Intervalle_temporel</w:t>
      </w:r>
    </w:p>
    <w:p w14:paraId="5B471DCB" w14:textId="77777777" w:rsidR="0084489F" w:rsidRDefault="00110FE6">
      <w:pPr>
        <w:pStyle w:val="BodyText"/>
      </w:pPr>
      <w:r>
        <w:rPr>
          <w:b/>
          <w:bCs/>
        </w:rPr>
        <w:t>Quantification</w:t>
      </w:r>
    </w:p>
    <w:p w14:paraId="524EE2AA" w14:textId="77777777" w:rsidR="0084489F" w:rsidRDefault="00110FE6">
      <w:pPr>
        <w:pStyle w:val="BodyText"/>
      </w:pPr>
      <w:r w:rsidRPr="1B9E7434">
        <w:rPr>
          <w:lang w:val="fr-FR"/>
        </w:rPr>
        <w:t>plusieurs à un, nécessaire (1,1:0,n)</w:t>
      </w:r>
    </w:p>
    <w:p w14:paraId="375A7F81" w14:textId="77777777" w:rsidR="0084489F" w:rsidRDefault="00110FE6">
      <w:pPr>
        <w:pStyle w:val="BodyText"/>
      </w:pPr>
      <w:r>
        <w:rPr>
          <w:b/>
          <w:bCs/>
        </w:rPr>
        <w:t>Note d’application</w:t>
      </w:r>
    </w:p>
    <w:p w14:paraId="25DA5959" w14:textId="77777777" w:rsidR="0084489F" w:rsidRDefault="00110FE6">
      <w:pPr>
        <w:pStyle w:val="BodyText"/>
      </w:pPr>
      <w:r w:rsidRPr="1B9E7434">
        <w:rPr>
          <w:lang w:val="fr-FR"/>
        </w:rPr>
        <w:t xml:space="preserve">Cette propriété décrit la projection temporelle d’une instance de </w:t>
      </w:r>
      <w:r w:rsidRPr="1B9E7434">
        <w:rPr>
          <w:rStyle w:val="VerbatimChar"/>
          <w:lang w:val="fr-FR"/>
        </w:rPr>
        <w:t>E92_Volume_spatio-temporel</w:t>
      </w:r>
      <w:r w:rsidRPr="1B9E7434">
        <w:rPr>
          <w:lang w:val="fr-FR"/>
        </w:rPr>
        <w:t xml:space="preserve">. La propriété </w:t>
      </w:r>
      <w:r w:rsidRPr="1B9E7434">
        <w:rPr>
          <w:rStyle w:val="VerbatimChar"/>
          <w:lang w:val="fr-FR"/>
        </w:rPr>
        <w:t>P4_a_pour_intervalle_temporel (est_l’intervalle_temporel_de)</w:t>
      </w:r>
      <w:r w:rsidRPr="1B9E7434">
        <w:rPr>
          <w:lang w:val="fr-FR"/>
        </w:rPr>
        <w:t xml:space="preserve"> est la même que </w:t>
      </w:r>
      <w:r w:rsidRPr="1B9E7434">
        <w:rPr>
          <w:rStyle w:val="VerbatimChar"/>
          <w:lang w:val="fr-FR"/>
        </w:rPr>
        <w:t>P160_a_pour_projection_temporelle (est_la_projection_temporelle_de)</w:t>
      </w:r>
      <w:r w:rsidRPr="1B9E7434">
        <w:rPr>
          <w:lang w:val="fr-FR"/>
        </w:rPr>
        <w:t xml:space="preserve"> lorsqu’elle est utilisée pour documenter une instance de </w:t>
      </w:r>
      <w:r w:rsidRPr="1B9E7434">
        <w:rPr>
          <w:rStyle w:val="VerbatimChar"/>
          <w:lang w:val="fr-FR"/>
        </w:rPr>
        <w:t>E4_Période</w:t>
      </w:r>
      <w:r w:rsidRPr="1B9E7434">
        <w:rPr>
          <w:lang w:val="fr-FR"/>
        </w:rPr>
        <w:t xml:space="preserve"> ou l’une de ses sous-classes.</w:t>
      </w:r>
    </w:p>
    <w:p w14:paraId="44A26ADF" w14:textId="77777777" w:rsidR="0084489F" w:rsidRDefault="00110FE6">
      <w:pPr>
        <w:pStyle w:val="BodyText"/>
      </w:pPr>
      <w:r>
        <w:rPr>
          <w:b/>
          <w:bCs/>
        </w:rPr>
        <w:t>Exemples</w:t>
      </w:r>
    </w:p>
    <w:p w14:paraId="25EAC80D" w14:textId="7392CB35" w:rsidR="0084489F" w:rsidRDefault="00110FE6" w:rsidP="00806324">
      <w:pPr>
        <w:numPr>
          <w:ilvl w:val="0"/>
          <w:numId w:val="267"/>
        </w:numPr>
      </w:pPr>
      <w:r w:rsidRPr="1B9E7434">
        <w:rPr>
          <w:lang w:val="fr-FR"/>
        </w:rPr>
        <w:t>La trajectoire spatio-temporelle du HMS Temeraire, de sa construction en 1798 à sa destruction en 1838 (</w:t>
      </w:r>
      <w:r w:rsidRPr="1B9E7434">
        <w:rPr>
          <w:rStyle w:val="VerbatimChar"/>
          <w:lang w:val="fr-FR"/>
        </w:rPr>
        <w:t>E92_Volume_spatio-temporel</w:t>
      </w:r>
      <w:r w:rsidRPr="1B9E7434">
        <w:rPr>
          <w:lang w:val="fr-FR"/>
        </w:rPr>
        <w:t>), a pour projection temporelle (</w:t>
      </w:r>
      <w:r w:rsidRPr="1B9E7434">
        <w:rPr>
          <w:rStyle w:val="VerbatimChar"/>
          <w:lang w:val="fr-FR"/>
        </w:rPr>
        <w:t>P160_a_pour_projection_temporelle</w:t>
      </w:r>
      <w:r w:rsidRPr="1B9E7434">
        <w:rPr>
          <w:lang w:val="fr-FR"/>
        </w:rPr>
        <w:t>) l'intervalle temporel de l’existence du HMS Temeraire (</w:t>
      </w:r>
      <w:r w:rsidRPr="1B9E7434">
        <w:rPr>
          <w:rStyle w:val="VerbatimChar"/>
          <w:lang w:val="fr-FR"/>
        </w:rPr>
        <w:t>E52_Intervalle_temporel</w:t>
      </w:r>
      <w:r w:rsidRPr="1B9E7434">
        <w:rPr>
          <w:lang w:val="fr-FR"/>
        </w:rPr>
        <w:t>) [a eu lieu durant (</w:t>
      </w:r>
      <w:r w:rsidRPr="1B9E7434">
        <w:rPr>
          <w:rStyle w:val="VerbatimChar"/>
          <w:lang w:val="fr-FR"/>
        </w:rPr>
        <w:t>P82_a_eu_lieu_durant</w:t>
      </w:r>
      <w:r w:rsidRPr="1B9E7434">
        <w:rPr>
          <w:lang w:val="fr-FR"/>
        </w:rPr>
        <w:t>) « 1798-1838 » (</w:t>
      </w:r>
      <w:r w:rsidRPr="1B9E7434">
        <w:rPr>
          <w:rStyle w:val="VerbatimChar"/>
          <w:lang w:val="fr-FR"/>
        </w:rPr>
        <w:t>E61_Primitive_temporelle</w:t>
      </w:r>
      <w:r w:rsidRPr="1B9E7434">
        <w:rPr>
          <w:lang w:val="fr-FR"/>
        </w:rPr>
        <w:t>)] (Willis, 2010)</w:t>
      </w:r>
    </w:p>
    <w:p w14:paraId="3B0968CC" w14:textId="77777777" w:rsidR="0084489F" w:rsidRDefault="00110FE6" w:rsidP="00806324">
      <w:pPr>
        <w:numPr>
          <w:ilvl w:val="0"/>
          <w:numId w:val="267"/>
        </w:numPr>
      </w:pPr>
      <w:r>
        <w:t>La Bataille de Waterloo de 1815 (</w:t>
      </w:r>
      <w:r>
        <w:rPr>
          <w:rStyle w:val="VerbatimChar"/>
        </w:rPr>
        <w:t>E7_Activité</w:t>
      </w:r>
      <w:r>
        <w:t>) a pour projection temporelle (</w:t>
      </w:r>
      <w:r>
        <w:rPr>
          <w:rStyle w:val="VerbatimChar"/>
        </w:rPr>
        <w:t>P160_a_pour_projection_temporelle</w:t>
      </w:r>
      <w:r>
        <w:t>) l’intervalle temporelle de la Bataille de Waterloo (</w:t>
      </w:r>
      <w:r>
        <w:rPr>
          <w:rStyle w:val="VerbatimChar"/>
        </w:rPr>
        <w:t>E52_Intervalle_temporel</w:t>
      </w:r>
      <w:r>
        <w:t>) [a eu lieu durant (</w:t>
      </w:r>
      <w:r>
        <w:rPr>
          <w:rStyle w:val="VerbatimChar"/>
        </w:rPr>
        <w:t>P82_a_eu_lieu_durant</w:t>
      </w:r>
      <w:r>
        <w:t>) le dimanche 18 juin 1815 (</w:t>
      </w:r>
      <w:r>
        <w:rPr>
          <w:rStyle w:val="VerbatimChar"/>
        </w:rPr>
        <w:t>E61_Primitive_temporelle</w:t>
      </w:r>
      <w:r>
        <w:t>)] (Black, 2010)</w:t>
      </w:r>
    </w:p>
    <w:p w14:paraId="73063E49" w14:textId="77777777" w:rsidR="0084489F" w:rsidRDefault="00110FE6">
      <w:pPr>
        <w:pStyle w:val="FirstParagraph"/>
      </w:pPr>
      <w:r>
        <w:rPr>
          <w:b/>
          <w:bCs/>
        </w:rPr>
        <w:t>Logique</w:t>
      </w:r>
    </w:p>
    <w:p w14:paraId="5190711A" w14:textId="77777777" w:rsidR="0084489F" w:rsidRDefault="00110FE6">
      <w:pPr>
        <w:pStyle w:val="BodyText"/>
      </w:pPr>
      <w:r w:rsidRPr="1B9E7434">
        <w:rPr>
          <w:lang w:val="fr-FR"/>
        </w:rPr>
        <w:t>P160(x,y) ⇒ E92(x)</w:t>
      </w:r>
    </w:p>
    <w:p w14:paraId="2D4FD294" w14:textId="77777777" w:rsidR="0084489F" w:rsidRDefault="00110FE6">
      <w:pPr>
        <w:pStyle w:val="BodyText"/>
      </w:pPr>
      <w:r w:rsidRPr="1B9E7434">
        <w:rPr>
          <w:lang w:val="fr-FR"/>
        </w:rPr>
        <w:t>P160(x,y) ⇒ E52(y)</w:t>
      </w:r>
    </w:p>
    <w:p w14:paraId="6A4E5353" w14:textId="77777777" w:rsidR="0084489F" w:rsidRDefault="00110FE6">
      <w:pPr>
        <w:pStyle w:val="BodyText"/>
      </w:pPr>
      <w:r>
        <w:rPr>
          <w:b/>
          <w:bCs/>
        </w:rPr>
        <w:t>Propriétés</w:t>
      </w:r>
    </w:p>
    <w:p w14:paraId="59DF9601" w14:textId="77777777" w:rsidR="0084489F" w:rsidRDefault="00110FE6">
      <w:pPr>
        <w:pStyle w:val="BlockText"/>
      </w:pPr>
      <w:r>
        <w:rPr>
          <w:b/>
          <w:bCs/>
          <w:i/>
          <w:iCs/>
        </w:rPr>
        <w:t>Note de traduction</w:t>
      </w:r>
    </w:p>
    <w:p w14:paraId="718A920E" w14:textId="77777777" w:rsidR="0084489F" w:rsidRDefault="00110FE6">
      <w:pPr>
        <w:pStyle w:val="BlockText"/>
      </w:pPr>
      <w:r>
        <w:rPr>
          <w:b/>
          <w:bCs/>
          <w:i/>
          <w:iCs/>
        </w:rPr>
        <w:t>Références</w:t>
      </w:r>
    </w:p>
    <w:p w14:paraId="6C12204A" w14:textId="77777777" w:rsidR="0084489F" w:rsidRDefault="0084489F">
      <w:pPr>
        <w:pStyle w:val="BlockText"/>
      </w:pPr>
    </w:p>
    <w:p w14:paraId="0E6DA4CE" w14:textId="77777777" w:rsidR="0084489F" w:rsidRDefault="00110FE6">
      <w:pPr>
        <w:pStyle w:val="Heading2"/>
      </w:pPr>
      <w:bookmarkStart w:id="532" w:name="_Toc176864646"/>
      <w:bookmarkStart w:id="533" w:name="X78cb8ac8f3c76de3e8c98c3619b16039a9d8e45"/>
      <w:bookmarkEnd w:id="531"/>
      <w:r>
        <w:t>P161 a pour projection spatiale (est la projection spatiale de)</w:t>
      </w:r>
      <w:bookmarkEnd w:id="532"/>
    </w:p>
    <w:p w14:paraId="1F58384C" w14:textId="77777777" w:rsidR="0084489F" w:rsidRDefault="00110FE6">
      <w:pPr>
        <w:pStyle w:val="FirstParagraph"/>
      </w:pPr>
      <w:r>
        <w:rPr>
          <w:b/>
          <w:bCs/>
        </w:rPr>
        <w:t>Domaine</w:t>
      </w:r>
    </w:p>
    <w:p w14:paraId="16747DB3" w14:textId="77777777" w:rsidR="0084489F" w:rsidRDefault="00110FE6">
      <w:pPr>
        <w:pStyle w:val="BodyText"/>
      </w:pPr>
      <w:r>
        <w:rPr>
          <w:rStyle w:val="VerbatimChar"/>
        </w:rPr>
        <w:t>E92_Volume_spatio-temporel</w:t>
      </w:r>
    </w:p>
    <w:p w14:paraId="0E06F773" w14:textId="77777777" w:rsidR="0084489F" w:rsidRDefault="00110FE6">
      <w:pPr>
        <w:pStyle w:val="BodyText"/>
      </w:pPr>
      <w:r>
        <w:rPr>
          <w:b/>
          <w:bCs/>
        </w:rPr>
        <w:lastRenderedPageBreak/>
        <w:t>Portée</w:t>
      </w:r>
    </w:p>
    <w:p w14:paraId="3C4FABD4" w14:textId="77777777" w:rsidR="0084489F" w:rsidRDefault="00110FE6">
      <w:pPr>
        <w:pStyle w:val="BodyText"/>
      </w:pPr>
      <w:r>
        <w:rPr>
          <w:rStyle w:val="VerbatimChar"/>
        </w:rPr>
        <w:t>E53_Lieu</w:t>
      </w:r>
    </w:p>
    <w:p w14:paraId="577FAE91" w14:textId="77777777" w:rsidR="0084489F" w:rsidRDefault="00110FE6">
      <w:pPr>
        <w:pStyle w:val="BodyText"/>
      </w:pPr>
      <w:r>
        <w:rPr>
          <w:b/>
          <w:bCs/>
        </w:rPr>
        <w:t>Sous-propriété de</w:t>
      </w:r>
    </w:p>
    <w:p w14:paraId="5858E69D" w14:textId="77777777" w:rsidR="0084489F" w:rsidRDefault="00110FE6">
      <w:pPr>
        <w:pStyle w:val="BodyText"/>
      </w:pPr>
      <w:r>
        <w:rPr>
          <w:b/>
          <w:bCs/>
        </w:rPr>
        <w:t>Super-propriété de</w:t>
      </w:r>
    </w:p>
    <w:p w14:paraId="6593EB20" w14:textId="77777777" w:rsidR="0084489F" w:rsidRDefault="00110FE6">
      <w:pPr>
        <w:pStyle w:val="BodyText"/>
      </w:pPr>
      <w:r>
        <w:rPr>
          <w:b/>
          <w:bCs/>
        </w:rPr>
        <w:t>Quantification</w:t>
      </w:r>
    </w:p>
    <w:p w14:paraId="76B01F83" w14:textId="77777777" w:rsidR="0084489F" w:rsidRDefault="00110FE6">
      <w:pPr>
        <w:pStyle w:val="BodyText"/>
      </w:pPr>
      <w:r w:rsidRPr="1B9E7434">
        <w:rPr>
          <w:lang w:val="fr-FR"/>
        </w:rPr>
        <w:t>plusieurs à plusieurs, nécessaire (1,n:0,n)</w:t>
      </w:r>
    </w:p>
    <w:p w14:paraId="5DB5CC37" w14:textId="77777777" w:rsidR="0084489F" w:rsidRDefault="00110FE6">
      <w:pPr>
        <w:pStyle w:val="BodyText"/>
      </w:pPr>
      <w:r>
        <w:rPr>
          <w:b/>
          <w:bCs/>
        </w:rPr>
        <w:t>Note d’application</w:t>
      </w:r>
    </w:p>
    <w:p w14:paraId="22683BEA" w14:textId="77777777" w:rsidR="0084489F" w:rsidRDefault="00110FE6">
      <w:pPr>
        <w:pStyle w:val="BodyText"/>
      </w:pPr>
      <w:r>
        <w:t xml:space="preserve">Cette propriété associe une instance de </w:t>
      </w:r>
      <w:r>
        <w:rPr>
          <w:rStyle w:val="VerbatimChar"/>
        </w:rPr>
        <w:t>E92_Volume_spatio-temporel</w:t>
      </w:r>
      <w:r>
        <w:t xml:space="preserve"> à une instance de </w:t>
      </w:r>
      <w:r>
        <w:rPr>
          <w:rStyle w:val="VerbatimChar"/>
        </w:rPr>
        <w:t>E53_Lieu</w:t>
      </w:r>
      <w:r>
        <w:t xml:space="preserve"> qui est le résultat de la projection spatiale de l'instance de </w:t>
      </w:r>
      <w:r>
        <w:rPr>
          <w:rStyle w:val="VerbatimChar"/>
        </w:rPr>
        <w:t>E92_Volume_spatio-temporel</w:t>
      </w:r>
      <w:r>
        <w:t xml:space="preserve"> dans un espace de référence.</w:t>
      </w:r>
    </w:p>
    <w:p w14:paraId="13CF42FF" w14:textId="77777777" w:rsidR="0084489F" w:rsidRDefault="00110FE6">
      <w:pPr>
        <w:pStyle w:val="BodyText"/>
      </w:pPr>
      <w:r>
        <w:t xml:space="preserve">En général, il peut y avoir plus d'un espace de référence utile (pour l'espace de référence voir </w:t>
      </w:r>
      <w:r>
        <w:rPr>
          <w:rStyle w:val="VerbatimChar"/>
        </w:rPr>
        <w:t>P156_occupe</w:t>
      </w:r>
      <w:hyperlink w:anchor="P156">
        <w:r>
          <w:rPr>
            <w:rStyle w:val="Hyperlink"/>
          </w:rPr>
          <w:t xml:space="preserve"> et </w:t>
        </w:r>
      </w:hyperlink>
      <w:r>
        <w:rPr>
          <w:rStyle w:val="VerbatimChar"/>
        </w:rPr>
        <w:t>P157_est_à_l’arrêt_par_rapport_à</w:t>
      </w:r>
      <w:r>
        <w:t>) pour décrire la projection spatiale d'un volume spatio-temporel. Par exemple, pour décrire une bataille navale, il est possible de distinguer le navire du fond marin comme espaces de référence qui permettent de constater que la projection n'est pas unique.</w:t>
      </w:r>
    </w:p>
    <w:p w14:paraId="1149F2F4" w14:textId="77777777" w:rsidR="0084489F" w:rsidRDefault="00110FE6">
      <w:pPr>
        <w:pStyle w:val="BodyText"/>
      </w:pPr>
      <w:r>
        <w:t xml:space="preserve">La projection spatiale est la couverture spatiale réelle d'un volume spatio-temporel qui est normalement constitué de limites floues, sauf pour les instances de </w:t>
      </w:r>
      <w:r>
        <w:rPr>
          <w:rStyle w:val="VerbatimChar"/>
        </w:rPr>
        <w:t>E92_Volume_spatio-temporel</w:t>
      </w:r>
      <w:r>
        <w:t xml:space="preserve"> qui sont définies géométriquement dans le même système de référence que la portée de cette propriété. Ces dernières sont une exception à la règle et n'ont donc pas de limites floues. La modélisation de projections spatiales explicitement floues sert donc de référence topologique commune de différentes approximations spatiales plutôt qu'une détermination géométrique absolue. Par exemple, cela permet d'associer les limites spatiales externes ou internes à leurs volumes spatio-temporels respectifs.</w:t>
      </w:r>
    </w:p>
    <w:p w14:paraId="5CFA2499" w14:textId="77777777" w:rsidR="0084489F" w:rsidRDefault="00110FE6">
      <w:pPr>
        <w:pStyle w:val="BodyText"/>
      </w:pPr>
      <w:r>
        <w:t>La projection spatiale est unique par rapport à son système de référence. Par exemple, il n'y a qu'une seule projection spatiale du décès de Lord Nelson par rapport au HMS Victory, c.-à-d. la localisation de son corps par rapport au navire à ce moment.</w:t>
      </w:r>
    </w:p>
    <w:p w14:paraId="035AF700" w14:textId="77777777" w:rsidR="0084489F" w:rsidRDefault="00110FE6">
      <w:pPr>
        <w:pStyle w:val="BodyText"/>
      </w:pPr>
      <w:r>
        <w:t xml:space="preserve">Dans le cas où le domaine de </w:t>
      </w:r>
      <w:r>
        <w:rPr>
          <w:rStyle w:val="VerbatimChar"/>
        </w:rPr>
        <w:t>P161_a_pour_projection_spatiale</w:t>
      </w:r>
      <w:r>
        <w:t xml:space="preserve"> est une instance de </w:t>
      </w:r>
      <w:r>
        <w:rPr>
          <w:rStyle w:val="VerbatimChar"/>
        </w:rPr>
        <w:t>E4_Période</w:t>
      </w:r>
      <w:r>
        <w:t>, la projection spatiale décrit toutes les régions associées à cette période tout au long de son déroulement, par exemple l'Empire romain.</w:t>
      </w:r>
    </w:p>
    <w:p w14:paraId="53C26050" w14:textId="77777777" w:rsidR="0084489F" w:rsidRDefault="00110FE6">
      <w:pPr>
        <w:pStyle w:val="BodyText"/>
      </w:pPr>
      <w:r w:rsidRPr="1B9E7434">
        <w:rPr>
          <w:lang w:val="fr-FR"/>
        </w:rPr>
        <w:t xml:space="preserve">Cette propriété fait partie du chemin sémantique complètement développé </w:t>
      </w:r>
      <w:r w:rsidRPr="1B9E7434">
        <w:rPr>
          <w:rStyle w:val="VerbatimChar"/>
          <w:lang w:val="fr-FR"/>
        </w:rPr>
        <w:t>E18_Chose_matérielle</w:t>
      </w:r>
      <w:r w:rsidRPr="1B9E7434">
        <w:rPr>
          <w:lang w:val="fr-FR"/>
        </w:rPr>
        <w:t xml:space="preserve">, </w:t>
      </w:r>
      <w:r w:rsidRPr="1B9E7434">
        <w:rPr>
          <w:rStyle w:val="VerbatimChar"/>
          <w:lang w:val="fr-FR"/>
        </w:rPr>
        <w:t>P196_définit (est_défini_par)</w:t>
      </w:r>
      <w:r w:rsidRPr="1B9E7434">
        <w:rPr>
          <w:lang w:val="fr-FR"/>
        </w:rPr>
        <w:t xml:space="preserve">, </w:t>
      </w:r>
      <w:r w:rsidRPr="1B9E7434">
        <w:rPr>
          <w:rStyle w:val="VerbatimChar"/>
          <w:lang w:val="fr-FR"/>
        </w:rPr>
        <w:t>E92_Volume_spatio-temporel</w:t>
      </w:r>
      <w:r w:rsidRPr="1B9E7434">
        <w:rPr>
          <w:lang w:val="fr-FR"/>
        </w:rPr>
        <w:t xml:space="preserve">, </w:t>
      </w:r>
      <w:r w:rsidRPr="1B9E7434">
        <w:rPr>
          <w:rStyle w:val="VerbatimChar"/>
          <w:lang w:val="fr-FR"/>
        </w:rPr>
        <w:t>P161_a_pour_projection_spatiale (est_la_projection_spatiale_de)</w:t>
      </w:r>
      <w:r w:rsidRPr="1B9E7434">
        <w:rPr>
          <w:lang w:val="fr-FR"/>
        </w:rPr>
        <w:t xml:space="preserve">, qui peut être raccourci par l'utilisation de </w:t>
      </w:r>
      <w:r w:rsidRPr="1B9E7434">
        <w:rPr>
          <w:rStyle w:val="VerbatimChar"/>
          <w:lang w:val="fr-FR"/>
        </w:rPr>
        <w:t>P156_occupe (est_occupé_par)</w:t>
      </w:r>
      <w:r w:rsidRPr="1B9E7434">
        <w:rPr>
          <w:lang w:val="fr-FR"/>
        </w:rPr>
        <w:t>.</w:t>
      </w:r>
    </w:p>
    <w:p w14:paraId="62F5C86F" w14:textId="77777777" w:rsidR="0084489F" w:rsidRDefault="00110FE6">
      <w:pPr>
        <w:pStyle w:val="BodyText"/>
      </w:pPr>
      <w:r>
        <w:rPr>
          <w:b/>
          <w:bCs/>
        </w:rPr>
        <w:t>Exemples</w:t>
      </w:r>
    </w:p>
    <w:p w14:paraId="0A172F55" w14:textId="429BA901" w:rsidR="0084489F" w:rsidRDefault="00110FE6" w:rsidP="00806324">
      <w:pPr>
        <w:numPr>
          <w:ilvl w:val="0"/>
          <w:numId w:val="268"/>
        </w:numPr>
      </w:pPr>
      <w:r w:rsidRPr="1B9E7434">
        <w:rPr>
          <w:lang w:val="fr-FR"/>
        </w:rPr>
        <w:t>L'Empire romain (</w:t>
      </w:r>
      <w:r w:rsidRPr="1B9E7434">
        <w:rPr>
          <w:rStyle w:val="VerbatimChar"/>
          <w:lang w:val="fr-FR"/>
        </w:rPr>
        <w:t>E4_Période</w:t>
      </w:r>
      <w:r w:rsidRPr="1B9E7434">
        <w:rPr>
          <w:lang w:val="fr-FR"/>
        </w:rPr>
        <w:t>) a pour projection spatiale (</w:t>
      </w:r>
      <w:r w:rsidRPr="1B9E7434">
        <w:rPr>
          <w:rStyle w:val="VerbatimChar"/>
          <w:lang w:val="fr-FR"/>
        </w:rPr>
        <w:t>P161_a_pour_projection_spatiale</w:t>
      </w:r>
      <w:r w:rsidRPr="1B9E7434">
        <w:rPr>
          <w:lang w:val="fr-FR"/>
        </w:rPr>
        <w:t>) toutes les régions revendiquées par Rome (</w:t>
      </w:r>
      <w:r w:rsidRPr="1B9E7434">
        <w:rPr>
          <w:rStyle w:val="VerbatimChar"/>
          <w:lang w:val="fr-FR"/>
        </w:rPr>
        <w:t>E53_Lieu</w:t>
      </w:r>
      <w:r w:rsidRPr="1B9E7434">
        <w:rPr>
          <w:lang w:val="fr-FR"/>
        </w:rPr>
        <w:t>) (Clare &amp; Edwards, 1992)</w:t>
      </w:r>
    </w:p>
    <w:p w14:paraId="367F7DA9" w14:textId="77777777" w:rsidR="0084489F" w:rsidRDefault="00110FE6">
      <w:pPr>
        <w:pStyle w:val="FirstParagraph"/>
      </w:pPr>
      <w:r>
        <w:rPr>
          <w:b/>
          <w:bCs/>
        </w:rPr>
        <w:t>Logique</w:t>
      </w:r>
    </w:p>
    <w:p w14:paraId="5404958F" w14:textId="77777777" w:rsidR="0084489F" w:rsidRDefault="00110FE6">
      <w:pPr>
        <w:pStyle w:val="BodyText"/>
      </w:pPr>
      <w:r w:rsidRPr="1B9E7434">
        <w:rPr>
          <w:lang w:val="fr-FR"/>
        </w:rPr>
        <w:t>P161(x,y) ⇒ E92(x)</w:t>
      </w:r>
    </w:p>
    <w:p w14:paraId="4EEA6EA2" w14:textId="77777777" w:rsidR="0084489F" w:rsidRDefault="00110FE6">
      <w:pPr>
        <w:pStyle w:val="BodyText"/>
      </w:pPr>
      <w:r w:rsidRPr="1B9E7434">
        <w:rPr>
          <w:lang w:val="fr-FR"/>
        </w:rPr>
        <w:t>P161(x,y) ⇒ E53(y)</w:t>
      </w:r>
    </w:p>
    <w:p w14:paraId="12A314F8" w14:textId="77777777" w:rsidR="0084489F" w:rsidRDefault="00110FE6">
      <w:pPr>
        <w:pStyle w:val="BodyText"/>
      </w:pPr>
      <w:r w:rsidRPr="1B9E7434">
        <w:rPr>
          <w:lang w:val="fr-FR"/>
        </w:rPr>
        <w:t>(∃y,z,u) [E92(x) ˄ E53(y) ˄ E53(z) ˄ E18(u) ˄ P157(y,u) ˄ P157(z,u) ˄ P161(x,y) ˄ P161(x,z) ] ⇒ (x = y)</w:t>
      </w:r>
    </w:p>
    <w:p w14:paraId="156838F3" w14:textId="77777777" w:rsidR="0084489F" w:rsidRDefault="00110FE6">
      <w:pPr>
        <w:pStyle w:val="BodyText"/>
      </w:pPr>
      <w:r w:rsidRPr="1B9E7434">
        <w:rPr>
          <w:lang w:val="fr-FR"/>
        </w:rPr>
        <w:lastRenderedPageBreak/>
        <w:t>P161(x,y) ˄ E4(x) ⇒ P7(x,y)</w:t>
      </w:r>
    </w:p>
    <w:p w14:paraId="5A5D875C" w14:textId="77777777" w:rsidR="0084489F" w:rsidRDefault="00110FE6">
      <w:pPr>
        <w:pStyle w:val="BodyText"/>
      </w:pPr>
      <w:r>
        <w:rPr>
          <w:b/>
          <w:bCs/>
        </w:rPr>
        <w:t>Propriétés</w:t>
      </w:r>
    </w:p>
    <w:p w14:paraId="511EC065" w14:textId="77777777" w:rsidR="0084489F" w:rsidRDefault="00110FE6">
      <w:pPr>
        <w:pStyle w:val="BlockText"/>
      </w:pPr>
      <w:r>
        <w:rPr>
          <w:b/>
          <w:bCs/>
          <w:i/>
          <w:iCs/>
        </w:rPr>
        <w:t>Note de traduction</w:t>
      </w:r>
    </w:p>
    <w:p w14:paraId="23C7B2B8" w14:textId="77777777" w:rsidR="0084489F" w:rsidRDefault="00110FE6">
      <w:pPr>
        <w:pStyle w:val="BlockText"/>
      </w:pPr>
      <w:r>
        <w:rPr>
          <w:b/>
          <w:bCs/>
          <w:i/>
          <w:iCs/>
        </w:rPr>
        <w:t>Références</w:t>
      </w:r>
    </w:p>
    <w:p w14:paraId="3F1FF005" w14:textId="77777777" w:rsidR="0084489F" w:rsidRDefault="0084489F">
      <w:pPr>
        <w:pStyle w:val="BlockText"/>
      </w:pPr>
    </w:p>
    <w:p w14:paraId="4747CBFA" w14:textId="77777777" w:rsidR="0084489F" w:rsidRDefault="00110FE6">
      <w:pPr>
        <w:pStyle w:val="Heading2"/>
      </w:pPr>
      <w:bookmarkStart w:id="534" w:name="_Toc176864647"/>
      <w:bookmarkStart w:id="535" w:name="Xaa2317cd02c889c0950ffdbb0561317d65c9a27"/>
      <w:bookmarkEnd w:id="533"/>
      <w:r>
        <w:t>P164 est temporellement spécifié par (spécifie temporellement)</w:t>
      </w:r>
      <w:bookmarkEnd w:id="534"/>
    </w:p>
    <w:p w14:paraId="28691FB2" w14:textId="77777777" w:rsidR="0084489F" w:rsidRDefault="00110FE6">
      <w:pPr>
        <w:pStyle w:val="FirstParagraph"/>
      </w:pPr>
      <w:r>
        <w:rPr>
          <w:b/>
          <w:bCs/>
        </w:rPr>
        <w:t>Domaine</w:t>
      </w:r>
    </w:p>
    <w:p w14:paraId="63F1BC64" w14:textId="77777777" w:rsidR="0084489F" w:rsidRDefault="00110FE6">
      <w:pPr>
        <w:pStyle w:val="BodyText"/>
      </w:pPr>
      <w:r>
        <w:rPr>
          <w:rStyle w:val="VerbatimChar"/>
        </w:rPr>
        <w:t>E93_Présence</w:t>
      </w:r>
    </w:p>
    <w:p w14:paraId="4BD5222B" w14:textId="77777777" w:rsidR="0084489F" w:rsidRDefault="00110FE6">
      <w:pPr>
        <w:pStyle w:val="BodyText"/>
      </w:pPr>
      <w:r>
        <w:rPr>
          <w:b/>
          <w:bCs/>
        </w:rPr>
        <w:t>Portée</w:t>
      </w:r>
    </w:p>
    <w:p w14:paraId="4A8C9D4B" w14:textId="77777777" w:rsidR="0084489F" w:rsidRDefault="00110FE6">
      <w:pPr>
        <w:pStyle w:val="BodyText"/>
      </w:pPr>
      <w:r>
        <w:rPr>
          <w:rStyle w:val="VerbatimChar"/>
        </w:rPr>
        <w:t>E52_Intervalle_temporel</w:t>
      </w:r>
    </w:p>
    <w:p w14:paraId="0F7B1FA4" w14:textId="77777777" w:rsidR="0084489F" w:rsidRDefault="00110FE6">
      <w:pPr>
        <w:pStyle w:val="BodyText"/>
      </w:pPr>
      <w:r>
        <w:rPr>
          <w:b/>
          <w:bCs/>
        </w:rPr>
        <w:t>Sous-propriété de</w:t>
      </w:r>
    </w:p>
    <w:p w14:paraId="01797E72" w14:textId="77777777" w:rsidR="0084489F" w:rsidRDefault="00110FE6">
      <w:pPr>
        <w:pStyle w:val="BodyText"/>
      </w:pPr>
      <w:r w:rsidRPr="1B9E7434">
        <w:rPr>
          <w:rStyle w:val="VerbatimChar"/>
          <w:lang w:val="fr-FR"/>
        </w:rPr>
        <w:t>E92_Volume_spatio-temporel</w:t>
      </w:r>
      <w:r w:rsidRPr="1B9E7434">
        <w:rPr>
          <w:lang w:val="fr-FR"/>
        </w:rPr>
        <w:t xml:space="preserve">. </w:t>
      </w:r>
      <w:r w:rsidRPr="1B9E7434">
        <w:rPr>
          <w:rStyle w:val="VerbatimChar"/>
          <w:lang w:val="fr-FR"/>
        </w:rPr>
        <w:t>P160_a_pour_projection_temporelle (est_la_projection_temporelle_de)</w:t>
      </w:r>
      <w:r w:rsidRPr="1B9E7434">
        <w:rPr>
          <w:lang w:val="fr-FR"/>
        </w:rPr>
        <w:t xml:space="preserve">: </w:t>
      </w:r>
      <w:r w:rsidRPr="1B9E7434">
        <w:rPr>
          <w:rStyle w:val="VerbatimChar"/>
          <w:lang w:val="fr-FR"/>
        </w:rPr>
        <w:t>E52_Intervalle_temporel</w:t>
      </w:r>
    </w:p>
    <w:p w14:paraId="2CF480CE" w14:textId="77777777" w:rsidR="0084489F" w:rsidRDefault="00110FE6">
      <w:pPr>
        <w:pStyle w:val="BodyText"/>
      </w:pPr>
      <w:r>
        <w:rPr>
          <w:b/>
          <w:bCs/>
        </w:rPr>
        <w:t>Super-propriété de</w:t>
      </w:r>
    </w:p>
    <w:p w14:paraId="3AFE2AD1" w14:textId="77777777" w:rsidR="0084489F" w:rsidRDefault="00110FE6">
      <w:pPr>
        <w:pStyle w:val="BodyText"/>
      </w:pPr>
      <w:r>
        <w:rPr>
          <w:b/>
          <w:bCs/>
        </w:rPr>
        <w:t>Quantification</w:t>
      </w:r>
    </w:p>
    <w:p w14:paraId="43BD59F2" w14:textId="77777777" w:rsidR="0084489F" w:rsidRDefault="00110FE6">
      <w:pPr>
        <w:pStyle w:val="BodyText"/>
      </w:pPr>
      <w:r w:rsidRPr="1B9E7434">
        <w:rPr>
          <w:lang w:val="fr-FR"/>
        </w:rPr>
        <w:t>Plusieurs à un, nécessaire (1,1: 0,n)</w:t>
      </w:r>
    </w:p>
    <w:p w14:paraId="52307C1E" w14:textId="77777777" w:rsidR="0084489F" w:rsidRDefault="00110FE6">
      <w:pPr>
        <w:pStyle w:val="BodyText"/>
      </w:pPr>
      <w:r>
        <w:rPr>
          <w:b/>
          <w:bCs/>
        </w:rPr>
        <w:t>Note d’application</w:t>
      </w:r>
    </w:p>
    <w:p w14:paraId="2916779F" w14:textId="77777777" w:rsidR="0084489F" w:rsidRDefault="00110FE6">
      <w:pPr>
        <w:pStyle w:val="BodyText"/>
      </w:pPr>
      <w:r w:rsidRPr="1B9E7434">
        <w:rPr>
          <w:lang w:val="fr-FR"/>
        </w:rPr>
        <w:t xml:space="preserve">Cette propriété relie une instance de </w:t>
      </w:r>
      <w:r w:rsidRPr="1B9E7434">
        <w:rPr>
          <w:rStyle w:val="VerbatimChar"/>
          <w:lang w:val="fr-FR"/>
        </w:rPr>
        <w:t>E93_Présence</w:t>
      </w:r>
      <w:r w:rsidRPr="1B9E7434">
        <w:rPr>
          <w:lang w:val="fr-FR"/>
        </w:rPr>
        <w:t xml:space="preserve"> à une instance de </w:t>
      </w:r>
      <w:r w:rsidRPr="1B9E7434">
        <w:rPr>
          <w:rStyle w:val="VerbatimChar"/>
          <w:lang w:val="fr-FR"/>
        </w:rPr>
        <w:t>E52_Intervalle_temporel</w:t>
      </w:r>
      <w:r w:rsidRPr="1B9E7434">
        <w:rPr>
          <w:lang w:val="fr-FR"/>
        </w:rPr>
        <w:t xml:space="preserve"> qui définit la tranche de temps du volume spatio-temporel à laquelle cette instance de </w:t>
      </w:r>
      <w:r w:rsidRPr="1B9E7434">
        <w:rPr>
          <w:rStyle w:val="VerbatimChar"/>
          <w:lang w:val="fr-FR"/>
        </w:rPr>
        <w:t>E93_Présence</w:t>
      </w:r>
      <w:r w:rsidRPr="1B9E7434">
        <w:rPr>
          <w:lang w:val="fr-FR"/>
        </w:rPr>
        <w:t xml:space="preserve"> est liée via la propriété </w:t>
      </w:r>
      <w:r w:rsidRPr="1B9E7434">
        <w:rPr>
          <w:rStyle w:val="VerbatimChar"/>
          <w:lang w:val="fr-FR"/>
        </w:rPr>
        <w:t>P166_a_été_une_présence_de (a_eu_pour_présence)</w:t>
      </w:r>
      <w:r w:rsidRPr="1B9E7434">
        <w:rPr>
          <w:lang w:val="fr-FR"/>
        </w:rPr>
        <w:t>.</w:t>
      </w:r>
    </w:p>
    <w:p w14:paraId="5DF7D7BE" w14:textId="77777777" w:rsidR="0084489F" w:rsidRDefault="00110FE6">
      <w:pPr>
        <w:pStyle w:val="BodyText"/>
      </w:pPr>
      <w:r w:rsidRPr="1B9E7434">
        <w:rPr>
          <w:lang w:val="fr-FR"/>
        </w:rPr>
        <w:t xml:space="preserve">Il existe deux cas typiques pour déterminer l’instance liée de </w:t>
      </w:r>
      <w:r w:rsidRPr="1B9E7434">
        <w:rPr>
          <w:rStyle w:val="VerbatimChar"/>
          <w:lang w:val="fr-FR"/>
        </w:rPr>
        <w:t>E52_Intervalle_temporel</w:t>
      </w:r>
      <w:r w:rsidRPr="1B9E7434">
        <w:rPr>
          <w:lang w:val="fr-FR"/>
        </w:rPr>
        <w:t xml:space="preserve">. Dans le premier cas, il s’agit de l’étendue temporelle d’une instance de </w:t>
      </w:r>
      <w:r w:rsidRPr="1B9E7434">
        <w:rPr>
          <w:rStyle w:val="VerbatimChar"/>
          <w:lang w:val="fr-FR"/>
        </w:rPr>
        <w:t>E2_Entité_temporelle</w:t>
      </w:r>
      <w:r w:rsidRPr="1B9E7434">
        <w:rPr>
          <w:lang w:val="fr-FR"/>
        </w:rPr>
        <w:t xml:space="preserve"> (documentée avec </w:t>
      </w:r>
      <w:r w:rsidRPr="1B9E7434">
        <w:rPr>
          <w:rStyle w:val="VerbatimChar"/>
          <w:lang w:val="fr-FR"/>
        </w:rPr>
        <w:t>P4_a_pour_intervalle_temporel (est_l’intervalle_temporel_de)</w:t>
      </w:r>
      <w:r w:rsidRPr="1B9E7434">
        <w:rPr>
          <w:lang w:val="fr-FR"/>
        </w:rPr>
        <w:t xml:space="preserve">) : cela documente alors la simultanéité de l’instance de </w:t>
      </w:r>
      <w:r w:rsidRPr="1B9E7434">
        <w:rPr>
          <w:rStyle w:val="VerbatimChar"/>
          <w:lang w:val="fr-FR"/>
        </w:rPr>
        <w:t>E93_Présence</w:t>
      </w:r>
      <w:r w:rsidRPr="1B9E7434">
        <w:rPr>
          <w:lang w:val="fr-FR"/>
        </w:rPr>
        <w:t xml:space="preserve"> et de l’instance de </w:t>
      </w:r>
      <w:r w:rsidRPr="1B9E7434">
        <w:rPr>
          <w:rStyle w:val="VerbatimChar"/>
          <w:lang w:val="fr-FR"/>
        </w:rPr>
        <w:t>E2_Entité_temporelle</w:t>
      </w:r>
      <w:r w:rsidRPr="1B9E7434">
        <w:rPr>
          <w:lang w:val="fr-FR"/>
        </w:rPr>
        <w:t xml:space="preserve">, même si l’étendue temporelle absolue n’est pas connue et peut être considérée comme un intervalle temporel phénoménal. Dans le second cas, l’instance de </w:t>
      </w:r>
      <w:r w:rsidRPr="1B9E7434">
        <w:rPr>
          <w:rStyle w:val="VerbatimChar"/>
          <w:lang w:val="fr-FR"/>
        </w:rPr>
        <w:t>E52_Intervalle_temporel</w:t>
      </w:r>
      <w:r w:rsidRPr="1B9E7434">
        <w:rPr>
          <w:lang w:val="fr-FR"/>
        </w:rPr>
        <w:t xml:space="preserve"> est un intervalle de temps déclaré dans ou dérivé d’une source historique, ou bien fourni par une méthode de datation : il s'agit d'une étendue temporelle déclarative.</w:t>
      </w:r>
    </w:p>
    <w:p w14:paraId="081C6AB8" w14:textId="77777777" w:rsidR="0084489F" w:rsidRDefault="00110FE6">
      <w:pPr>
        <w:pStyle w:val="BodyText"/>
      </w:pPr>
      <w:r>
        <w:rPr>
          <w:b/>
          <w:bCs/>
        </w:rPr>
        <w:t>Exemples</w:t>
      </w:r>
    </w:p>
    <w:p w14:paraId="4536CE64" w14:textId="77777777" w:rsidR="0084489F" w:rsidRDefault="00110FE6" w:rsidP="00806324">
      <w:pPr>
        <w:numPr>
          <w:ilvl w:val="0"/>
          <w:numId w:val="269"/>
        </w:numPr>
      </w:pPr>
      <w:r>
        <w:t>2016-02-09 (</w:t>
      </w:r>
      <w:r>
        <w:rPr>
          <w:rStyle w:val="VerbatimChar"/>
        </w:rPr>
        <w:t>E52_Intervalle_temporel</w:t>
      </w:r>
      <w:r>
        <w:t>) était l’intervalle temporel (</w:t>
      </w:r>
      <w:r>
        <w:rPr>
          <w:rStyle w:val="VerbatimChar"/>
        </w:rPr>
        <w:t>P164i_spécifie_temporellement)</w:t>
      </w:r>
      <w:r>
        <w:t xml:space="preserve"> du dernier jour du carnaval 2016 à Cologne (</w:t>
      </w:r>
      <w:r>
        <w:rPr>
          <w:rStyle w:val="VerbatimChar"/>
        </w:rPr>
        <w:t>E93_Présence</w:t>
      </w:r>
      <w:r>
        <w:t>).</w:t>
      </w:r>
    </w:p>
    <w:p w14:paraId="629898FC" w14:textId="54AF8AF6" w:rsidR="0084489F" w:rsidRDefault="00110FE6" w:rsidP="00806324">
      <w:pPr>
        <w:numPr>
          <w:ilvl w:val="0"/>
          <w:numId w:val="269"/>
        </w:numPr>
      </w:pPr>
      <w:r w:rsidRPr="1B9E7434">
        <w:rPr>
          <w:lang w:val="fr-FR"/>
        </w:rPr>
        <w:t>La localisation de Johann Joachim Winckelmann en décembre 1755 (</w:t>
      </w:r>
      <w:r w:rsidRPr="1B9E7434">
        <w:rPr>
          <w:rStyle w:val="VerbatimChar"/>
          <w:lang w:val="fr-FR"/>
        </w:rPr>
        <w:t>E93_Présence</w:t>
      </w:r>
      <w:r w:rsidRPr="1B9E7434">
        <w:rPr>
          <w:lang w:val="fr-FR"/>
        </w:rPr>
        <w:t>) est temporellement spécifiée par (</w:t>
      </w:r>
      <w:r w:rsidRPr="1B9E7434">
        <w:rPr>
          <w:rStyle w:val="VerbatimChar"/>
          <w:lang w:val="fr-FR"/>
        </w:rPr>
        <w:t>P164_est_temporellement_spécifié_par</w:t>
      </w:r>
      <w:r w:rsidRPr="1B9E7434">
        <w:rPr>
          <w:lang w:val="fr-FR"/>
        </w:rPr>
        <w:t>) l’intervalle temporel du mois de décembre 1755 (</w:t>
      </w:r>
      <w:r w:rsidRPr="1B9E7434">
        <w:rPr>
          <w:rStyle w:val="VerbatimChar"/>
          <w:lang w:val="fr-FR"/>
        </w:rPr>
        <w:t>E52_Intervalle_temporel</w:t>
      </w:r>
      <w:r w:rsidRPr="1B9E7434">
        <w:rPr>
          <w:lang w:val="fr-FR"/>
        </w:rPr>
        <w:t>) (Leppmann, 1970)</w:t>
      </w:r>
    </w:p>
    <w:p w14:paraId="1331E067" w14:textId="439D4244" w:rsidR="0084489F" w:rsidRDefault="00110FE6" w:rsidP="00806324">
      <w:pPr>
        <w:numPr>
          <w:ilvl w:val="0"/>
          <w:numId w:val="269"/>
        </w:numPr>
      </w:pPr>
      <w:r w:rsidRPr="1B9E7434">
        <w:rPr>
          <w:lang w:val="fr-FR"/>
        </w:rPr>
        <w:t>La localisation de Johann Joachim Winckelmann du 19 novembre 1755 au 9 avril 1768 (</w:t>
      </w:r>
      <w:r w:rsidRPr="1B9E7434">
        <w:rPr>
          <w:rStyle w:val="VerbatimChar"/>
          <w:lang w:val="fr-FR"/>
        </w:rPr>
        <w:t>E93_Présence</w:t>
      </w:r>
      <w:r w:rsidRPr="1B9E7434">
        <w:rPr>
          <w:lang w:val="fr-FR"/>
        </w:rPr>
        <w:t>) est temporellement spécifiée par (</w:t>
      </w:r>
      <w:r w:rsidRPr="1B9E7434">
        <w:rPr>
          <w:rStyle w:val="VerbatimChar"/>
          <w:lang w:val="fr-FR"/>
        </w:rPr>
        <w:t>P164_est_temporellement_spécifié_par</w:t>
      </w:r>
      <w:r w:rsidRPr="1B9E7434">
        <w:rPr>
          <w:lang w:val="fr-FR"/>
        </w:rPr>
        <w:t>) l’intervalle temporel du 19 novembre 1755 au 9 avril 1768 (</w:t>
      </w:r>
      <w:r w:rsidRPr="1B9E7434">
        <w:rPr>
          <w:rStyle w:val="VerbatimChar"/>
          <w:lang w:val="fr-FR"/>
        </w:rPr>
        <w:t>E52_Intervalle_temporel</w:t>
      </w:r>
      <w:r w:rsidRPr="1B9E7434">
        <w:rPr>
          <w:lang w:val="fr-FR"/>
        </w:rPr>
        <w:t>) (Leppmann, 1970)</w:t>
      </w:r>
    </w:p>
    <w:p w14:paraId="7B7A959F" w14:textId="77777777" w:rsidR="0084489F" w:rsidRDefault="00110FE6">
      <w:pPr>
        <w:pStyle w:val="FirstParagraph"/>
      </w:pPr>
      <w:r>
        <w:rPr>
          <w:b/>
          <w:bCs/>
        </w:rPr>
        <w:lastRenderedPageBreak/>
        <w:t>Logique</w:t>
      </w:r>
    </w:p>
    <w:p w14:paraId="28CAFC89" w14:textId="77777777" w:rsidR="0084489F" w:rsidRDefault="00110FE6">
      <w:pPr>
        <w:pStyle w:val="BodyText"/>
      </w:pPr>
      <w:r w:rsidRPr="1B9E7434">
        <w:rPr>
          <w:lang w:val="fr-FR"/>
        </w:rPr>
        <w:t>P164(x,y) ⇒ E93(x)</w:t>
      </w:r>
    </w:p>
    <w:p w14:paraId="0E46CC58" w14:textId="77777777" w:rsidR="0084489F" w:rsidRDefault="00110FE6">
      <w:pPr>
        <w:pStyle w:val="BodyText"/>
      </w:pPr>
      <w:r w:rsidRPr="1B9E7434">
        <w:rPr>
          <w:lang w:val="fr-FR"/>
        </w:rPr>
        <w:t>P164(x,y) ⇒ E52(y)</w:t>
      </w:r>
    </w:p>
    <w:p w14:paraId="4D1A04C4" w14:textId="77777777" w:rsidR="0084489F" w:rsidRDefault="00110FE6">
      <w:pPr>
        <w:pStyle w:val="BodyText"/>
      </w:pPr>
      <w:r w:rsidRPr="1B9E7434">
        <w:rPr>
          <w:lang w:val="fr-FR"/>
        </w:rPr>
        <w:t>P164(x,y) ⇒ P160(x,y)</w:t>
      </w:r>
    </w:p>
    <w:p w14:paraId="7A35A0E7" w14:textId="77777777" w:rsidR="0084489F" w:rsidRDefault="00110FE6">
      <w:pPr>
        <w:pStyle w:val="BodyText"/>
      </w:pPr>
      <w:r>
        <w:rPr>
          <w:b/>
          <w:bCs/>
        </w:rPr>
        <w:t>Propriétés</w:t>
      </w:r>
    </w:p>
    <w:p w14:paraId="766AA59E" w14:textId="77777777" w:rsidR="0084489F" w:rsidRDefault="00110FE6">
      <w:pPr>
        <w:pStyle w:val="BlockText"/>
      </w:pPr>
      <w:r>
        <w:rPr>
          <w:b/>
          <w:bCs/>
          <w:i/>
          <w:iCs/>
        </w:rPr>
        <w:t>Note de traduction</w:t>
      </w:r>
    </w:p>
    <w:p w14:paraId="74608738" w14:textId="77777777" w:rsidR="0084489F" w:rsidRDefault="00110FE6">
      <w:pPr>
        <w:pStyle w:val="BlockText"/>
      </w:pPr>
      <w:r>
        <w:rPr>
          <w:b/>
          <w:bCs/>
          <w:i/>
          <w:iCs/>
        </w:rPr>
        <w:t>Références</w:t>
      </w:r>
    </w:p>
    <w:p w14:paraId="3630740B" w14:textId="77777777" w:rsidR="0084489F" w:rsidRDefault="0084489F">
      <w:pPr>
        <w:pStyle w:val="BlockText"/>
      </w:pPr>
    </w:p>
    <w:p w14:paraId="7BE097D8" w14:textId="77777777" w:rsidR="0084489F" w:rsidRDefault="00110FE6">
      <w:pPr>
        <w:pStyle w:val="Heading2"/>
      </w:pPr>
      <w:bookmarkStart w:id="536" w:name="_Toc176864648"/>
      <w:bookmarkStart w:id="537" w:name="p165-inclut-(est-inclus-dans)"/>
      <w:bookmarkEnd w:id="535"/>
      <w:r>
        <w:t>P165 inclut (est inclus dans)</w:t>
      </w:r>
      <w:bookmarkEnd w:id="536"/>
    </w:p>
    <w:p w14:paraId="722E2F1A" w14:textId="77777777" w:rsidR="0084489F" w:rsidRDefault="00110FE6">
      <w:pPr>
        <w:pStyle w:val="FirstParagraph"/>
      </w:pPr>
      <w:r>
        <w:rPr>
          <w:b/>
          <w:bCs/>
        </w:rPr>
        <w:t>Domaine</w:t>
      </w:r>
    </w:p>
    <w:p w14:paraId="70D1FF8A" w14:textId="77777777" w:rsidR="0084489F" w:rsidRDefault="00110FE6">
      <w:pPr>
        <w:pStyle w:val="BodyText"/>
      </w:pPr>
      <w:r>
        <w:rPr>
          <w:rStyle w:val="VerbatimChar"/>
        </w:rPr>
        <w:t>E73_Objet_informationnel</w:t>
      </w:r>
    </w:p>
    <w:p w14:paraId="43453E27" w14:textId="77777777" w:rsidR="0084489F" w:rsidRDefault="00110FE6">
      <w:pPr>
        <w:pStyle w:val="BodyText"/>
      </w:pPr>
      <w:r>
        <w:rPr>
          <w:b/>
          <w:bCs/>
        </w:rPr>
        <w:t>Portée</w:t>
      </w:r>
    </w:p>
    <w:p w14:paraId="526E4318" w14:textId="77777777" w:rsidR="0084489F" w:rsidRDefault="00110FE6">
      <w:pPr>
        <w:pStyle w:val="BodyText"/>
      </w:pPr>
      <w:r>
        <w:rPr>
          <w:rStyle w:val="VerbatimChar"/>
        </w:rPr>
        <w:t>E90_Objet_symbolique</w:t>
      </w:r>
    </w:p>
    <w:p w14:paraId="6B10E342" w14:textId="77777777" w:rsidR="0084489F" w:rsidRDefault="00110FE6">
      <w:pPr>
        <w:pStyle w:val="BodyText"/>
      </w:pPr>
      <w:r>
        <w:rPr>
          <w:b/>
          <w:bCs/>
        </w:rPr>
        <w:t>Sous-propriété de</w:t>
      </w:r>
    </w:p>
    <w:p w14:paraId="01EB3844" w14:textId="77777777" w:rsidR="0084489F" w:rsidRDefault="00110FE6">
      <w:pPr>
        <w:pStyle w:val="BodyText"/>
      </w:pPr>
      <w:r w:rsidRPr="1B9E7434">
        <w:rPr>
          <w:rStyle w:val="VerbatimChar"/>
          <w:lang w:val="fr-FR"/>
        </w:rPr>
        <w:t>E90_Objet_symbolique</w:t>
      </w:r>
      <w:r w:rsidRPr="1B9E7434">
        <w:rPr>
          <w:lang w:val="fr-FR"/>
        </w:rPr>
        <w:t xml:space="preserve">. </w:t>
      </w:r>
      <w:r w:rsidRPr="1B9E7434">
        <w:rPr>
          <w:rStyle w:val="VerbatimChar"/>
          <w:lang w:val="fr-FR"/>
        </w:rPr>
        <w:t>P106_est_composé_de (fait_partie_de)</w:t>
      </w:r>
      <w:r w:rsidRPr="1B9E7434">
        <w:rPr>
          <w:lang w:val="fr-FR"/>
        </w:rPr>
        <w:t xml:space="preserve"> : </w:t>
      </w:r>
      <w:r w:rsidRPr="1B9E7434">
        <w:rPr>
          <w:rStyle w:val="VerbatimChar"/>
          <w:lang w:val="fr-FR"/>
        </w:rPr>
        <w:t>E90_Objet_symbolique</w:t>
      </w:r>
    </w:p>
    <w:p w14:paraId="37DA41B9" w14:textId="77777777" w:rsidR="0084489F" w:rsidRDefault="00110FE6">
      <w:pPr>
        <w:pStyle w:val="BodyText"/>
      </w:pPr>
      <w:r>
        <w:rPr>
          <w:b/>
          <w:bCs/>
        </w:rPr>
        <w:t>Super-propriété de</w:t>
      </w:r>
    </w:p>
    <w:p w14:paraId="4B1838D1" w14:textId="77777777" w:rsidR="0084489F" w:rsidRDefault="00110FE6">
      <w:pPr>
        <w:pStyle w:val="BodyText"/>
      </w:pPr>
      <w:r>
        <w:rPr>
          <w:b/>
          <w:bCs/>
        </w:rPr>
        <w:t>Quantification</w:t>
      </w:r>
    </w:p>
    <w:p w14:paraId="7B4875E6" w14:textId="77777777" w:rsidR="0084489F" w:rsidRDefault="00110FE6">
      <w:pPr>
        <w:pStyle w:val="BodyText"/>
      </w:pPr>
      <w:r w:rsidRPr="1B9E7434">
        <w:rPr>
          <w:lang w:val="fr-FR"/>
        </w:rPr>
        <w:t>plusieurs à plusieurs (0,n:0,n)</w:t>
      </w:r>
    </w:p>
    <w:p w14:paraId="25DFFFCD" w14:textId="77777777" w:rsidR="0084489F" w:rsidRDefault="00110FE6">
      <w:pPr>
        <w:pStyle w:val="BodyText"/>
      </w:pPr>
      <w:r>
        <w:rPr>
          <w:b/>
          <w:bCs/>
        </w:rPr>
        <w:t>Note d’application</w:t>
      </w:r>
    </w:p>
    <w:p w14:paraId="1D653012" w14:textId="77777777" w:rsidR="0084489F" w:rsidRDefault="00110FE6">
      <w:pPr>
        <w:pStyle w:val="BodyText"/>
      </w:pPr>
      <w:r>
        <w:t xml:space="preserve">Cette propriété associe une instance de </w:t>
      </w:r>
      <w:r>
        <w:rPr>
          <w:rStyle w:val="VerbatimChar"/>
        </w:rPr>
        <w:t>E73_Objet_informationnel</w:t>
      </w:r>
      <w:r>
        <w:t xml:space="preserve"> à une instance de </w:t>
      </w:r>
      <w:r>
        <w:rPr>
          <w:rStyle w:val="VerbatimChar"/>
        </w:rPr>
        <w:t>E90_Objet_symbolique</w:t>
      </w:r>
      <w:r>
        <w:t xml:space="preserve"> (ou une instance de l’une de ses sous-classes), la seconde étant incluse dans la première.</w:t>
      </w:r>
    </w:p>
    <w:p w14:paraId="4DF1D8C9" w14:textId="77777777" w:rsidR="0084489F" w:rsidRDefault="00110FE6">
      <w:pPr>
        <w:pStyle w:val="BodyText"/>
      </w:pPr>
      <w:r>
        <w:t xml:space="preserve">Cette propriété permet de reconnaître le statut autonome des signes incorporés, créés dans un contexte distinct, et pouvant être incorporés dans de nombreuses instances de </w:t>
      </w:r>
      <w:r>
        <w:rPr>
          <w:rStyle w:val="VerbatimChar"/>
        </w:rPr>
        <w:t>E73_Objet_informationnel</w:t>
      </w:r>
      <w:r>
        <w:t>, ainsi que de mettre en évidence la différence entre les relations partitives structurelles ou accidentelles entre des entités conceptuelles.</w:t>
      </w:r>
    </w:p>
    <w:p w14:paraId="52168457" w14:textId="77777777" w:rsidR="0084489F" w:rsidRDefault="00110FE6">
      <w:pPr>
        <w:pStyle w:val="BodyText"/>
      </w:pPr>
      <w:r>
        <w:t>Cette propriété rend compte de plusieurs faits culturels fréquents et significatifs : l’inclusion d’un poème dans une anthologie, la réutilisation d’un aria dans un nouvel opéra, l’utilisation d’une reproduction d’une œuvre peinte pour la couverture d’un livre ou le livret d’accompagnement d’un disque compact, l’intégration de citations textuelles, la présence de paroles dans une chanson les mettant en musique, la présence du texte d’une pièce de théâtre dans un film basé sur cette pièce, etc.</w:t>
      </w:r>
    </w:p>
    <w:p w14:paraId="44DFD7F8" w14:textId="77777777" w:rsidR="0084489F" w:rsidRDefault="00110FE6">
      <w:pPr>
        <w:pStyle w:val="BodyText"/>
      </w:pPr>
      <w:r>
        <w:t>En particulier, cette propriété permet la modélisation de relations de différents niveaux de spécificité symbolique, telles que les mots de la langue naturelle composant un texte, les caractères composant les mots et la ponctuation, le choix des polices et la mise en page des caractères.</w:t>
      </w:r>
    </w:p>
    <w:p w14:paraId="5A6D212E" w14:textId="77777777" w:rsidR="0084489F" w:rsidRDefault="00110FE6">
      <w:pPr>
        <w:pStyle w:val="BodyText"/>
      </w:pPr>
      <w:r>
        <w:t xml:space="preserve">Lorsque cette propriété est limitée aux objets informationnels, c.-à-d. lorsqu’elle est considérée comme ayant à la fois la classe </w:t>
      </w:r>
      <w:r>
        <w:rPr>
          <w:rStyle w:val="VerbatimChar"/>
        </w:rPr>
        <w:t>E73_Objet_informationnel</w:t>
      </w:r>
      <w:r>
        <w:t xml:space="preserve"> comme domaine et comme portée, elle est transitive.</w:t>
      </w:r>
    </w:p>
    <w:p w14:paraId="279EC49E" w14:textId="77777777" w:rsidR="0084489F" w:rsidRDefault="00110FE6">
      <w:pPr>
        <w:pStyle w:val="BodyText"/>
      </w:pPr>
      <w:r>
        <w:lastRenderedPageBreak/>
        <w:t>Une photographie numérique d’une page manuscrite inclut le texte de ladite page, si ce dernier est défini comme une séquence de symboles d’un type particulier, tels que les caractères latins, et que la résolution et la qualité de l’image numérique sont suffisantes pour que ces symboles y soient lisibles.</w:t>
      </w:r>
    </w:p>
    <w:p w14:paraId="10E9B240" w14:textId="77777777" w:rsidR="0084489F" w:rsidRDefault="00110FE6">
      <w:pPr>
        <w:pStyle w:val="BodyText"/>
      </w:pPr>
      <w:r>
        <w:t>Cette propriété est asymétrique.</w:t>
      </w:r>
    </w:p>
    <w:p w14:paraId="7067F459" w14:textId="77777777" w:rsidR="0084489F" w:rsidRDefault="00110FE6">
      <w:pPr>
        <w:pStyle w:val="BodyText"/>
      </w:pPr>
      <w:r>
        <w:rPr>
          <w:b/>
          <w:bCs/>
        </w:rPr>
        <w:t>Exemples</w:t>
      </w:r>
    </w:p>
    <w:p w14:paraId="5F15F5E3" w14:textId="77777777" w:rsidR="0084489F" w:rsidRDefault="00110FE6" w:rsidP="00806324">
      <w:pPr>
        <w:numPr>
          <w:ilvl w:val="0"/>
          <w:numId w:val="270"/>
        </w:numPr>
      </w:pPr>
      <w:r>
        <w:t xml:space="preserve">Le contenu de </w:t>
      </w:r>
      <w:r>
        <w:rPr>
          <w:i/>
          <w:iCs/>
        </w:rPr>
        <w:t>Les Filigranes : dictionnaire historique des marques du papier</w:t>
      </w:r>
      <w:r>
        <w:t xml:space="preserve"> de Charles-Moïse Briquet (</w:t>
      </w:r>
      <w:r>
        <w:rPr>
          <w:rStyle w:val="VerbatimChar"/>
        </w:rPr>
        <w:t>E32_Document_de_référence</w:t>
      </w:r>
      <w:r>
        <w:t>) inclut (</w:t>
      </w:r>
      <w:r>
        <w:rPr>
          <w:rStyle w:val="VerbatimChar"/>
        </w:rPr>
        <w:t>P165_inclut</w:t>
      </w:r>
      <w:r>
        <w:t>) l’aspect visuel du filigrane utilisé par un ou plusieurs papetiers espagnols autour de 1358-1361 et identifié comme « Briquet 4019 » (</w:t>
      </w:r>
      <w:r>
        <w:rPr>
          <w:rStyle w:val="VerbatimChar"/>
        </w:rPr>
        <w:t>E37_Marque</w:t>
      </w:r>
      <w:r>
        <w:t>) (Briquet, 1985)</w:t>
      </w:r>
    </w:p>
    <w:p w14:paraId="6886F388" w14:textId="2EE23CF2" w:rsidR="0084489F" w:rsidRDefault="00110FE6" w:rsidP="00806324">
      <w:pPr>
        <w:numPr>
          <w:ilvl w:val="0"/>
          <w:numId w:val="270"/>
        </w:numPr>
      </w:pPr>
      <w:r w:rsidRPr="1B9E7434">
        <w:rPr>
          <w:lang w:val="fr-FR"/>
        </w:rPr>
        <w:t xml:space="preserve">Le contenu visuel de l’œuvre peinte de Jacopo Amigoni connue sous le nom </w:t>
      </w:r>
      <w:r w:rsidRPr="1B9E7434">
        <w:rPr>
          <w:i/>
          <w:iCs/>
          <w:lang w:val="fr-FR"/>
        </w:rPr>
        <w:t>Farinelli et ses amis</w:t>
      </w:r>
      <w:r w:rsidRPr="1B9E7434">
        <w:rPr>
          <w:lang w:val="fr-FR"/>
        </w:rPr>
        <w:t xml:space="preserve"> (</w:t>
      </w:r>
      <w:r w:rsidRPr="1B9E7434">
        <w:rPr>
          <w:rStyle w:val="VerbatimChar"/>
          <w:lang w:val="fr-FR"/>
        </w:rPr>
        <w:t>E36_Entité_visuelle</w:t>
      </w:r>
      <w:r w:rsidRPr="1B9E7434">
        <w:rPr>
          <w:lang w:val="fr-FR"/>
        </w:rPr>
        <w:t>) inclut (</w:t>
      </w:r>
      <w:r w:rsidRPr="1B9E7434">
        <w:rPr>
          <w:rStyle w:val="VerbatimChar"/>
          <w:lang w:val="fr-FR"/>
        </w:rPr>
        <w:t>P165_inclut</w:t>
      </w:r>
      <w:r w:rsidRPr="1B9E7434">
        <w:rPr>
          <w:lang w:val="fr-FR"/>
        </w:rPr>
        <w:t xml:space="preserve">) la notation musicale de l’œuvre musicale de Farinelli intitulée </w:t>
      </w:r>
      <w:r w:rsidRPr="1B9E7434">
        <w:rPr>
          <w:i/>
          <w:iCs/>
          <w:lang w:val="fr-FR"/>
        </w:rPr>
        <w:t>La Partenza</w:t>
      </w:r>
      <w:r w:rsidRPr="1B9E7434">
        <w:rPr>
          <w:lang w:val="fr-FR"/>
        </w:rPr>
        <w:t xml:space="preserve"> (</w:t>
      </w:r>
      <w:r w:rsidRPr="1B9E7434">
        <w:rPr>
          <w:rStyle w:val="VerbatimChar"/>
          <w:lang w:val="fr-FR"/>
        </w:rPr>
        <w:t>E73_Objet_informationnel</w:t>
      </w:r>
      <w:r w:rsidRPr="1B9E7434">
        <w:rPr>
          <w:lang w:val="fr-FR"/>
        </w:rPr>
        <w:t>) (Musée national du Victoria)</w:t>
      </w:r>
    </w:p>
    <w:p w14:paraId="1C39A218" w14:textId="77777777" w:rsidR="0084489F" w:rsidRDefault="00110FE6" w:rsidP="00806324">
      <w:pPr>
        <w:numPr>
          <w:ilvl w:val="0"/>
          <w:numId w:val="270"/>
        </w:numPr>
      </w:pPr>
      <w:r>
        <w:t xml:space="preserve">Le contenu visuel de l’œuvre peinte de Nicolas Poussin intitulée </w:t>
      </w:r>
      <w:r>
        <w:rPr>
          <w:i/>
          <w:iCs/>
        </w:rPr>
        <w:t>Les Bergers d’Arcadie</w:t>
      </w:r>
      <w:r>
        <w:t xml:space="preserve"> (</w:t>
      </w:r>
      <w:r>
        <w:rPr>
          <w:rStyle w:val="VerbatimChar"/>
        </w:rPr>
        <w:t>E36_Entité_visuelle</w:t>
      </w:r>
      <w:r>
        <w:t>) inclut (</w:t>
      </w:r>
      <w:r>
        <w:rPr>
          <w:rStyle w:val="VerbatimChar"/>
        </w:rPr>
        <w:t>P165_inclut</w:t>
      </w:r>
      <w:r>
        <w:t>) la locution latine « Et in Arcadia ego » (</w:t>
      </w:r>
      <w:r>
        <w:rPr>
          <w:rStyle w:val="VerbatimChar"/>
        </w:rPr>
        <w:t>E33_Objet_linguistique</w:t>
      </w:r>
      <w:r>
        <w:t>) (Wikipédia, 2020)</w:t>
      </w:r>
    </w:p>
    <w:p w14:paraId="6A0C2598" w14:textId="77777777" w:rsidR="0084489F" w:rsidRDefault="00110FE6">
      <w:pPr>
        <w:pStyle w:val="FirstParagraph"/>
      </w:pPr>
      <w:r>
        <w:rPr>
          <w:b/>
          <w:bCs/>
        </w:rPr>
        <w:t>Logique</w:t>
      </w:r>
    </w:p>
    <w:p w14:paraId="6F0B1EDE" w14:textId="77777777" w:rsidR="0084489F" w:rsidRDefault="00110FE6">
      <w:pPr>
        <w:pStyle w:val="BodyText"/>
      </w:pPr>
      <w:r w:rsidRPr="1B9E7434">
        <w:rPr>
          <w:lang w:val="fr-FR"/>
        </w:rPr>
        <w:t>P165(x,y) ⇒ E73(x)</w:t>
      </w:r>
    </w:p>
    <w:p w14:paraId="18AC2502" w14:textId="77777777" w:rsidR="0084489F" w:rsidRDefault="00110FE6">
      <w:pPr>
        <w:pStyle w:val="BodyText"/>
      </w:pPr>
      <w:r w:rsidRPr="1B9E7434">
        <w:rPr>
          <w:lang w:val="fr-FR"/>
        </w:rPr>
        <w:t>P165(x,y) ⇒ E90(y)</w:t>
      </w:r>
    </w:p>
    <w:p w14:paraId="1F148908" w14:textId="77777777" w:rsidR="0084489F" w:rsidRDefault="00110FE6">
      <w:pPr>
        <w:pStyle w:val="BodyText"/>
      </w:pPr>
      <w:r w:rsidRPr="1B9E7434">
        <w:rPr>
          <w:lang w:val="fr-FR"/>
        </w:rPr>
        <w:t>P165(x,y) ⇒ P106(x,y)</w:t>
      </w:r>
    </w:p>
    <w:p w14:paraId="71D9C06F" w14:textId="77777777" w:rsidR="0084489F" w:rsidRDefault="00110FE6">
      <w:pPr>
        <w:pStyle w:val="BodyText"/>
      </w:pPr>
      <w:r w:rsidRPr="1B9E7434">
        <w:rPr>
          <w:lang w:val="fr-FR"/>
        </w:rPr>
        <w:t>P165(x,y) ⇒ ¬P165(y,x)</w:t>
      </w:r>
    </w:p>
    <w:p w14:paraId="49B85BEF" w14:textId="77777777" w:rsidR="0084489F" w:rsidRDefault="00110FE6">
      <w:pPr>
        <w:pStyle w:val="BodyText"/>
      </w:pPr>
      <w:r>
        <w:rPr>
          <w:b/>
          <w:bCs/>
        </w:rPr>
        <w:t>Propriétés</w:t>
      </w:r>
    </w:p>
    <w:p w14:paraId="40ABB22C" w14:textId="77777777" w:rsidR="0084489F" w:rsidRDefault="00110FE6">
      <w:pPr>
        <w:pStyle w:val="BlockText"/>
      </w:pPr>
      <w:r>
        <w:rPr>
          <w:b/>
          <w:bCs/>
          <w:i/>
          <w:iCs/>
        </w:rPr>
        <w:t>Note de traduction</w:t>
      </w:r>
    </w:p>
    <w:p w14:paraId="15DF0D5D" w14:textId="77777777" w:rsidR="0084489F" w:rsidRDefault="00110FE6">
      <w:pPr>
        <w:pStyle w:val="BlockText"/>
      </w:pPr>
      <w:r w:rsidRPr="1B9E7434">
        <w:rPr>
          <w:lang w:val="fr-FR"/>
        </w:rPr>
        <w:t>« The Singer Farinelli and friends » a été traduit par « Farinelli et ses amis ». Malgré plusieurs recherches, il ne semble pas y avoir de consensus évident en ce qui a trait au titre de la peinture, mais nous avons retenu la traduction diffusée par le projet Utpictura18 maintenu par Aix-Marseille Université.</w:t>
      </w:r>
    </w:p>
    <w:p w14:paraId="29107849" w14:textId="77777777" w:rsidR="0084489F" w:rsidRDefault="00110FE6">
      <w:pPr>
        <w:pStyle w:val="BlockText"/>
      </w:pPr>
      <w:r>
        <w:rPr>
          <w:b/>
          <w:bCs/>
          <w:i/>
          <w:iCs/>
        </w:rPr>
        <w:t>Références</w:t>
      </w:r>
    </w:p>
    <w:p w14:paraId="77E357A4" w14:textId="77777777" w:rsidR="0084489F" w:rsidRDefault="00110FE6">
      <w:pPr>
        <w:pStyle w:val="BlockText"/>
      </w:pPr>
      <w:r w:rsidRPr="1B9E7434">
        <w:rPr>
          <w:lang w:val="fr-FR"/>
        </w:rPr>
        <w:t>Utpictura18. « Farinelli et ses amis - Amigoni ». Utpictura18. Consulté le 18 mai 2023.</w:t>
      </w:r>
      <w:hyperlink r:id="rId281">
        <w:r w:rsidRPr="1B9E7434">
          <w:rPr>
            <w:rStyle w:val="Hyperlink"/>
            <w:lang w:val="fr-FR"/>
          </w:rPr>
          <w:t xml:space="preserve"> </w:t>
        </w:r>
      </w:hyperlink>
      <w:hyperlink r:id="rId282">
        <w:r w:rsidRPr="1B9E7434">
          <w:rPr>
            <w:rStyle w:val="Hyperlink"/>
            <w:lang w:val="fr-FR"/>
          </w:rPr>
          <w:t>https://utpictura18.univ-amu.fr/notice/4226-farinelli-amis-amigoni</w:t>
        </w:r>
      </w:hyperlink>
      <w:r w:rsidRPr="1B9E7434">
        <w:rPr>
          <w:lang w:val="fr-FR"/>
        </w:rPr>
        <w:t>.</w:t>
      </w:r>
    </w:p>
    <w:p w14:paraId="289DBC79" w14:textId="77777777" w:rsidR="00453C68" w:rsidRPr="00453C68" w:rsidRDefault="00453C68" w:rsidP="00453C68">
      <w:pPr>
        <w:pStyle w:val="BodyText"/>
      </w:pPr>
    </w:p>
    <w:p w14:paraId="67A62796" w14:textId="77777777" w:rsidR="0084489F" w:rsidRDefault="00110FE6">
      <w:pPr>
        <w:pStyle w:val="Heading2"/>
      </w:pPr>
      <w:bookmarkStart w:id="538" w:name="_Toc176864649"/>
      <w:bookmarkStart w:id="539" w:name="X1e84e97271aeaf51caa7c2999340e02123a2399"/>
      <w:bookmarkEnd w:id="537"/>
      <w:r>
        <w:t>P166 a été une présence de (a eu pour présence)</w:t>
      </w:r>
      <w:bookmarkEnd w:id="538"/>
    </w:p>
    <w:p w14:paraId="6C498CD1" w14:textId="77777777" w:rsidR="0084489F" w:rsidRDefault="00110FE6">
      <w:pPr>
        <w:pStyle w:val="FirstParagraph"/>
      </w:pPr>
      <w:r>
        <w:rPr>
          <w:b/>
          <w:bCs/>
        </w:rPr>
        <w:t>Domaine</w:t>
      </w:r>
    </w:p>
    <w:p w14:paraId="5CAC1A45" w14:textId="77777777" w:rsidR="0084489F" w:rsidRDefault="00110FE6">
      <w:pPr>
        <w:pStyle w:val="BodyText"/>
      </w:pPr>
      <w:r>
        <w:rPr>
          <w:rStyle w:val="VerbatimChar"/>
        </w:rPr>
        <w:t>E93_Présence</w:t>
      </w:r>
    </w:p>
    <w:p w14:paraId="5178BC15" w14:textId="77777777" w:rsidR="0084489F" w:rsidRDefault="00110FE6">
      <w:pPr>
        <w:pStyle w:val="BodyText"/>
      </w:pPr>
      <w:r>
        <w:rPr>
          <w:b/>
          <w:bCs/>
        </w:rPr>
        <w:t>Portée</w:t>
      </w:r>
    </w:p>
    <w:p w14:paraId="1FD44480" w14:textId="77777777" w:rsidR="0084489F" w:rsidRDefault="00110FE6">
      <w:pPr>
        <w:pStyle w:val="BodyText"/>
      </w:pPr>
      <w:r>
        <w:rPr>
          <w:rStyle w:val="VerbatimChar"/>
        </w:rPr>
        <w:t>E92_Volume_spatio-temporel</w:t>
      </w:r>
    </w:p>
    <w:p w14:paraId="2D54B84B" w14:textId="77777777" w:rsidR="0084489F" w:rsidRDefault="00110FE6">
      <w:pPr>
        <w:pStyle w:val="BodyText"/>
      </w:pPr>
      <w:r>
        <w:rPr>
          <w:b/>
          <w:bCs/>
        </w:rPr>
        <w:t>Sous-propriété de</w:t>
      </w:r>
    </w:p>
    <w:p w14:paraId="262EEE43" w14:textId="77777777" w:rsidR="0084489F" w:rsidRDefault="00110FE6">
      <w:pPr>
        <w:pStyle w:val="BodyText"/>
      </w:pPr>
      <w:r>
        <w:rPr>
          <w:rStyle w:val="VerbatimChar"/>
        </w:rPr>
        <w:t>E92_Volume_spatio-temporel</w:t>
      </w:r>
      <w:r>
        <w:t xml:space="preserve">. </w:t>
      </w:r>
      <w:r>
        <w:rPr>
          <w:rStyle w:val="VerbatimChar"/>
        </w:rPr>
        <w:t>P10_s’insère_dans (contient)</w:t>
      </w:r>
      <w:r>
        <w:t xml:space="preserve"> : </w:t>
      </w:r>
      <w:r>
        <w:rPr>
          <w:rStyle w:val="VerbatimChar"/>
        </w:rPr>
        <w:t>E92_Volume_spatio-temporel</w:t>
      </w:r>
    </w:p>
    <w:p w14:paraId="71775215" w14:textId="77777777" w:rsidR="0084489F" w:rsidRDefault="00110FE6">
      <w:pPr>
        <w:pStyle w:val="BodyText"/>
      </w:pPr>
      <w:r>
        <w:rPr>
          <w:b/>
          <w:bCs/>
        </w:rPr>
        <w:lastRenderedPageBreak/>
        <w:t>Super-propriété de</w:t>
      </w:r>
    </w:p>
    <w:p w14:paraId="0994F65B" w14:textId="77777777" w:rsidR="0084489F" w:rsidRDefault="00110FE6">
      <w:pPr>
        <w:pStyle w:val="BodyText"/>
      </w:pPr>
      <w:r>
        <w:rPr>
          <w:b/>
          <w:bCs/>
        </w:rPr>
        <w:t>Quantification</w:t>
      </w:r>
    </w:p>
    <w:p w14:paraId="32BBA4F3" w14:textId="77777777" w:rsidR="0084489F" w:rsidRDefault="00110FE6">
      <w:pPr>
        <w:pStyle w:val="BodyText"/>
      </w:pPr>
      <w:r w:rsidRPr="1B9E7434">
        <w:rPr>
          <w:lang w:val="fr-FR"/>
        </w:rPr>
        <w:t>plusieurs à un, nécessaire (1,1: 0,n)</w:t>
      </w:r>
    </w:p>
    <w:p w14:paraId="63B3D857" w14:textId="77777777" w:rsidR="0084489F" w:rsidRDefault="00110FE6">
      <w:pPr>
        <w:pStyle w:val="BodyText"/>
      </w:pPr>
      <w:r>
        <w:rPr>
          <w:b/>
          <w:bCs/>
        </w:rPr>
        <w:t>Note d’application</w:t>
      </w:r>
    </w:p>
    <w:p w14:paraId="057F6830" w14:textId="77777777" w:rsidR="0084489F" w:rsidRDefault="00110FE6">
      <w:pPr>
        <w:pStyle w:val="BodyText"/>
      </w:pPr>
      <w:r>
        <w:t xml:space="preserve">Cette propriété associe une instance de </w:t>
      </w:r>
      <w:r>
        <w:rPr>
          <w:rStyle w:val="VerbatimChar"/>
        </w:rPr>
        <w:t>E93_Présence</w:t>
      </w:r>
      <w:r>
        <w:t xml:space="preserve"> à l'instance de </w:t>
      </w:r>
      <w:r>
        <w:rPr>
          <w:rStyle w:val="VerbatimChar"/>
        </w:rPr>
        <w:t>E92_Volume_spatio-temporel</w:t>
      </w:r>
      <w:r>
        <w:t xml:space="preserve"> dont elle représente une restriction temporelle (c.-à-d. une tranche de temps). L'instanciation de cette propriété constitue une partie nécessaire de l'identité de l'instance de </w:t>
      </w:r>
      <w:r>
        <w:rPr>
          <w:rStyle w:val="VerbatimChar"/>
        </w:rPr>
        <w:t>E93_Présence</w:t>
      </w:r>
      <w:r>
        <w:t>.</w:t>
      </w:r>
    </w:p>
    <w:p w14:paraId="03CCA01B" w14:textId="77777777" w:rsidR="0084489F" w:rsidRDefault="00110FE6">
      <w:pPr>
        <w:pStyle w:val="BodyText"/>
      </w:pPr>
      <w:r>
        <w:rPr>
          <w:b/>
          <w:bCs/>
        </w:rPr>
        <w:t>Exemples</w:t>
      </w:r>
    </w:p>
    <w:p w14:paraId="5C26D4CB" w14:textId="3DF4A438" w:rsidR="0084489F" w:rsidRDefault="00110FE6" w:rsidP="00806324">
      <w:pPr>
        <w:numPr>
          <w:ilvl w:val="0"/>
          <w:numId w:val="271"/>
        </w:numPr>
      </w:pPr>
      <w:r w:rsidRPr="1B9E7434">
        <w:rPr>
          <w:lang w:val="fr-FR"/>
        </w:rPr>
        <w:t>L’Empire romain le 19 août 14 EC (</w:t>
      </w:r>
      <w:r w:rsidRPr="1B9E7434">
        <w:rPr>
          <w:rStyle w:val="VerbatimChar"/>
          <w:lang w:val="fr-FR"/>
        </w:rPr>
        <w:t>E93_Présence</w:t>
      </w:r>
      <w:r w:rsidRPr="1B9E7434">
        <w:rPr>
          <w:lang w:val="fr-FR"/>
        </w:rPr>
        <w:t>) a été une présence de (</w:t>
      </w:r>
      <w:r w:rsidRPr="1B9E7434">
        <w:rPr>
          <w:rStyle w:val="VerbatimChar"/>
          <w:lang w:val="fr-FR"/>
        </w:rPr>
        <w:t>P166_a_été_une_présence_de</w:t>
      </w:r>
      <w:r w:rsidRPr="1B9E7434">
        <w:rPr>
          <w:lang w:val="fr-FR"/>
        </w:rPr>
        <w:t>) l’Empire romain (Clare &amp; Edwards, 1992)</w:t>
      </w:r>
    </w:p>
    <w:p w14:paraId="58BE574C" w14:textId="77777777" w:rsidR="0084489F" w:rsidRDefault="00110FE6">
      <w:pPr>
        <w:pStyle w:val="FirstParagraph"/>
      </w:pPr>
      <w:r>
        <w:rPr>
          <w:b/>
          <w:bCs/>
        </w:rPr>
        <w:t>Logique</w:t>
      </w:r>
    </w:p>
    <w:p w14:paraId="1927D980" w14:textId="77777777" w:rsidR="0084489F" w:rsidRDefault="00110FE6">
      <w:pPr>
        <w:pStyle w:val="BodyText"/>
      </w:pPr>
      <w:r w:rsidRPr="1B9E7434">
        <w:rPr>
          <w:lang w:val="fr-FR"/>
        </w:rPr>
        <w:t>P166(x,y) ⇒ E93(x)</w:t>
      </w:r>
    </w:p>
    <w:p w14:paraId="28CFC3A4" w14:textId="77777777" w:rsidR="0084489F" w:rsidRDefault="00110FE6">
      <w:pPr>
        <w:pStyle w:val="BodyText"/>
      </w:pPr>
      <w:r w:rsidRPr="1B9E7434">
        <w:rPr>
          <w:lang w:val="fr-FR"/>
        </w:rPr>
        <w:t>P166(x,y) ⇒ E92(y)</w:t>
      </w:r>
    </w:p>
    <w:p w14:paraId="459130A3" w14:textId="77777777" w:rsidR="0084489F" w:rsidRDefault="00110FE6">
      <w:pPr>
        <w:pStyle w:val="BodyText"/>
      </w:pPr>
      <w:r w:rsidRPr="1B9E7434">
        <w:rPr>
          <w:lang w:val="fr-FR"/>
        </w:rPr>
        <w:t>P166(x,y) ⇒ P10(x,y)</w:t>
      </w:r>
    </w:p>
    <w:p w14:paraId="6E03B0AF" w14:textId="77777777" w:rsidR="0084489F" w:rsidRDefault="00110FE6">
      <w:pPr>
        <w:pStyle w:val="BodyText"/>
      </w:pPr>
      <w:r>
        <w:rPr>
          <w:b/>
          <w:bCs/>
        </w:rPr>
        <w:t>Propriétés</w:t>
      </w:r>
    </w:p>
    <w:p w14:paraId="1E9E10C1" w14:textId="77777777" w:rsidR="0084489F" w:rsidRDefault="00110FE6">
      <w:pPr>
        <w:pStyle w:val="BlockText"/>
      </w:pPr>
      <w:r>
        <w:rPr>
          <w:b/>
          <w:bCs/>
          <w:i/>
          <w:iCs/>
        </w:rPr>
        <w:t>Note de traduction</w:t>
      </w:r>
    </w:p>
    <w:p w14:paraId="30F5743C" w14:textId="77777777" w:rsidR="0084489F" w:rsidRDefault="00110FE6">
      <w:pPr>
        <w:pStyle w:val="BlockText"/>
      </w:pPr>
      <w:r>
        <w:rPr>
          <w:b/>
          <w:bCs/>
          <w:i/>
          <w:iCs/>
        </w:rPr>
        <w:t>Références</w:t>
      </w:r>
    </w:p>
    <w:p w14:paraId="5378FD82" w14:textId="77777777" w:rsidR="0084489F" w:rsidRDefault="0084489F">
      <w:pPr>
        <w:pStyle w:val="BlockText"/>
      </w:pPr>
    </w:p>
    <w:p w14:paraId="63A24AA7" w14:textId="77777777" w:rsidR="0084489F" w:rsidRDefault="00110FE6">
      <w:pPr>
        <w:pStyle w:val="Heading2"/>
      </w:pPr>
      <w:bookmarkStart w:id="540" w:name="_Toc176864650"/>
      <w:bookmarkStart w:id="541" w:name="p167-sinscrivait-dans-(comporte)"/>
      <w:bookmarkEnd w:id="539"/>
      <w:r>
        <w:t>P167 s’inscrivait dans (comporte)</w:t>
      </w:r>
      <w:bookmarkEnd w:id="540"/>
    </w:p>
    <w:p w14:paraId="6416CE1E" w14:textId="77777777" w:rsidR="0084489F" w:rsidRDefault="00110FE6">
      <w:pPr>
        <w:pStyle w:val="FirstParagraph"/>
      </w:pPr>
      <w:r>
        <w:rPr>
          <w:b/>
          <w:bCs/>
        </w:rPr>
        <w:t>Domaine</w:t>
      </w:r>
    </w:p>
    <w:p w14:paraId="59EE52DA" w14:textId="77777777" w:rsidR="0084489F" w:rsidRDefault="00110FE6">
      <w:pPr>
        <w:pStyle w:val="BodyText"/>
      </w:pPr>
      <w:r>
        <w:rPr>
          <w:rStyle w:val="VerbatimChar"/>
        </w:rPr>
        <w:t>E93_Présence</w:t>
      </w:r>
    </w:p>
    <w:p w14:paraId="26ED5C00" w14:textId="77777777" w:rsidR="0084489F" w:rsidRDefault="00110FE6" w:rsidP="00453C68">
      <w:pPr>
        <w:pStyle w:val="BodyText"/>
        <w:keepNext/>
      </w:pPr>
      <w:r>
        <w:rPr>
          <w:b/>
          <w:bCs/>
        </w:rPr>
        <w:t>Portée</w:t>
      </w:r>
    </w:p>
    <w:p w14:paraId="7AEF2791" w14:textId="77777777" w:rsidR="0084489F" w:rsidRDefault="00110FE6" w:rsidP="00453C68">
      <w:pPr>
        <w:pStyle w:val="BodyText"/>
        <w:keepNext/>
      </w:pPr>
      <w:r>
        <w:rPr>
          <w:rStyle w:val="VerbatimChar"/>
        </w:rPr>
        <w:t>E53_Lieu</w:t>
      </w:r>
    </w:p>
    <w:p w14:paraId="43CDCF06" w14:textId="77777777" w:rsidR="0084489F" w:rsidRDefault="00110FE6">
      <w:pPr>
        <w:pStyle w:val="BodyText"/>
      </w:pPr>
      <w:r>
        <w:rPr>
          <w:b/>
          <w:bCs/>
        </w:rPr>
        <w:t>Sous-propriété de</w:t>
      </w:r>
    </w:p>
    <w:p w14:paraId="498C0201" w14:textId="77777777" w:rsidR="0084489F" w:rsidRDefault="00110FE6">
      <w:pPr>
        <w:pStyle w:val="BodyText"/>
      </w:pPr>
      <w:r>
        <w:rPr>
          <w:b/>
          <w:bCs/>
        </w:rPr>
        <w:t>Super-propriété de</w:t>
      </w:r>
    </w:p>
    <w:p w14:paraId="1B35BEA0" w14:textId="77777777" w:rsidR="0084489F" w:rsidRDefault="00110FE6">
      <w:pPr>
        <w:pStyle w:val="BodyText"/>
      </w:pPr>
      <w:r>
        <w:rPr>
          <w:b/>
          <w:bCs/>
        </w:rPr>
        <w:t>Quantification</w:t>
      </w:r>
    </w:p>
    <w:p w14:paraId="77DEC6EE" w14:textId="77777777" w:rsidR="0084489F" w:rsidRDefault="00110FE6">
      <w:pPr>
        <w:pStyle w:val="BodyText"/>
      </w:pPr>
      <w:r w:rsidRPr="1B9E7434">
        <w:rPr>
          <w:lang w:val="fr-FR"/>
        </w:rPr>
        <w:t>plusieurs à plusieurs, nécessaire (1,n ;0,n)</w:t>
      </w:r>
    </w:p>
    <w:p w14:paraId="38828B40" w14:textId="77777777" w:rsidR="0084489F" w:rsidRDefault="00110FE6">
      <w:pPr>
        <w:pStyle w:val="BodyText"/>
      </w:pPr>
      <w:r>
        <w:rPr>
          <w:b/>
          <w:bCs/>
        </w:rPr>
        <w:t>Note d’application</w:t>
      </w:r>
    </w:p>
    <w:p w14:paraId="0324FA95" w14:textId="77777777" w:rsidR="0084489F" w:rsidRDefault="00110FE6">
      <w:pPr>
        <w:pStyle w:val="BodyText"/>
      </w:pPr>
      <w:r>
        <w:t xml:space="preserve">Cette propriété associe une instance de </w:t>
      </w:r>
      <w:r>
        <w:rPr>
          <w:rStyle w:val="VerbatimChar"/>
        </w:rPr>
        <w:t>E93_Présence</w:t>
      </w:r>
      <w:r>
        <w:t xml:space="preserve"> à une instance de </w:t>
      </w:r>
      <w:r>
        <w:rPr>
          <w:rStyle w:val="VerbatimChar"/>
        </w:rPr>
        <w:t>E53_Lieu</w:t>
      </w:r>
      <w:r>
        <w:t xml:space="preserve"> qui inclut géométriquement la projection spatiale de l'instance de </w:t>
      </w:r>
      <w:r>
        <w:rPr>
          <w:rStyle w:val="VerbatimChar"/>
        </w:rPr>
        <w:t>E93_Présence</w:t>
      </w:r>
      <w:r>
        <w:t>. Cette propriété peut notamment être utilisée pour indiquer dans quel espace un objet se trouve depuis un certain temps, par exemple dans une pièce d'un château ou dans un tiroir. Elle peut également être utilisée pour décrire le confinement de l'étendue spatiale d'un domaine pendant un intervalle temporel connu.</w:t>
      </w:r>
    </w:p>
    <w:p w14:paraId="3CADE1EC" w14:textId="77777777" w:rsidR="0084489F" w:rsidRDefault="00110FE6" w:rsidP="00FA3C06">
      <w:pPr>
        <w:pStyle w:val="BodyText"/>
        <w:keepNext/>
      </w:pPr>
      <w:r>
        <w:lastRenderedPageBreak/>
        <w:t>Cette propriété est un raccourci du chemin sémantique suivant :</w:t>
      </w:r>
    </w:p>
    <w:p w14:paraId="75C0F2A0" w14:textId="77777777" w:rsidR="0084489F" w:rsidRDefault="00110FE6" w:rsidP="00FA3C06">
      <w:pPr>
        <w:pStyle w:val="BodyText"/>
        <w:keepNext/>
      </w:pPr>
      <w:r>
        <w:rPr>
          <w:rStyle w:val="VerbatimChar"/>
        </w:rPr>
        <w:t>E93_Présence</w:t>
      </w:r>
      <w:r>
        <w:t xml:space="preserve">, </w:t>
      </w:r>
      <w:r>
        <w:rPr>
          <w:rStyle w:val="VerbatimChar"/>
        </w:rPr>
        <w:t>P161_a_pour_projection_spatiale</w:t>
      </w:r>
      <w:r>
        <w:t xml:space="preserve">, </w:t>
      </w:r>
      <w:r>
        <w:rPr>
          <w:rStyle w:val="VerbatimChar"/>
        </w:rPr>
        <w:t>E53_Lieu</w:t>
      </w:r>
      <w:r>
        <w:t xml:space="preserve">, </w:t>
      </w:r>
      <w:r>
        <w:rPr>
          <w:rStyle w:val="VerbatimChar"/>
        </w:rPr>
        <w:t>P89_s’insère_dans (contient)</w:t>
      </w:r>
      <w:r>
        <w:t xml:space="preserve">, </w:t>
      </w:r>
      <w:r>
        <w:rPr>
          <w:rStyle w:val="VerbatimChar"/>
        </w:rPr>
        <w:t>E53_Lieu</w:t>
      </w:r>
      <w:r>
        <w:t>.</w:t>
      </w:r>
    </w:p>
    <w:p w14:paraId="0628D772" w14:textId="77777777" w:rsidR="0084489F" w:rsidRDefault="00110FE6">
      <w:pPr>
        <w:pStyle w:val="BodyText"/>
      </w:pPr>
      <w:r>
        <w:rPr>
          <w:b/>
          <w:bCs/>
        </w:rPr>
        <w:t>Exemples</w:t>
      </w:r>
    </w:p>
    <w:p w14:paraId="67DDD281" w14:textId="77777777" w:rsidR="0084489F" w:rsidRDefault="00110FE6" w:rsidP="00806324">
      <w:pPr>
        <w:numPr>
          <w:ilvl w:val="0"/>
          <w:numId w:val="272"/>
        </w:numPr>
      </w:pPr>
      <w:r>
        <w:t>La localisation de Johann Joachim Winckelmann en décembre 1775 (</w:t>
      </w:r>
      <w:r>
        <w:rPr>
          <w:rStyle w:val="VerbatimChar"/>
        </w:rPr>
        <w:t>E93_Présence</w:t>
      </w:r>
      <w:r>
        <w:t>) s’inscrivait dans (</w:t>
      </w:r>
      <w:r>
        <w:rPr>
          <w:rStyle w:val="VerbatimChar"/>
        </w:rPr>
        <w:t>P167_s’inscrivait_dans</w:t>
      </w:r>
      <w:r>
        <w:t>) Rome (</w:t>
      </w:r>
      <w:r>
        <w:rPr>
          <w:rStyle w:val="VerbatimChar"/>
        </w:rPr>
        <w:t>E53_Lieu</w:t>
      </w:r>
      <w:r>
        <w:t>)</w:t>
      </w:r>
    </w:p>
    <w:p w14:paraId="43E19181" w14:textId="363465E2" w:rsidR="0084489F" w:rsidRDefault="00110FE6" w:rsidP="00806324">
      <w:pPr>
        <w:numPr>
          <w:ilvl w:val="0"/>
          <w:numId w:val="272"/>
        </w:numPr>
      </w:pPr>
      <w:r w:rsidRPr="1B9E7434">
        <w:rPr>
          <w:lang w:val="fr-FR"/>
        </w:rPr>
        <w:t>La localisation de Johann Joachim Winkelmann du 19 novembre 1755 au 9 avril 1768 (</w:t>
      </w:r>
      <w:r w:rsidRPr="1B9E7434">
        <w:rPr>
          <w:rStyle w:val="VerbatimChar"/>
          <w:lang w:val="fr-FR"/>
        </w:rPr>
        <w:t>E93_Présence</w:t>
      </w:r>
      <w:r w:rsidRPr="1B9E7434">
        <w:rPr>
          <w:lang w:val="fr-FR"/>
        </w:rPr>
        <w:t>) s’inscrivait dans (</w:t>
      </w:r>
      <w:r w:rsidRPr="1B9E7434">
        <w:rPr>
          <w:rStyle w:val="VerbatimChar"/>
          <w:lang w:val="fr-FR"/>
        </w:rPr>
        <w:t>P167_s’inscrivait_dans</w:t>
      </w:r>
      <w:r w:rsidRPr="1B9E7434">
        <w:rPr>
          <w:lang w:val="fr-FR"/>
        </w:rPr>
        <w:t>) l’Italie (</w:t>
      </w:r>
      <w:r w:rsidRPr="1B9E7434">
        <w:rPr>
          <w:rStyle w:val="VerbatimChar"/>
          <w:lang w:val="fr-FR"/>
        </w:rPr>
        <w:t>E53_Lieu</w:t>
      </w:r>
      <w:r w:rsidRPr="1B9E7434">
        <w:rPr>
          <w:lang w:val="fr-FR"/>
        </w:rPr>
        <w:t>)</w:t>
      </w:r>
    </w:p>
    <w:p w14:paraId="3F97D842" w14:textId="77777777" w:rsidR="0084489F" w:rsidRDefault="00110FE6">
      <w:pPr>
        <w:pStyle w:val="FirstParagraph"/>
      </w:pPr>
      <w:r>
        <w:rPr>
          <w:b/>
          <w:bCs/>
        </w:rPr>
        <w:t>Logique</w:t>
      </w:r>
    </w:p>
    <w:p w14:paraId="3F502003" w14:textId="77777777" w:rsidR="0084489F" w:rsidRDefault="00110FE6">
      <w:pPr>
        <w:pStyle w:val="BodyText"/>
      </w:pPr>
      <w:r w:rsidRPr="1B9E7434">
        <w:rPr>
          <w:lang w:val="fr-FR"/>
        </w:rPr>
        <w:t>P167(x,y) ⇒ E93(x)</w:t>
      </w:r>
    </w:p>
    <w:p w14:paraId="7FE8EA3A" w14:textId="77777777" w:rsidR="0084489F" w:rsidRDefault="00110FE6">
      <w:pPr>
        <w:pStyle w:val="BodyText"/>
      </w:pPr>
      <w:r w:rsidRPr="1B9E7434">
        <w:rPr>
          <w:lang w:val="fr-FR"/>
        </w:rPr>
        <w:t>P167(x,y) ⇒ E53(y)</w:t>
      </w:r>
    </w:p>
    <w:p w14:paraId="256EBCCA" w14:textId="77777777" w:rsidR="0084489F" w:rsidRDefault="00110FE6">
      <w:pPr>
        <w:pStyle w:val="BodyText"/>
      </w:pPr>
      <w:r w:rsidRPr="1B9E7434">
        <w:rPr>
          <w:lang w:val="fr-FR"/>
        </w:rPr>
        <w:t>P167(x,y) ⇔ (∃z) [E53(z) ˄ P161(x,z) ˄ P89(z,y)]</w:t>
      </w:r>
    </w:p>
    <w:p w14:paraId="244D65D4" w14:textId="77777777" w:rsidR="0084489F" w:rsidRDefault="00110FE6">
      <w:pPr>
        <w:pStyle w:val="BodyText"/>
      </w:pPr>
      <w:r>
        <w:rPr>
          <w:b/>
          <w:bCs/>
        </w:rPr>
        <w:t>Propriétés</w:t>
      </w:r>
    </w:p>
    <w:p w14:paraId="484844B1" w14:textId="77777777" w:rsidR="0084489F" w:rsidRDefault="00110FE6">
      <w:pPr>
        <w:pStyle w:val="BlockText"/>
      </w:pPr>
      <w:r>
        <w:rPr>
          <w:b/>
          <w:bCs/>
          <w:i/>
          <w:iCs/>
        </w:rPr>
        <w:t>Note de traduction</w:t>
      </w:r>
    </w:p>
    <w:p w14:paraId="17800981" w14:textId="77777777" w:rsidR="0084489F" w:rsidRDefault="00110FE6">
      <w:pPr>
        <w:pStyle w:val="BlockText"/>
      </w:pPr>
      <w:r>
        <w:rPr>
          <w:b/>
          <w:bCs/>
          <w:i/>
          <w:iCs/>
        </w:rPr>
        <w:t>Références</w:t>
      </w:r>
    </w:p>
    <w:p w14:paraId="25F94D1E" w14:textId="77777777" w:rsidR="0084489F" w:rsidRDefault="0084489F">
      <w:pPr>
        <w:pStyle w:val="BlockText"/>
      </w:pPr>
    </w:p>
    <w:p w14:paraId="681034AA" w14:textId="77777777" w:rsidR="0084489F" w:rsidRDefault="00110FE6">
      <w:pPr>
        <w:pStyle w:val="Heading2"/>
      </w:pPr>
      <w:bookmarkStart w:id="542" w:name="_Toc176864651"/>
      <w:bookmarkStart w:id="543" w:name="p168-lieu-defini-par-(definit-le-lieu)"/>
      <w:bookmarkEnd w:id="541"/>
      <w:r>
        <w:t>P168 lieu défini par (définit le lieu)</w:t>
      </w:r>
      <w:bookmarkEnd w:id="542"/>
    </w:p>
    <w:p w14:paraId="50C14382" w14:textId="77777777" w:rsidR="0084489F" w:rsidRDefault="00110FE6">
      <w:pPr>
        <w:pStyle w:val="FirstParagraph"/>
      </w:pPr>
      <w:r>
        <w:rPr>
          <w:b/>
          <w:bCs/>
        </w:rPr>
        <w:t>Domaine</w:t>
      </w:r>
    </w:p>
    <w:p w14:paraId="2147C5B1" w14:textId="77777777" w:rsidR="0084489F" w:rsidRDefault="00110FE6">
      <w:pPr>
        <w:pStyle w:val="BodyText"/>
      </w:pPr>
      <w:r>
        <w:rPr>
          <w:rStyle w:val="VerbatimChar"/>
        </w:rPr>
        <w:t>E53_Lieu</w:t>
      </w:r>
    </w:p>
    <w:p w14:paraId="5977ED9E" w14:textId="77777777" w:rsidR="0084489F" w:rsidRDefault="00110FE6">
      <w:pPr>
        <w:pStyle w:val="BodyText"/>
      </w:pPr>
      <w:r>
        <w:rPr>
          <w:b/>
          <w:bCs/>
        </w:rPr>
        <w:t>Portée</w:t>
      </w:r>
    </w:p>
    <w:p w14:paraId="68E3A9D3" w14:textId="77777777" w:rsidR="0084489F" w:rsidRDefault="00110FE6">
      <w:pPr>
        <w:pStyle w:val="BodyText"/>
      </w:pPr>
      <w:r>
        <w:rPr>
          <w:rStyle w:val="VerbatimChar"/>
        </w:rPr>
        <w:t>E94_Primitive_spatiale</w:t>
      </w:r>
    </w:p>
    <w:p w14:paraId="00F70548" w14:textId="77777777" w:rsidR="0084489F" w:rsidRDefault="00110FE6" w:rsidP="00453C68">
      <w:pPr>
        <w:pStyle w:val="BodyText"/>
        <w:keepNext/>
      </w:pPr>
      <w:r>
        <w:rPr>
          <w:b/>
          <w:bCs/>
        </w:rPr>
        <w:t>Sous-propriété de</w:t>
      </w:r>
    </w:p>
    <w:p w14:paraId="1F9257C7" w14:textId="77777777" w:rsidR="0084489F" w:rsidRDefault="00110FE6" w:rsidP="00453C68">
      <w:pPr>
        <w:pStyle w:val="BodyText"/>
        <w:keepNext/>
      </w:pPr>
      <w:r>
        <w:rPr>
          <w:rStyle w:val="VerbatimChar"/>
        </w:rPr>
        <w:t>E1_Entité_CRM</w:t>
      </w:r>
      <w:r>
        <w:t xml:space="preserve">. </w:t>
      </w:r>
      <w:r>
        <w:rPr>
          <w:rStyle w:val="VerbatimChar"/>
        </w:rPr>
        <w:t>P1_est_identifié_par (identifie)</w:t>
      </w:r>
      <w:r>
        <w:t xml:space="preserve"> : </w:t>
      </w:r>
      <w:r>
        <w:rPr>
          <w:rStyle w:val="VerbatimChar"/>
        </w:rPr>
        <w:t>E41_Appellation</w:t>
      </w:r>
    </w:p>
    <w:p w14:paraId="4C3E1EBF" w14:textId="77777777" w:rsidR="0084489F" w:rsidRDefault="00110FE6">
      <w:pPr>
        <w:pStyle w:val="BodyText"/>
      </w:pPr>
      <w:r>
        <w:rPr>
          <w:b/>
          <w:bCs/>
        </w:rPr>
        <w:t>Super-propriété de</w:t>
      </w:r>
    </w:p>
    <w:p w14:paraId="062E663C" w14:textId="77777777" w:rsidR="0084489F" w:rsidRDefault="00110FE6">
      <w:pPr>
        <w:pStyle w:val="BodyText"/>
      </w:pPr>
      <w:r>
        <w:rPr>
          <w:b/>
          <w:bCs/>
        </w:rPr>
        <w:t>Quantification</w:t>
      </w:r>
    </w:p>
    <w:p w14:paraId="3D14C9B0" w14:textId="77777777" w:rsidR="0084489F" w:rsidRDefault="00110FE6">
      <w:pPr>
        <w:pStyle w:val="BodyText"/>
      </w:pPr>
      <w:r w:rsidRPr="1B9E7434">
        <w:rPr>
          <w:lang w:val="fr-FR"/>
        </w:rPr>
        <w:t>un à plusieurs, dépendant (0,n:1,1)</w:t>
      </w:r>
    </w:p>
    <w:p w14:paraId="618A4020" w14:textId="77777777" w:rsidR="0084489F" w:rsidRDefault="00110FE6">
      <w:pPr>
        <w:pStyle w:val="BodyText"/>
      </w:pPr>
      <w:r>
        <w:rPr>
          <w:b/>
          <w:bCs/>
        </w:rPr>
        <w:t>Note d’application</w:t>
      </w:r>
    </w:p>
    <w:p w14:paraId="0FCAE7A4" w14:textId="77777777" w:rsidR="0084489F" w:rsidRDefault="00110FE6">
      <w:pPr>
        <w:pStyle w:val="BodyText"/>
      </w:pPr>
      <w:r w:rsidRPr="1B9E7434">
        <w:rPr>
          <w:lang w:val="fr-FR"/>
        </w:rPr>
        <w:t xml:space="preserve">Cette propriété associe une instance de </w:t>
      </w:r>
      <w:r w:rsidRPr="1B9E7434">
        <w:rPr>
          <w:rStyle w:val="VerbatimChar"/>
          <w:lang w:val="fr-FR"/>
        </w:rPr>
        <w:t>E53_Lieu</w:t>
      </w:r>
      <w:r w:rsidRPr="1B9E7434">
        <w:rPr>
          <w:lang w:val="fr-FR"/>
        </w:rPr>
        <w:t xml:space="preserve"> à une instance de </w:t>
      </w:r>
      <w:r w:rsidRPr="1B9E7434">
        <w:rPr>
          <w:rStyle w:val="VerbatimChar"/>
          <w:lang w:val="fr-FR"/>
        </w:rPr>
        <w:t>E94_Primitive_spatiale</w:t>
      </w:r>
      <w:r w:rsidRPr="1B9E7434">
        <w:rPr>
          <w:lang w:val="fr-FR"/>
        </w:rPr>
        <w:t xml:space="preserve"> qui la définit. Les variantes syntaxiques ou l’utilisation de différentes écritures peuvent mener à plusieurs instances de </w:t>
      </w:r>
      <w:r w:rsidRPr="1B9E7434">
        <w:rPr>
          <w:rStyle w:val="VerbatimChar"/>
          <w:lang w:val="fr-FR"/>
        </w:rPr>
        <w:t>E94_Primitive_spatiale</w:t>
      </w:r>
      <w:r w:rsidRPr="1B9E7434">
        <w:rPr>
          <w:lang w:val="fr-FR"/>
        </w:rPr>
        <w:t xml:space="preserve"> définissant exactement le même lieu. Les transformations d’un référentiel à un autre aboutissent toujours à de nouvelles définitions des lieux se rapprochant les unes des autres et non pas à des définitions alternatives.</w:t>
      </w:r>
    </w:p>
    <w:p w14:paraId="76253426" w14:textId="77777777" w:rsidR="0084489F" w:rsidRDefault="00110FE6" w:rsidP="00FA3C06">
      <w:pPr>
        <w:pStyle w:val="BodyText"/>
        <w:keepNext/>
      </w:pPr>
      <w:r>
        <w:rPr>
          <w:b/>
          <w:bCs/>
        </w:rPr>
        <w:lastRenderedPageBreak/>
        <w:t>Exemples</w:t>
      </w:r>
    </w:p>
    <w:p w14:paraId="0C4E9124" w14:textId="77777777" w:rsidR="0084489F" w:rsidRDefault="00110FE6" w:rsidP="00806324">
      <w:pPr>
        <w:keepNext/>
        <w:numPr>
          <w:ilvl w:val="0"/>
          <w:numId w:val="273"/>
        </w:numPr>
      </w:pPr>
      <w:r>
        <w:t>Le centroïde du lieu https://sws.geonames.org/735927 (</w:t>
      </w:r>
      <w:r>
        <w:rPr>
          <w:rStyle w:val="VerbatimChar"/>
        </w:rPr>
        <w:t>E53_Lieu</w:t>
      </w:r>
      <w:r>
        <w:t>) est défini par (</w:t>
      </w:r>
      <w:r>
        <w:rPr>
          <w:rStyle w:val="VerbatimChar"/>
        </w:rPr>
        <w:t>P168_lieu_défini_par</w:t>
      </w:r>
      <w:r>
        <w:t>) « 40°31'17.9"N 21°15'48.3"E » (</w:t>
      </w:r>
      <w:r>
        <w:rPr>
          <w:rStyle w:val="VerbatimChar"/>
        </w:rPr>
        <w:t>E94_Primitive_spatiale</w:t>
      </w:r>
      <w:r>
        <w:t>). [Un point unique estimant le centre de la ville de Kastoria en Grèce]</w:t>
      </w:r>
    </w:p>
    <w:p w14:paraId="3D22C4F4" w14:textId="77777777" w:rsidR="0084489F" w:rsidRDefault="00110FE6" w:rsidP="00806324">
      <w:pPr>
        <w:numPr>
          <w:ilvl w:val="0"/>
          <w:numId w:val="273"/>
        </w:numPr>
      </w:pPr>
      <w:r>
        <w:t>Les coordonnées de Martin pour le lieu Kastoria (</w:t>
      </w:r>
      <w:r>
        <w:rPr>
          <w:rStyle w:val="VerbatimChar"/>
        </w:rPr>
        <w:t>E53_Lieu</w:t>
      </w:r>
      <w:r>
        <w:t>) sont définies par (</w:t>
      </w:r>
      <w:r>
        <w:rPr>
          <w:rStyle w:val="VerbatimChar"/>
        </w:rPr>
        <w:t>P168_lieu_défini_par</w:t>
      </w:r>
      <w:r>
        <w:t>) « 40°30'23"N 21°14'53"E, 40°31'40"N 21°16'43"E » (</w:t>
      </w:r>
      <w:r>
        <w:rPr>
          <w:rStyle w:val="VerbatimChar"/>
        </w:rPr>
        <w:t>E94_Primitive_spatiale</w:t>
      </w:r>
      <w:r>
        <w:t>) [une surface couvrant la structure de l’occupation de la ville de Kastoria en Grèce]</w:t>
      </w:r>
    </w:p>
    <w:p w14:paraId="79EAAB4A" w14:textId="77777777" w:rsidR="0084489F" w:rsidRDefault="00110FE6" w:rsidP="00806324">
      <w:pPr>
        <w:numPr>
          <w:ilvl w:val="0"/>
          <w:numId w:val="273"/>
        </w:numPr>
      </w:pPr>
      <w:r>
        <w:t>Le centroïde de Martin pour le lieu Kastoria (</w:t>
      </w:r>
      <w:r>
        <w:rPr>
          <w:rStyle w:val="VerbatimChar"/>
        </w:rPr>
        <w:t>E53_Lieu</w:t>
      </w:r>
      <w:r>
        <w:t>) est défini par (</w:t>
      </w:r>
      <w:r>
        <w:rPr>
          <w:rStyle w:val="VerbatimChar"/>
        </w:rPr>
        <w:t>P168_lieu_défini_par</w:t>
      </w:r>
      <w:r>
        <w:t>) « 40°31'01.5"N 21°15'48"E » (</w:t>
      </w:r>
      <w:r>
        <w:rPr>
          <w:rStyle w:val="VerbatimChar"/>
        </w:rPr>
        <w:t>E94_Primitive_spatiale</w:t>
      </w:r>
      <w:r>
        <w:t>). [Un point dans le lac de Kastoria au centre de la région couvert par la ville]</w:t>
      </w:r>
    </w:p>
    <w:p w14:paraId="3ABA303E" w14:textId="77777777" w:rsidR="0084489F" w:rsidRDefault="00110FE6" w:rsidP="00806324">
      <w:pPr>
        <w:numPr>
          <w:ilvl w:val="0"/>
          <w:numId w:val="273"/>
        </w:numPr>
      </w:pPr>
      <w:r>
        <w:t>La position géographique mesurée par Alexander von Humboldt pour la Plaza Mayor à Cumaná, dans l’État de Sucre au Venezuela en 1799-1800 EC (</w:t>
      </w:r>
      <w:r>
        <w:rPr>
          <w:rStyle w:val="VerbatimChar"/>
        </w:rPr>
        <w:t>E53_Lieu</w:t>
      </w:r>
      <w:r>
        <w:t>) est définie par (</w:t>
      </w:r>
      <w:r>
        <w:rPr>
          <w:rStyle w:val="VerbatimChar"/>
        </w:rPr>
        <w:t>P168_lieu_défini_par</w:t>
      </w:r>
      <w:r>
        <w:t>) « 10°27'52"N 66°30'02"W » (</w:t>
      </w:r>
      <w:r>
        <w:rPr>
          <w:rStyle w:val="VerbatimChar"/>
        </w:rPr>
        <w:t>E94_Primitive_spatiale</w:t>
      </w:r>
      <w:r>
        <w:t>). [À l’ouest de l’Observatoire de Paris = 64°09'51"W de Greenwich, soit 1,1 kilomètre à l’est de l’actuelle Plaza Andrés Eloy Blanco de Cumaná] (Humboldt, 1859)</w:t>
      </w:r>
    </w:p>
    <w:p w14:paraId="13D985D4" w14:textId="77777777" w:rsidR="0084489F" w:rsidRDefault="00110FE6">
      <w:pPr>
        <w:pStyle w:val="FirstParagraph"/>
      </w:pPr>
      <w:r>
        <w:rPr>
          <w:b/>
          <w:bCs/>
        </w:rPr>
        <w:t>Logique</w:t>
      </w:r>
    </w:p>
    <w:p w14:paraId="1AEFDE8C" w14:textId="77777777" w:rsidR="0084489F" w:rsidRDefault="00110FE6">
      <w:pPr>
        <w:pStyle w:val="BodyText"/>
      </w:pPr>
      <w:r w:rsidRPr="1B9E7434">
        <w:rPr>
          <w:lang w:val="fr-FR"/>
        </w:rPr>
        <w:t>P168(x,y) ⇒ E53(x)</w:t>
      </w:r>
    </w:p>
    <w:p w14:paraId="7F39741A" w14:textId="77777777" w:rsidR="0084489F" w:rsidRDefault="00110FE6">
      <w:pPr>
        <w:pStyle w:val="BodyText"/>
      </w:pPr>
      <w:r w:rsidRPr="1B9E7434">
        <w:rPr>
          <w:lang w:val="fr-FR"/>
        </w:rPr>
        <w:t>P168(x,y) ⇒ E94(y)</w:t>
      </w:r>
    </w:p>
    <w:p w14:paraId="5A280214" w14:textId="77777777" w:rsidR="0084489F" w:rsidRDefault="00110FE6">
      <w:pPr>
        <w:pStyle w:val="BodyText"/>
      </w:pPr>
      <w:r>
        <w:rPr>
          <w:b/>
          <w:bCs/>
        </w:rPr>
        <w:t>Propriétés</w:t>
      </w:r>
    </w:p>
    <w:p w14:paraId="4BE4A430" w14:textId="77777777" w:rsidR="0084489F" w:rsidRDefault="00110FE6">
      <w:pPr>
        <w:pStyle w:val="BlockText"/>
      </w:pPr>
      <w:r>
        <w:rPr>
          <w:b/>
          <w:bCs/>
          <w:i/>
          <w:iCs/>
        </w:rPr>
        <w:t>Note de traduction</w:t>
      </w:r>
    </w:p>
    <w:p w14:paraId="1D7BA6FF" w14:textId="77777777" w:rsidR="0084489F" w:rsidRDefault="00110FE6">
      <w:pPr>
        <w:pStyle w:val="BlockText"/>
      </w:pPr>
      <w:r>
        <w:rPr>
          <w:b/>
          <w:bCs/>
          <w:i/>
          <w:iCs/>
        </w:rPr>
        <w:t>Références</w:t>
      </w:r>
    </w:p>
    <w:p w14:paraId="2BC24B25" w14:textId="77777777" w:rsidR="0084489F" w:rsidRDefault="0084489F">
      <w:pPr>
        <w:pStyle w:val="BlockText"/>
      </w:pPr>
    </w:p>
    <w:p w14:paraId="57C9A15B" w14:textId="77777777" w:rsidR="0084489F" w:rsidRDefault="00110FE6">
      <w:pPr>
        <w:pStyle w:val="Heading2"/>
      </w:pPr>
      <w:bookmarkStart w:id="544" w:name="_Toc176864652"/>
      <w:bookmarkStart w:id="545" w:name="X16f6fb71cfbe6ad210143e84f18db2a198b1626"/>
      <w:bookmarkEnd w:id="543"/>
      <w:r>
        <w:t>P169 définit le volume spatio-temporel (volume spatio-temporel défini par)</w:t>
      </w:r>
      <w:bookmarkEnd w:id="544"/>
    </w:p>
    <w:p w14:paraId="6D4014DF" w14:textId="77777777" w:rsidR="0084489F" w:rsidRDefault="00110FE6">
      <w:pPr>
        <w:pStyle w:val="FirstParagraph"/>
      </w:pPr>
      <w:r>
        <w:rPr>
          <w:b/>
          <w:bCs/>
        </w:rPr>
        <w:t>Domaine</w:t>
      </w:r>
    </w:p>
    <w:p w14:paraId="4E6D8FAB" w14:textId="77777777" w:rsidR="0084489F" w:rsidRDefault="00110FE6">
      <w:pPr>
        <w:pStyle w:val="BodyText"/>
      </w:pPr>
      <w:r>
        <w:rPr>
          <w:rStyle w:val="VerbatimChar"/>
        </w:rPr>
        <w:t>E95_Primitive_spatio-temporelle</w:t>
      </w:r>
    </w:p>
    <w:p w14:paraId="5C2D793F" w14:textId="77777777" w:rsidR="0084489F" w:rsidRDefault="00110FE6">
      <w:pPr>
        <w:pStyle w:val="BodyText"/>
      </w:pPr>
      <w:r>
        <w:rPr>
          <w:b/>
          <w:bCs/>
        </w:rPr>
        <w:t>Portée</w:t>
      </w:r>
    </w:p>
    <w:p w14:paraId="579155D4" w14:textId="77777777" w:rsidR="0084489F" w:rsidRDefault="00110FE6">
      <w:pPr>
        <w:pStyle w:val="BodyText"/>
      </w:pPr>
      <w:r>
        <w:rPr>
          <w:rStyle w:val="VerbatimChar"/>
        </w:rPr>
        <w:t>E92_Volume_spatio-temporel</w:t>
      </w:r>
    </w:p>
    <w:p w14:paraId="7D968E16" w14:textId="77777777" w:rsidR="0084489F" w:rsidRDefault="00110FE6">
      <w:pPr>
        <w:pStyle w:val="BodyText"/>
      </w:pPr>
      <w:r>
        <w:rPr>
          <w:b/>
          <w:bCs/>
        </w:rPr>
        <w:t>Sous-propriété de</w:t>
      </w:r>
    </w:p>
    <w:p w14:paraId="13D5EDA9" w14:textId="77777777" w:rsidR="0084489F" w:rsidRDefault="00110FE6">
      <w:pPr>
        <w:pStyle w:val="BodyText"/>
      </w:pPr>
      <w:r w:rsidRPr="1B9E7434">
        <w:rPr>
          <w:rStyle w:val="VerbatimChar"/>
          <w:lang w:val="fr-FR"/>
        </w:rPr>
        <w:t>E41_Appellation</w:t>
      </w:r>
      <w:r w:rsidRPr="1B9E7434">
        <w:rPr>
          <w:lang w:val="fr-FR"/>
        </w:rPr>
        <w:t xml:space="preserve">. </w:t>
      </w:r>
      <w:r w:rsidRPr="1B9E7434">
        <w:rPr>
          <w:rStyle w:val="VerbatimChar"/>
          <w:lang w:val="fr-FR"/>
        </w:rPr>
        <w:t>P1i_identifie (est_identifié_par)</w:t>
      </w:r>
      <w:r w:rsidRPr="1B9E7434">
        <w:rPr>
          <w:lang w:val="fr-FR"/>
        </w:rPr>
        <w:t xml:space="preserve"> : </w:t>
      </w:r>
      <w:r w:rsidRPr="1B9E7434">
        <w:rPr>
          <w:rStyle w:val="VerbatimChar"/>
          <w:lang w:val="fr-FR"/>
        </w:rPr>
        <w:t>E1_Entité_CRM</w:t>
      </w:r>
    </w:p>
    <w:p w14:paraId="110B360D" w14:textId="77777777" w:rsidR="0084489F" w:rsidRDefault="00110FE6">
      <w:pPr>
        <w:pStyle w:val="BodyText"/>
      </w:pPr>
      <w:r>
        <w:rPr>
          <w:b/>
          <w:bCs/>
        </w:rPr>
        <w:t>Super-propriété de</w:t>
      </w:r>
    </w:p>
    <w:p w14:paraId="76255966" w14:textId="77777777" w:rsidR="0084489F" w:rsidRDefault="00110FE6">
      <w:pPr>
        <w:pStyle w:val="BodyText"/>
      </w:pPr>
      <w:r>
        <w:rPr>
          <w:b/>
          <w:bCs/>
        </w:rPr>
        <w:t>Quantification</w:t>
      </w:r>
    </w:p>
    <w:p w14:paraId="11E3A59A" w14:textId="77777777" w:rsidR="0084489F" w:rsidRDefault="00110FE6">
      <w:pPr>
        <w:pStyle w:val="BodyText"/>
      </w:pPr>
      <w:r w:rsidRPr="1B9E7434">
        <w:rPr>
          <w:lang w:val="fr-FR"/>
        </w:rPr>
        <w:t>plusieurs à un, nécessaire (1,1:0,n)</w:t>
      </w:r>
    </w:p>
    <w:p w14:paraId="6554CF0C" w14:textId="77777777" w:rsidR="0084489F" w:rsidRDefault="00110FE6" w:rsidP="00FA3C06">
      <w:pPr>
        <w:pStyle w:val="BodyText"/>
        <w:keepNext/>
      </w:pPr>
      <w:r>
        <w:rPr>
          <w:b/>
          <w:bCs/>
        </w:rPr>
        <w:lastRenderedPageBreak/>
        <w:t>Note d’application</w:t>
      </w:r>
    </w:p>
    <w:p w14:paraId="0197F1DB" w14:textId="77777777" w:rsidR="0084489F" w:rsidRDefault="00110FE6" w:rsidP="00FA3C06">
      <w:pPr>
        <w:pStyle w:val="BodyText"/>
        <w:keepNext/>
      </w:pPr>
      <w:r>
        <w:t xml:space="preserve">Cette propriété associe une instance de </w:t>
      </w:r>
      <w:r>
        <w:rPr>
          <w:rStyle w:val="VerbatimChar"/>
        </w:rPr>
        <w:t>E95_Primitive_spatio-temporelle</w:t>
      </w:r>
      <w:r>
        <w:t xml:space="preserve"> à l’instance de </w:t>
      </w:r>
      <w:r>
        <w:rPr>
          <w:rStyle w:val="VerbatimChar"/>
        </w:rPr>
        <w:t>E92_Volume_spatio-temporel</w:t>
      </w:r>
      <w:r>
        <w:t xml:space="preserve"> qu’elle définit.</w:t>
      </w:r>
    </w:p>
    <w:p w14:paraId="3D2600A7" w14:textId="77777777" w:rsidR="0084489F" w:rsidRDefault="00110FE6">
      <w:pPr>
        <w:pStyle w:val="BodyText"/>
      </w:pPr>
      <w:r>
        <w:rPr>
          <w:b/>
          <w:bCs/>
        </w:rPr>
        <w:t>Exemples</w:t>
      </w:r>
    </w:p>
    <w:p w14:paraId="75F3D2F1" w14:textId="77777777" w:rsidR="0084489F" w:rsidRDefault="00110FE6" w:rsidP="00806324">
      <w:pPr>
        <w:numPr>
          <w:ilvl w:val="0"/>
          <w:numId w:val="274"/>
        </w:numPr>
      </w:pPr>
      <w:r>
        <w:t>« 40°30'23"N 21°14'53"E, 40°31'40"N 21°16'43"E, 200BC-2020AD » (</w:t>
      </w:r>
      <w:r>
        <w:rPr>
          <w:rStyle w:val="VerbatimChar"/>
        </w:rPr>
        <w:t>E95_Primitive_spatio-temporelle</w:t>
      </w:r>
      <w:r>
        <w:t>) définit le volume spatio-temporel (</w:t>
      </w:r>
      <w:r>
        <w:rPr>
          <w:rStyle w:val="VerbatimChar"/>
        </w:rPr>
        <w:t>P169_définit_le_volume_spatio-temporel</w:t>
      </w:r>
      <w:r>
        <w:t>) de l’enceinte spatio-temporelle de Martin en 2020 pour l’évolution de l’occupation de la ville actuelle de Kastoria en Grèce depuis sa conquête par les Romains (</w:t>
      </w:r>
      <w:r>
        <w:rPr>
          <w:rStyle w:val="VerbatimChar"/>
        </w:rPr>
        <w:t>E92_Volume_spatio-temporel</w:t>
      </w:r>
      <w:r>
        <w:t>) [une surface couvrant la structure de l'occupation actuelle de la ville de Kastoria en Grèce, des années 200 AEC à 2020 EC, incluant les étendues des phases antérieures de la ville]</w:t>
      </w:r>
    </w:p>
    <w:p w14:paraId="25F06FC6" w14:textId="77777777" w:rsidR="0084489F" w:rsidRDefault="00110FE6">
      <w:pPr>
        <w:pStyle w:val="FirstParagraph"/>
      </w:pPr>
      <w:r>
        <w:rPr>
          <w:b/>
          <w:bCs/>
        </w:rPr>
        <w:t>Logique</w:t>
      </w:r>
    </w:p>
    <w:p w14:paraId="13FCBB1A" w14:textId="77777777" w:rsidR="0084489F" w:rsidRDefault="00110FE6">
      <w:pPr>
        <w:pStyle w:val="BodyText"/>
      </w:pPr>
      <w:r w:rsidRPr="1B9E7434">
        <w:rPr>
          <w:lang w:val="fr-FR"/>
        </w:rPr>
        <w:t>P169(x,y) ⇒ E95(x)</w:t>
      </w:r>
    </w:p>
    <w:p w14:paraId="61A28273" w14:textId="77777777" w:rsidR="0084489F" w:rsidRDefault="00110FE6">
      <w:pPr>
        <w:pStyle w:val="BodyText"/>
      </w:pPr>
      <w:r w:rsidRPr="1B9E7434">
        <w:rPr>
          <w:lang w:val="fr-FR"/>
        </w:rPr>
        <w:t>P169(x,y) ⇒ E92(y)</w:t>
      </w:r>
    </w:p>
    <w:p w14:paraId="327363D9" w14:textId="77777777" w:rsidR="0084489F" w:rsidRDefault="00110FE6">
      <w:pPr>
        <w:pStyle w:val="BodyText"/>
      </w:pPr>
      <w:r w:rsidRPr="1B9E7434">
        <w:rPr>
          <w:lang w:val="fr-FR"/>
        </w:rPr>
        <w:t>P169(x,y) ⇒ P1i(x,y)</w:t>
      </w:r>
    </w:p>
    <w:p w14:paraId="0FCA4F28" w14:textId="77777777" w:rsidR="0084489F" w:rsidRDefault="00110FE6">
      <w:pPr>
        <w:pStyle w:val="BodyText"/>
      </w:pPr>
      <w:r>
        <w:rPr>
          <w:b/>
          <w:bCs/>
        </w:rPr>
        <w:t>Propriétés</w:t>
      </w:r>
    </w:p>
    <w:p w14:paraId="5F4B6468" w14:textId="77777777" w:rsidR="0084489F" w:rsidRDefault="00110FE6">
      <w:pPr>
        <w:pStyle w:val="BlockText"/>
      </w:pPr>
      <w:r>
        <w:rPr>
          <w:b/>
          <w:bCs/>
          <w:i/>
          <w:iCs/>
        </w:rPr>
        <w:t>Note de traduction</w:t>
      </w:r>
    </w:p>
    <w:p w14:paraId="6A57D06E" w14:textId="77777777" w:rsidR="0084489F" w:rsidRDefault="00110FE6">
      <w:pPr>
        <w:pStyle w:val="BlockText"/>
      </w:pPr>
      <w:r>
        <w:rPr>
          <w:b/>
          <w:bCs/>
          <w:i/>
          <w:iCs/>
        </w:rPr>
        <w:t>Références</w:t>
      </w:r>
    </w:p>
    <w:p w14:paraId="45E40652" w14:textId="77777777" w:rsidR="0084489F" w:rsidRDefault="0084489F">
      <w:pPr>
        <w:pStyle w:val="BlockText"/>
      </w:pPr>
    </w:p>
    <w:p w14:paraId="57D34304" w14:textId="77777777" w:rsidR="0084489F" w:rsidRDefault="00110FE6">
      <w:pPr>
        <w:pStyle w:val="Heading2"/>
      </w:pPr>
      <w:bookmarkStart w:id="546" w:name="_Toc176864653"/>
      <w:bookmarkStart w:id="547" w:name="p170-definit-le-temps-(temps-defini-par)"/>
      <w:bookmarkEnd w:id="545"/>
      <w:r>
        <w:t>P170 définit le temps (temps défini par)</w:t>
      </w:r>
      <w:bookmarkEnd w:id="546"/>
    </w:p>
    <w:p w14:paraId="5EBED861" w14:textId="77777777" w:rsidR="0084489F" w:rsidRDefault="00110FE6">
      <w:pPr>
        <w:pStyle w:val="FirstParagraph"/>
      </w:pPr>
      <w:r>
        <w:rPr>
          <w:b/>
          <w:bCs/>
        </w:rPr>
        <w:t>Domaine</w:t>
      </w:r>
    </w:p>
    <w:p w14:paraId="5A7FD89A" w14:textId="77777777" w:rsidR="0084489F" w:rsidRDefault="00110FE6">
      <w:pPr>
        <w:pStyle w:val="BodyText"/>
      </w:pPr>
      <w:r>
        <w:rPr>
          <w:rStyle w:val="VerbatimChar"/>
        </w:rPr>
        <w:t>E61_Primitive_temporelle</w:t>
      </w:r>
    </w:p>
    <w:p w14:paraId="75A58434" w14:textId="77777777" w:rsidR="0084489F" w:rsidRDefault="00110FE6">
      <w:pPr>
        <w:pStyle w:val="BodyText"/>
      </w:pPr>
      <w:r>
        <w:rPr>
          <w:b/>
          <w:bCs/>
        </w:rPr>
        <w:t>Portée</w:t>
      </w:r>
    </w:p>
    <w:p w14:paraId="69CDAD2F" w14:textId="77777777" w:rsidR="0084489F" w:rsidRDefault="00110FE6">
      <w:pPr>
        <w:pStyle w:val="BodyText"/>
      </w:pPr>
      <w:r>
        <w:rPr>
          <w:rStyle w:val="VerbatimChar"/>
        </w:rPr>
        <w:t>E52_Intervalle_temporel</w:t>
      </w:r>
    </w:p>
    <w:p w14:paraId="1279CC4D" w14:textId="77777777" w:rsidR="0084489F" w:rsidRDefault="00110FE6">
      <w:pPr>
        <w:pStyle w:val="BodyText"/>
      </w:pPr>
      <w:r>
        <w:rPr>
          <w:b/>
          <w:bCs/>
        </w:rPr>
        <w:t>Sous-propriété de</w:t>
      </w:r>
    </w:p>
    <w:p w14:paraId="659F72D9" w14:textId="77777777" w:rsidR="0084489F" w:rsidRDefault="00110FE6">
      <w:pPr>
        <w:pStyle w:val="BodyText"/>
      </w:pPr>
      <w:r>
        <w:rPr>
          <w:rStyle w:val="VerbatimChar"/>
        </w:rPr>
        <w:t>E41_Appellation</w:t>
      </w:r>
      <w:r>
        <w:t xml:space="preserve">. </w:t>
      </w:r>
      <w:r>
        <w:rPr>
          <w:rStyle w:val="VerbatimChar"/>
        </w:rPr>
        <w:t>P1i_identifie</w:t>
      </w:r>
      <w:r>
        <w:t xml:space="preserve"> : </w:t>
      </w:r>
      <w:r>
        <w:rPr>
          <w:rStyle w:val="VerbatimChar"/>
        </w:rPr>
        <w:t>E1_Entité_CRM</w:t>
      </w:r>
    </w:p>
    <w:p w14:paraId="3105D69C" w14:textId="77777777" w:rsidR="0084489F" w:rsidRDefault="00110FE6">
      <w:pPr>
        <w:pStyle w:val="BodyText"/>
      </w:pPr>
      <w:r>
        <w:rPr>
          <w:b/>
          <w:bCs/>
        </w:rPr>
        <w:t>Super-propriété de</w:t>
      </w:r>
    </w:p>
    <w:p w14:paraId="4806E81A" w14:textId="77777777" w:rsidR="0084489F" w:rsidRDefault="00110FE6">
      <w:pPr>
        <w:pStyle w:val="BodyText"/>
      </w:pPr>
      <w:r>
        <w:rPr>
          <w:b/>
          <w:bCs/>
        </w:rPr>
        <w:t>Quantification</w:t>
      </w:r>
    </w:p>
    <w:p w14:paraId="4C030795" w14:textId="77777777" w:rsidR="0084489F" w:rsidRDefault="00110FE6">
      <w:pPr>
        <w:pStyle w:val="BodyText"/>
      </w:pPr>
      <w:r w:rsidRPr="1B9E7434">
        <w:rPr>
          <w:lang w:val="fr-FR"/>
        </w:rPr>
        <w:t>plusieurs à un (0,1:0,n)</w:t>
      </w:r>
    </w:p>
    <w:p w14:paraId="2B46CCAD" w14:textId="77777777" w:rsidR="0084489F" w:rsidRDefault="00110FE6">
      <w:pPr>
        <w:pStyle w:val="BodyText"/>
      </w:pPr>
      <w:r>
        <w:rPr>
          <w:b/>
          <w:bCs/>
        </w:rPr>
        <w:t>Note d’application</w:t>
      </w:r>
    </w:p>
    <w:p w14:paraId="5626D1C0" w14:textId="77777777" w:rsidR="0084489F" w:rsidRDefault="00110FE6">
      <w:pPr>
        <w:pStyle w:val="BodyText"/>
      </w:pPr>
      <w:r>
        <w:t xml:space="preserve">Cette propriété associe une instance de </w:t>
      </w:r>
      <w:r>
        <w:rPr>
          <w:rStyle w:val="VerbatimChar"/>
        </w:rPr>
        <w:t>E61_Primitive_temporelle</w:t>
      </w:r>
      <w:r>
        <w:t xml:space="preserve"> à une instance de </w:t>
      </w:r>
      <w:r>
        <w:rPr>
          <w:rStyle w:val="VerbatimChar"/>
        </w:rPr>
        <w:t>E52_Intervalle_temporel</w:t>
      </w:r>
      <w:r>
        <w:t xml:space="preserve"> qui constitue l'interprétation des termes de la primitive temporelle comme une étendue en temps réel et absolu.</w:t>
      </w:r>
    </w:p>
    <w:p w14:paraId="2A49A8D7" w14:textId="77777777" w:rsidR="0084489F" w:rsidRDefault="00110FE6">
      <w:pPr>
        <w:pStyle w:val="BodyText"/>
      </w:pPr>
      <w:r>
        <w:t xml:space="preserve">La quantification permet à plusieurs instances de </w:t>
      </w:r>
      <w:r>
        <w:rPr>
          <w:rStyle w:val="VerbatimChar"/>
        </w:rPr>
        <w:t>E61_Primitive_temporelle</w:t>
      </w:r>
      <w:r>
        <w:t xml:space="preserve">, chacune exprimée sous une forme syntaxique différente, de définir la même instance de </w:t>
      </w:r>
      <w:r>
        <w:rPr>
          <w:rStyle w:val="VerbatimChar"/>
        </w:rPr>
        <w:t>E52_Intervalle_temporel</w:t>
      </w:r>
      <w:r>
        <w:t>.</w:t>
      </w:r>
    </w:p>
    <w:p w14:paraId="66DEFDC5" w14:textId="77777777" w:rsidR="0084489F" w:rsidRDefault="00110FE6" w:rsidP="00FA3C06">
      <w:pPr>
        <w:pStyle w:val="BodyText"/>
        <w:keepNext/>
      </w:pPr>
      <w:r>
        <w:rPr>
          <w:b/>
          <w:bCs/>
        </w:rPr>
        <w:lastRenderedPageBreak/>
        <w:t>Exemples</w:t>
      </w:r>
    </w:p>
    <w:p w14:paraId="13BA5B37" w14:textId="191AEE45" w:rsidR="0084489F" w:rsidRDefault="00110FE6" w:rsidP="00806324">
      <w:pPr>
        <w:keepNext/>
        <w:numPr>
          <w:ilvl w:val="0"/>
          <w:numId w:val="275"/>
        </w:numPr>
      </w:pPr>
      <w:r w:rsidRPr="1B9E7434">
        <w:rPr>
          <w:lang w:val="fr-FR"/>
        </w:rPr>
        <w:t>« 1800-01-01 0:00:00 – 1899-12-21 23:59:59 » définit le temps (</w:t>
      </w:r>
      <w:r w:rsidRPr="1B9E7434">
        <w:rPr>
          <w:rStyle w:val="VerbatimChar"/>
          <w:lang w:val="fr-FR"/>
        </w:rPr>
        <w:t>P170_définit_le_temps</w:t>
      </w:r>
      <w:r w:rsidRPr="1B9E7434">
        <w:rPr>
          <w:lang w:val="fr-FR"/>
        </w:rPr>
        <w:t>) du XIX</w:t>
      </w:r>
      <w:r w:rsidRPr="1B9E7434">
        <w:rPr>
          <w:vertAlign w:val="superscript"/>
          <w:lang w:val="fr-FR"/>
        </w:rPr>
        <w:t>e</w:t>
      </w:r>
      <w:r w:rsidRPr="1B9E7434">
        <w:rPr>
          <w:lang w:val="fr-FR"/>
        </w:rPr>
        <w:t> siècle (</w:t>
      </w:r>
      <w:r w:rsidRPr="1B9E7434">
        <w:rPr>
          <w:rStyle w:val="VerbatimChar"/>
          <w:lang w:val="fr-FR"/>
        </w:rPr>
        <w:t>E52_Intervalle_temporel</w:t>
      </w:r>
      <w:r w:rsidRPr="1B9E7434">
        <w:rPr>
          <w:lang w:val="fr-FR"/>
        </w:rPr>
        <w:t>)</w:t>
      </w:r>
    </w:p>
    <w:p w14:paraId="6F4A0EFD" w14:textId="77777777" w:rsidR="0084489F" w:rsidRDefault="00110FE6" w:rsidP="00806324">
      <w:pPr>
        <w:numPr>
          <w:ilvl w:val="0"/>
          <w:numId w:val="275"/>
        </w:numPr>
      </w:pPr>
      <w:r>
        <w:t>« 1968-01-01 – 2018-01-01 » définit le temps (</w:t>
      </w:r>
      <w:r>
        <w:rPr>
          <w:rStyle w:val="VerbatimChar"/>
        </w:rPr>
        <w:t>P170_définit_le_temps</w:t>
      </w:r>
      <w:r>
        <w:t>) 1968-01-01 – 2018-01-01 [un intervalle temporel arbitraire pendant lequel le reliquaire de saint Tite était présent dans l'église Saint-Tite d'Héraklion, en Crète]</w:t>
      </w:r>
    </w:p>
    <w:p w14:paraId="072E0117" w14:textId="77777777" w:rsidR="0084489F" w:rsidRDefault="00110FE6">
      <w:pPr>
        <w:pStyle w:val="FirstParagraph"/>
      </w:pPr>
      <w:r>
        <w:rPr>
          <w:b/>
          <w:bCs/>
        </w:rPr>
        <w:t>Logique</w:t>
      </w:r>
    </w:p>
    <w:p w14:paraId="0AEC8888" w14:textId="77777777" w:rsidR="0084489F" w:rsidRDefault="00110FE6">
      <w:pPr>
        <w:pStyle w:val="BodyText"/>
      </w:pPr>
      <w:r w:rsidRPr="1B9E7434">
        <w:rPr>
          <w:lang w:val="fr-FR"/>
        </w:rPr>
        <w:t>P170(x,y) ⇒ E61(x)</w:t>
      </w:r>
    </w:p>
    <w:p w14:paraId="2F3E6D39" w14:textId="77777777" w:rsidR="0084489F" w:rsidRDefault="00110FE6">
      <w:pPr>
        <w:pStyle w:val="BodyText"/>
      </w:pPr>
      <w:r w:rsidRPr="1B9E7434">
        <w:rPr>
          <w:lang w:val="fr-FR"/>
        </w:rPr>
        <w:t>P170(x,y) ⇒ E52(y)</w:t>
      </w:r>
    </w:p>
    <w:p w14:paraId="08F0F6CE" w14:textId="77777777" w:rsidR="0084489F" w:rsidRDefault="00110FE6">
      <w:pPr>
        <w:pStyle w:val="BodyText"/>
      </w:pPr>
      <w:r w:rsidRPr="1B9E7434">
        <w:rPr>
          <w:lang w:val="fr-FR"/>
        </w:rPr>
        <w:t>P170(x, y) ⇒ P81i(x, y) ∧ P82i(x, y)</w:t>
      </w:r>
    </w:p>
    <w:p w14:paraId="1F39012C" w14:textId="77777777" w:rsidR="0084489F" w:rsidRDefault="00110FE6">
      <w:pPr>
        <w:pStyle w:val="BodyText"/>
      </w:pPr>
      <w:r>
        <w:rPr>
          <w:b/>
          <w:bCs/>
        </w:rPr>
        <w:t>Propriétés</w:t>
      </w:r>
    </w:p>
    <w:p w14:paraId="68EEC1A2" w14:textId="77777777" w:rsidR="0084489F" w:rsidRDefault="00110FE6">
      <w:pPr>
        <w:pStyle w:val="BlockText"/>
      </w:pPr>
      <w:r>
        <w:rPr>
          <w:b/>
          <w:bCs/>
          <w:i/>
          <w:iCs/>
        </w:rPr>
        <w:t>Note de traduction</w:t>
      </w:r>
    </w:p>
    <w:p w14:paraId="2A875D16" w14:textId="77777777" w:rsidR="0084489F" w:rsidRDefault="00110FE6">
      <w:pPr>
        <w:pStyle w:val="BlockText"/>
      </w:pPr>
      <w:r>
        <w:rPr>
          <w:b/>
          <w:bCs/>
          <w:i/>
          <w:iCs/>
        </w:rPr>
        <w:t>Références</w:t>
      </w:r>
    </w:p>
    <w:p w14:paraId="260AEAC9" w14:textId="77777777" w:rsidR="0084489F" w:rsidRDefault="0084489F">
      <w:pPr>
        <w:pStyle w:val="BlockText"/>
      </w:pPr>
    </w:p>
    <w:p w14:paraId="0BDDFA0A" w14:textId="77777777" w:rsidR="0084489F" w:rsidRDefault="00110FE6">
      <w:pPr>
        <w:pStyle w:val="Heading2"/>
      </w:pPr>
      <w:bookmarkStart w:id="548" w:name="_Toc176864654"/>
      <w:bookmarkStart w:id="549" w:name="p171-quelque-part-dans"/>
      <w:bookmarkEnd w:id="547"/>
      <w:r>
        <w:t>P171 quelque part dans</w:t>
      </w:r>
      <w:bookmarkEnd w:id="548"/>
    </w:p>
    <w:p w14:paraId="5DCDFD04" w14:textId="77777777" w:rsidR="0084489F" w:rsidRDefault="00110FE6">
      <w:pPr>
        <w:pStyle w:val="FirstParagraph"/>
      </w:pPr>
      <w:r>
        <w:rPr>
          <w:b/>
          <w:bCs/>
        </w:rPr>
        <w:t>Domaine</w:t>
      </w:r>
    </w:p>
    <w:p w14:paraId="427062D0" w14:textId="77777777" w:rsidR="0084489F" w:rsidRDefault="00110FE6">
      <w:pPr>
        <w:pStyle w:val="BodyText"/>
      </w:pPr>
      <w:r>
        <w:rPr>
          <w:rStyle w:val="VerbatimChar"/>
        </w:rPr>
        <w:t>E53_Lieu</w:t>
      </w:r>
    </w:p>
    <w:p w14:paraId="6C8B8FAA" w14:textId="77777777" w:rsidR="0084489F" w:rsidRDefault="00110FE6">
      <w:pPr>
        <w:pStyle w:val="BodyText"/>
      </w:pPr>
      <w:r>
        <w:rPr>
          <w:b/>
          <w:bCs/>
        </w:rPr>
        <w:t>Portée</w:t>
      </w:r>
    </w:p>
    <w:p w14:paraId="41135F40" w14:textId="77777777" w:rsidR="0084489F" w:rsidRDefault="00110FE6">
      <w:pPr>
        <w:pStyle w:val="BodyText"/>
      </w:pPr>
      <w:r>
        <w:rPr>
          <w:rStyle w:val="VerbatimChar"/>
        </w:rPr>
        <w:t>E94_Primitive_spatiale</w:t>
      </w:r>
    </w:p>
    <w:p w14:paraId="1F39E2B5" w14:textId="77777777" w:rsidR="0084489F" w:rsidRDefault="00110FE6">
      <w:pPr>
        <w:pStyle w:val="BodyText"/>
      </w:pPr>
      <w:r>
        <w:rPr>
          <w:b/>
          <w:bCs/>
        </w:rPr>
        <w:t>Sous-propriété de</w:t>
      </w:r>
    </w:p>
    <w:p w14:paraId="0ABB0609" w14:textId="77777777" w:rsidR="0084489F" w:rsidRDefault="00110FE6">
      <w:pPr>
        <w:pStyle w:val="BodyText"/>
      </w:pPr>
      <w:r>
        <w:rPr>
          <w:b/>
          <w:bCs/>
        </w:rPr>
        <w:t>Super-propriété de</w:t>
      </w:r>
    </w:p>
    <w:p w14:paraId="43E3374C" w14:textId="77777777" w:rsidR="0084489F" w:rsidRDefault="00110FE6">
      <w:pPr>
        <w:pStyle w:val="BodyText"/>
      </w:pPr>
      <w:r>
        <w:rPr>
          <w:b/>
          <w:bCs/>
        </w:rPr>
        <w:t>Quantification</w:t>
      </w:r>
    </w:p>
    <w:p w14:paraId="7ECD4901" w14:textId="77777777" w:rsidR="0084489F" w:rsidRDefault="00110FE6">
      <w:pPr>
        <w:pStyle w:val="BodyText"/>
      </w:pPr>
      <w:r w:rsidRPr="1B9E7434">
        <w:rPr>
          <w:lang w:val="fr-FR"/>
        </w:rPr>
        <w:t>Plusieurs à plusieurs (0,n:0,n)</w:t>
      </w:r>
    </w:p>
    <w:p w14:paraId="2476A8DF" w14:textId="77777777" w:rsidR="0084489F" w:rsidRDefault="00110FE6">
      <w:pPr>
        <w:pStyle w:val="BodyText"/>
      </w:pPr>
      <w:r>
        <w:rPr>
          <w:b/>
          <w:bCs/>
        </w:rPr>
        <w:t>Note d’application</w:t>
      </w:r>
    </w:p>
    <w:p w14:paraId="77393013" w14:textId="77777777" w:rsidR="0084489F" w:rsidRDefault="00110FE6">
      <w:pPr>
        <w:pStyle w:val="BodyText"/>
      </w:pPr>
      <w:r>
        <w:t xml:space="preserve">Cette propriété décrit l'étendue spatiale maximale à l'intérieur de laquelle une instance de </w:t>
      </w:r>
      <w:r>
        <w:rPr>
          <w:rStyle w:val="VerbatimChar"/>
        </w:rPr>
        <w:t>E53_Lieu</w:t>
      </w:r>
      <w:r>
        <w:t xml:space="preserve"> s'inscrit. Il est possible que des instances de </w:t>
      </w:r>
      <w:r>
        <w:rPr>
          <w:rStyle w:val="VerbatimChar"/>
        </w:rPr>
        <w:t>E53_Lieu</w:t>
      </w:r>
      <w:r>
        <w:t xml:space="preserve"> n'aient pas d'étendues temporelles connues de manière précise. C'est pour cette raison que le CIDOC CRM permet les énoncés portant sur les étendues spatiales maximales d'instances de </w:t>
      </w:r>
      <w:r>
        <w:rPr>
          <w:rStyle w:val="VerbatimChar"/>
        </w:rPr>
        <w:t>E53_Lieu</w:t>
      </w:r>
      <w:r>
        <w:t xml:space="preserve">. Cette propriété permet l'assignation de la valeur d'une instance de </w:t>
      </w:r>
      <w:r>
        <w:rPr>
          <w:rStyle w:val="VerbatimChar"/>
        </w:rPr>
        <w:t>E94_Primitive_spatiale</w:t>
      </w:r>
      <w:r>
        <w:t xml:space="preserve"> à l'étendue spatiale maximale d'une instance de </w:t>
      </w:r>
      <w:r>
        <w:rPr>
          <w:rStyle w:val="VerbatimChar"/>
        </w:rPr>
        <w:t>E53_Lieu</w:t>
      </w:r>
      <w:r>
        <w:t xml:space="preserve"> (c.-à-d. une frontière externe).</w:t>
      </w:r>
    </w:p>
    <w:p w14:paraId="67F64A87" w14:textId="77777777" w:rsidR="0084489F" w:rsidRDefault="00110FE6">
      <w:pPr>
        <w:pStyle w:val="BodyText"/>
      </w:pPr>
      <w:r w:rsidRPr="1B9E7434">
        <w:rPr>
          <w:lang w:val="fr-FR"/>
        </w:rPr>
        <w:t xml:space="preserve">Cette propriété est un raccourci du chemin sémantique suivant : </w:t>
      </w:r>
      <w:r w:rsidRPr="1B9E7434">
        <w:rPr>
          <w:rStyle w:val="VerbatimChar"/>
          <w:lang w:val="fr-FR"/>
        </w:rPr>
        <w:t>E53_Lieu</w:t>
      </w:r>
      <w:r w:rsidRPr="1B9E7434">
        <w:rPr>
          <w:lang w:val="fr-FR"/>
        </w:rPr>
        <w:t xml:space="preserve">, </w:t>
      </w:r>
      <w:r w:rsidRPr="1B9E7434">
        <w:rPr>
          <w:rStyle w:val="VerbatimChar"/>
          <w:lang w:val="fr-FR"/>
        </w:rPr>
        <w:t>P89_s’insère_dans</w:t>
      </w:r>
      <w:r w:rsidRPr="1B9E7434">
        <w:rPr>
          <w:lang w:val="fr-FR"/>
        </w:rPr>
        <w:t xml:space="preserve">, </w:t>
      </w:r>
      <w:r w:rsidRPr="1B9E7434">
        <w:rPr>
          <w:rStyle w:val="VerbatimChar"/>
          <w:lang w:val="fr-FR"/>
        </w:rPr>
        <w:t>E53_Lieu</w:t>
      </w:r>
      <w:r w:rsidRPr="1B9E7434">
        <w:rPr>
          <w:lang w:val="fr-FR"/>
        </w:rPr>
        <w:t xml:space="preserve">, </w:t>
      </w:r>
      <w:r w:rsidRPr="1B9E7434">
        <w:rPr>
          <w:rStyle w:val="VerbatimChar"/>
          <w:lang w:val="fr-FR"/>
        </w:rPr>
        <w:t>P168_lieu_défini_par</w:t>
      </w:r>
      <w:r w:rsidRPr="1B9E7434">
        <w:rPr>
          <w:lang w:val="fr-FR"/>
        </w:rPr>
        <w:t xml:space="preserve">, </w:t>
      </w:r>
      <w:r w:rsidRPr="1B9E7434">
        <w:rPr>
          <w:rStyle w:val="VerbatimChar"/>
          <w:lang w:val="fr-FR"/>
        </w:rPr>
        <w:t>E94_Primitive_spatiale</w:t>
      </w:r>
      <w:r w:rsidRPr="1B9E7434">
        <w:rPr>
          <w:lang w:val="fr-FR"/>
        </w:rPr>
        <w:t xml:space="preserve">. C'est donc un chemin sémantique vers une instance de </w:t>
      </w:r>
      <w:r w:rsidRPr="1B9E7434">
        <w:rPr>
          <w:rStyle w:val="VerbatimChar"/>
          <w:lang w:val="fr-FR"/>
        </w:rPr>
        <w:t>E94_Primitive_spatiale</w:t>
      </w:r>
      <w:r w:rsidRPr="1B9E7434">
        <w:rPr>
          <w:lang w:val="fr-FR"/>
        </w:rPr>
        <w:t xml:space="preserve"> via un lieu déclaratif (</w:t>
      </w:r>
      <w:r w:rsidRPr="1B9E7434">
        <w:rPr>
          <w:rStyle w:val="VerbatimChar"/>
          <w:lang w:val="fr-FR"/>
        </w:rPr>
        <w:t>E53_Lieu</w:t>
      </w:r>
      <w:r w:rsidRPr="1B9E7434">
        <w:rPr>
          <w:lang w:val="fr-FR"/>
        </w:rPr>
        <w:t>) qui n'est pas explicitement documenté. Pour en savoir plus sur les lieux déclaratifs et leur définition, voir CRMGeo (Doerr &amp; Hiebel, 2013).</w:t>
      </w:r>
    </w:p>
    <w:p w14:paraId="6E96002C" w14:textId="77777777" w:rsidR="0084489F" w:rsidRDefault="00110FE6" w:rsidP="00FA3C06">
      <w:pPr>
        <w:pStyle w:val="BodyText"/>
        <w:keepNext/>
      </w:pPr>
      <w:r>
        <w:rPr>
          <w:b/>
          <w:bCs/>
        </w:rPr>
        <w:lastRenderedPageBreak/>
        <w:t>Exemples</w:t>
      </w:r>
    </w:p>
    <w:p w14:paraId="0B917DBE" w14:textId="77777777" w:rsidR="0084489F" w:rsidRDefault="00110FE6" w:rsidP="00806324">
      <w:pPr>
        <w:keepNext/>
        <w:numPr>
          <w:ilvl w:val="0"/>
          <w:numId w:val="276"/>
        </w:numPr>
      </w:pPr>
      <w:r>
        <w:t>L'étendue spatiale de l'Acropole d'Athènes (</w:t>
      </w:r>
      <w:r>
        <w:rPr>
          <w:rStyle w:val="VerbatimChar"/>
        </w:rPr>
        <w:t>E53_Lieu</w:t>
      </w:r>
      <w:r>
        <w:t>) se trouve quelque part à l'intérieur (</w:t>
      </w:r>
      <w:r>
        <w:rPr>
          <w:rStyle w:val="VerbatimChar"/>
        </w:rPr>
        <w:t>P171_quelque_part_dans</w:t>
      </w:r>
      <w:r>
        <w:t>) du polygone (37.969172 23.720787, 37.973122 23.721495 37.972741 23.728994, 37.969299 23.729735, 37.969172 23.720787) (</w:t>
      </w:r>
      <w:r>
        <w:rPr>
          <w:rStyle w:val="VerbatimChar"/>
        </w:rPr>
        <w:t>E94_Primitive_spatiale</w:t>
      </w:r>
      <w:r>
        <w:t>)</w:t>
      </w:r>
    </w:p>
    <w:p w14:paraId="679188E9" w14:textId="77777777" w:rsidR="0084489F" w:rsidRDefault="00110FE6">
      <w:pPr>
        <w:pStyle w:val="FirstParagraph"/>
      </w:pPr>
      <w:r>
        <w:rPr>
          <w:b/>
          <w:bCs/>
        </w:rPr>
        <w:t>Logique</w:t>
      </w:r>
    </w:p>
    <w:p w14:paraId="553E36E6" w14:textId="77777777" w:rsidR="0084489F" w:rsidRDefault="00110FE6">
      <w:pPr>
        <w:pStyle w:val="BodyText"/>
      </w:pPr>
      <w:r w:rsidRPr="1B9E7434">
        <w:rPr>
          <w:lang w:val="fr-FR"/>
        </w:rPr>
        <w:t>P171(x,y) ⇒ E53(x)</w:t>
      </w:r>
    </w:p>
    <w:p w14:paraId="4ECCF0BE" w14:textId="77777777" w:rsidR="0084489F" w:rsidRDefault="00110FE6">
      <w:pPr>
        <w:pStyle w:val="BodyText"/>
      </w:pPr>
      <w:r w:rsidRPr="1B9E7434">
        <w:rPr>
          <w:lang w:val="fr-FR"/>
        </w:rPr>
        <w:t>P171(x,y) ⇒ E94(y)</w:t>
      </w:r>
    </w:p>
    <w:p w14:paraId="273C850A" w14:textId="77777777" w:rsidR="0084489F" w:rsidRDefault="00110FE6">
      <w:pPr>
        <w:pStyle w:val="BodyText"/>
      </w:pPr>
      <w:r w:rsidRPr="1B9E7434">
        <w:rPr>
          <w:lang w:val="fr-FR"/>
        </w:rPr>
        <w:t>P171(x,y) ⇔ (∃z) [E53(z) ˄ P89(x,z) ˄ P168(z,y)]</w:t>
      </w:r>
    </w:p>
    <w:p w14:paraId="57C88635" w14:textId="77777777" w:rsidR="0084489F" w:rsidRDefault="00110FE6">
      <w:pPr>
        <w:pStyle w:val="BodyText"/>
      </w:pPr>
      <w:r>
        <w:rPr>
          <w:b/>
          <w:bCs/>
        </w:rPr>
        <w:t>Propriétés</w:t>
      </w:r>
    </w:p>
    <w:p w14:paraId="42D17439" w14:textId="77777777" w:rsidR="0084489F" w:rsidRDefault="00110FE6">
      <w:pPr>
        <w:pStyle w:val="BlockText"/>
      </w:pPr>
      <w:r>
        <w:rPr>
          <w:b/>
          <w:bCs/>
          <w:i/>
          <w:iCs/>
        </w:rPr>
        <w:t>Note de traduction</w:t>
      </w:r>
    </w:p>
    <w:p w14:paraId="786487CB" w14:textId="77777777" w:rsidR="0084489F" w:rsidRDefault="00110FE6">
      <w:pPr>
        <w:pStyle w:val="BlockText"/>
      </w:pPr>
      <w:r>
        <w:t>Le terme « maximum » a été traduit par l'adjectif « maximal » conformément aux recommandations de l'Office québécois de la langue française qui indique que l'usage de « maximum » devrait être privilégié lorsqu'il s'agit du nom en faveur de « maximal » lorsqu'il s'agit d'un adjectif.</w:t>
      </w:r>
    </w:p>
    <w:p w14:paraId="43BA75D3" w14:textId="77777777" w:rsidR="0084489F" w:rsidRDefault="00110FE6">
      <w:pPr>
        <w:pStyle w:val="BlockText"/>
      </w:pPr>
      <w:r>
        <w:rPr>
          <w:b/>
          <w:bCs/>
          <w:i/>
          <w:iCs/>
        </w:rPr>
        <w:t>Références</w:t>
      </w:r>
    </w:p>
    <w:p w14:paraId="6346FBE3" w14:textId="77777777" w:rsidR="0084489F" w:rsidRDefault="00110FE6">
      <w:pPr>
        <w:pStyle w:val="BlockText"/>
      </w:pPr>
      <w:r w:rsidRPr="1B9E7434">
        <w:rPr>
          <w:lang w:val="fr-FR"/>
        </w:rPr>
        <w:t xml:space="preserve">Office québécois de la langue française. « Maximal, minimal et optimal : accord de l’adjectif ». Dans </w:t>
      </w:r>
      <w:r w:rsidRPr="1B9E7434">
        <w:rPr>
          <w:i/>
          <w:iCs/>
          <w:lang w:val="fr-FR"/>
        </w:rPr>
        <w:t>Banque de dépannage linguistique</w:t>
      </w:r>
      <w:r w:rsidRPr="1B9E7434">
        <w:rPr>
          <w:lang w:val="fr-FR"/>
        </w:rPr>
        <w:t>. Québec, CA-QC: Office québécois de la langue française, 8 février 2023.</w:t>
      </w:r>
      <w:hyperlink r:id="rId283">
        <w:r w:rsidRPr="1B9E7434">
          <w:rPr>
            <w:rStyle w:val="Hyperlink"/>
            <w:lang w:val="fr-FR"/>
          </w:rPr>
          <w:t xml:space="preserve"> </w:t>
        </w:r>
      </w:hyperlink>
      <w:hyperlink r:id="rId284">
        <w:r w:rsidRPr="1B9E7434">
          <w:rPr>
            <w:rStyle w:val="Hyperlink"/>
            <w:lang w:val="fr-FR"/>
          </w:rPr>
          <w:t>https://vitrinelinguistique.oqlf.gouv.qc.ca/23433/la-grammaire/ladjectif/accord-de-ladjectif/cas-particuliers-daccord-de-ladjectif/accord-des-adjectifs-maximal-minimal-et-optimal</w:t>
        </w:r>
      </w:hyperlink>
      <w:r w:rsidRPr="1B9E7434">
        <w:rPr>
          <w:lang w:val="fr-FR"/>
        </w:rPr>
        <w:t>.</w:t>
      </w:r>
    </w:p>
    <w:p w14:paraId="3E5F87F2" w14:textId="77777777" w:rsidR="00453C68" w:rsidRPr="00453C68" w:rsidRDefault="00453C68" w:rsidP="00453C68">
      <w:pPr>
        <w:pStyle w:val="BodyText"/>
      </w:pPr>
    </w:p>
    <w:p w14:paraId="353A244F" w14:textId="77777777" w:rsidR="0084489F" w:rsidRDefault="00110FE6">
      <w:pPr>
        <w:pStyle w:val="Heading2"/>
      </w:pPr>
      <w:bookmarkStart w:id="550" w:name="_Toc176864655"/>
      <w:bookmarkStart w:id="551" w:name="p172-contient"/>
      <w:bookmarkEnd w:id="549"/>
      <w:r>
        <w:t>P172 contient</w:t>
      </w:r>
      <w:bookmarkEnd w:id="550"/>
    </w:p>
    <w:p w14:paraId="128FB34F" w14:textId="77777777" w:rsidR="0084489F" w:rsidRDefault="00110FE6">
      <w:pPr>
        <w:pStyle w:val="FirstParagraph"/>
      </w:pPr>
      <w:r>
        <w:rPr>
          <w:b/>
          <w:bCs/>
        </w:rPr>
        <w:t>Domaine</w:t>
      </w:r>
    </w:p>
    <w:p w14:paraId="2DDE918D" w14:textId="77777777" w:rsidR="0084489F" w:rsidRDefault="00110FE6">
      <w:pPr>
        <w:pStyle w:val="BodyText"/>
      </w:pPr>
      <w:r>
        <w:rPr>
          <w:rStyle w:val="VerbatimChar"/>
        </w:rPr>
        <w:t>E53_Lieu</w:t>
      </w:r>
    </w:p>
    <w:p w14:paraId="4E829C5F" w14:textId="77777777" w:rsidR="0084489F" w:rsidRDefault="00110FE6">
      <w:pPr>
        <w:pStyle w:val="BodyText"/>
      </w:pPr>
      <w:r>
        <w:rPr>
          <w:b/>
          <w:bCs/>
        </w:rPr>
        <w:t>Portée</w:t>
      </w:r>
    </w:p>
    <w:p w14:paraId="03B5D3AA" w14:textId="77777777" w:rsidR="0084489F" w:rsidRDefault="00110FE6">
      <w:pPr>
        <w:pStyle w:val="BodyText"/>
      </w:pPr>
      <w:r>
        <w:rPr>
          <w:rStyle w:val="VerbatimChar"/>
        </w:rPr>
        <w:t>E94_Primitive_spatiale</w:t>
      </w:r>
    </w:p>
    <w:p w14:paraId="7185CA7D" w14:textId="77777777" w:rsidR="0084489F" w:rsidRDefault="00110FE6">
      <w:pPr>
        <w:pStyle w:val="BodyText"/>
      </w:pPr>
      <w:r>
        <w:rPr>
          <w:b/>
          <w:bCs/>
        </w:rPr>
        <w:t>Sous-propriété de</w:t>
      </w:r>
    </w:p>
    <w:p w14:paraId="34B62448" w14:textId="77777777" w:rsidR="0084489F" w:rsidRDefault="00110FE6">
      <w:pPr>
        <w:pStyle w:val="BodyText"/>
      </w:pPr>
      <w:r>
        <w:rPr>
          <w:b/>
          <w:bCs/>
        </w:rPr>
        <w:t>Super-propriété de</w:t>
      </w:r>
    </w:p>
    <w:p w14:paraId="4A9AB632" w14:textId="77777777" w:rsidR="0084489F" w:rsidRDefault="00110FE6">
      <w:pPr>
        <w:pStyle w:val="BodyText"/>
      </w:pPr>
      <w:r>
        <w:rPr>
          <w:b/>
          <w:bCs/>
        </w:rPr>
        <w:t>Quantification</w:t>
      </w:r>
    </w:p>
    <w:p w14:paraId="2C4C866A" w14:textId="77777777" w:rsidR="0084489F" w:rsidRDefault="00110FE6">
      <w:pPr>
        <w:pStyle w:val="BodyText"/>
      </w:pPr>
      <w:r w:rsidRPr="1B9E7434">
        <w:rPr>
          <w:lang w:val="fr-FR"/>
        </w:rPr>
        <w:t>Plusieurs à plusieurs (0,n:0,n)</w:t>
      </w:r>
    </w:p>
    <w:p w14:paraId="0ECD59B7" w14:textId="77777777" w:rsidR="0084489F" w:rsidRDefault="00110FE6">
      <w:pPr>
        <w:pStyle w:val="BodyText"/>
      </w:pPr>
      <w:r>
        <w:rPr>
          <w:b/>
          <w:bCs/>
        </w:rPr>
        <w:t>Note d’application</w:t>
      </w:r>
    </w:p>
    <w:p w14:paraId="76F786B6" w14:textId="77777777" w:rsidR="0084489F" w:rsidRDefault="00110FE6">
      <w:pPr>
        <w:pStyle w:val="BodyText"/>
      </w:pPr>
      <w:r>
        <w:t xml:space="preserve">Cette propriété décrit l'étendue spatiale minimale contenue dans une instance de </w:t>
      </w:r>
      <w:r>
        <w:rPr>
          <w:rStyle w:val="VerbatimChar"/>
        </w:rPr>
        <w:t>E53_Lieu</w:t>
      </w:r>
      <w:r>
        <w:t xml:space="preserve">. Il est possible que des instances de </w:t>
      </w:r>
      <w:r>
        <w:rPr>
          <w:rStyle w:val="VerbatimChar"/>
        </w:rPr>
        <w:t>E53_Lieu</w:t>
      </w:r>
      <w:r>
        <w:t xml:space="preserve"> n'aient pas d'étendues temporelles connues de manière précise. C'est pour cette raison que le CIDOC CRM permet les énoncés portant sur les étendues spatiales minimales d'instances de </w:t>
      </w:r>
      <w:r>
        <w:rPr>
          <w:rStyle w:val="VerbatimChar"/>
        </w:rPr>
        <w:t>E53_Lieu</w:t>
      </w:r>
      <w:r>
        <w:t xml:space="preserve">. Cette propriété permet l'assignation de la valeur d'une instance de </w:t>
      </w:r>
      <w:r>
        <w:rPr>
          <w:rStyle w:val="VerbatimChar"/>
        </w:rPr>
        <w:t>E94_Primitive_spatiale</w:t>
      </w:r>
      <w:r>
        <w:t xml:space="preserve"> à l'étendue spatiale minimale d'une instance de </w:t>
      </w:r>
      <w:r>
        <w:rPr>
          <w:rStyle w:val="VerbatimChar"/>
        </w:rPr>
        <w:t>E53_Lieu</w:t>
      </w:r>
      <w:r>
        <w:t xml:space="preserve"> (c.-à-d. une frontière interne ou un point situé dans un lieu).</w:t>
      </w:r>
    </w:p>
    <w:p w14:paraId="10F7EE07" w14:textId="77777777" w:rsidR="0084489F" w:rsidRDefault="00110FE6">
      <w:pPr>
        <w:pStyle w:val="BodyText"/>
      </w:pPr>
      <w:r>
        <w:t xml:space="preserve">Cette propriété est un raccourci du chemin sémantique suivant : </w:t>
      </w:r>
      <w:r>
        <w:rPr>
          <w:rStyle w:val="VerbatimChar"/>
        </w:rPr>
        <w:t>E53_Lieu</w:t>
      </w:r>
      <w:r>
        <w:t xml:space="preserve">, </w:t>
      </w:r>
      <w:r>
        <w:rPr>
          <w:rStyle w:val="VerbatimChar"/>
        </w:rPr>
        <w:t>P89i_contient</w:t>
      </w:r>
      <w:r>
        <w:t xml:space="preserve">, </w:t>
      </w:r>
      <w:r>
        <w:rPr>
          <w:rStyle w:val="VerbatimChar"/>
        </w:rPr>
        <w:t>E53_Lieu</w:t>
      </w:r>
      <w:r>
        <w:t xml:space="preserve">, </w:t>
      </w:r>
      <w:r>
        <w:rPr>
          <w:rStyle w:val="VerbatimChar"/>
        </w:rPr>
        <w:t>P168_lieu_défini_par</w:t>
      </w:r>
      <w:r>
        <w:t xml:space="preserve">, </w:t>
      </w:r>
      <w:r>
        <w:rPr>
          <w:rStyle w:val="VerbatimChar"/>
        </w:rPr>
        <w:t>E94_Primitive_spatiale</w:t>
      </w:r>
      <w:r>
        <w:t>.</w:t>
      </w:r>
    </w:p>
    <w:p w14:paraId="12734A67" w14:textId="77777777" w:rsidR="0084489F" w:rsidRDefault="00110FE6">
      <w:pPr>
        <w:pStyle w:val="BodyText"/>
      </w:pPr>
      <w:r>
        <w:rPr>
          <w:b/>
          <w:bCs/>
        </w:rPr>
        <w:lastRenderedPageBreak/>
        <w:t>Exemples</w:t>
      </w:r>
    </w:p>
    <w:p w14:paraId="6BFA0C4F" w14:textId="77777777" w:rsidR="0084489F" w:rsidRDefault="00110FE6" w:rsidP="00806324">
      <w:pPr>
        <w:numPr>
          <w:ilvl w:val="0"/>
          <w:numId w:val="277"/>
        </w:numPr>
      </w:pPr>
      <w:r>
        <w:t>L'étendue spatiale de l'Acropole d'Athènes (</w:t>
      </w:r>
      <w:r>
        <w:rPr>
          <w:rStyle w:val="VerbatimChar"/>
        </w:rPr>
        <w:t>E53_Lieu</w:t>
      </w:r>
      <w:r>
        <w:t>) contient (</w:t>
      </w:r>
      <w:r>
        <w:rPr>
          <w:rStyle w:val="VerbatimChar"/>
        </w:rPr>
        <w:t>P172_contient</w:t>
      </w:r>
      <w:r>
        <w:t>) le point (37.971431 23.725947) (</w:t>
      </w:r>
      <w:r>
        <w:rPr>
          <w:rStyle w:val="VerbatimChar"/>
        </w:rPr>
        <w:t>E94_Primitive_spatiale</w:t>
      </w:r>
      <w:r>
        <w:t>)</w:t>
      </w:r>
    </w:p>
    <w:p w14:paraId="72B72A0F" w14:textId="77777777" w:rsidR="0084489F" w:rsidRDefault="00110FE6">
      <w:pPr>
        <w:pStyle w:val="FirstParagraph"/>
      </w:pPr>
      <w:r>
        <w:rPr>
          <w:b/>
          <w:bCs/>
        </w:rPr>
        <w:t>Logique</w:t>
      </w:r>
    </w:p>
    <w:p w14:paraId="77D568EC" w14:textId="77777777" w:rsidR="0084489F" w:rsidRDefault="00110FE6">
      <w:pPr>
        <w:pStyle w:val="BodyText"/>
      </w:pPr>
      <w:r w:rsidRPr="1B9E7434">
        <w:rPr>
          <w:lang w:val="fr-FR"/>
        </w:rPr>
        <w:t>P172(x,y) ⇒ E53(x)</w:t>
      </w:r>
    </w:p>
    <w:p w14:paraId="51272017" w14:textId="77777777" w:rsidR="0084489F" w:rsidRDefault="00110FE6">
      <w:pPr>
        <w:pStyle w:val="BodyText"/>
      </w:pPr>
      <w:r w:rsidRPr="1B9E7434">
        <w:rPr>
          <w:lang w:val="fr-FR"/>
        </w:rPr>
        <w:t>P172(x,y) ⇒ E94(y)</w:t>
      </w:r>
    </w:p>
    <w:p w14:paraId="65070405" w14:textId="77777777" w:rsidR="0084489F" w:rsidRDefault="00110FE6">
      <w:pPr>
        <w:pStyle w:val="BodyText"/>
      </w:pPr>
      <w:r w:rsidRPr="1B9E7434">
        <w:rPr>
          <w:lang w:val="fr-FR"/>
        </w:rPr>
        <w:t>P172(x,y) ⇔ (∃z) [E53(z) ˄ P89i(x,z) ˄ P168(z,y)]</w:t>
      </w:r>
    </w:p>
    <w:p w14:paraId="593222B6" w14:textId="77777777" w:rsidR="0084489F" w:rsidRDefault="00110FE6">
      <w:pPr>
        <w:pStyle w:val="BodyText"/>
      </w:pPr>
      <w:r>
        <w:rPr>
          <w:b/>
          <w:bCs/>
        </w:rPr>
        <w:t>Propriétés</w:t>
      </w:r>
    </w:p>
    <w:p w14:paraId="736A735C" w14:textId="77777777" w:rsidR="0084489F" w:rsidRDefault="00110FE6">
      <w:pPr>
        <w:pStyle w:val="BlockText"/>
      </w:pPr>
      <w:r>
        <w:rPr>
          <w:b/>
          <w:bCs/>
          <w:i/>
          <w:iCs/>
        </w:rPr>
        <w:t>Note de traduction</w:t>
      </w:r>
    </w:p>
    <w:p w14:paraId="55D8890E" w14:textId="77777777" w:rsidR="0084489F" w:rsidRDefault="00110FE6">
      <w:pPr>
        <w:pStyle w:val="BlockText"/>
      </w:pPr>
      <w:r>
        <w:t>Le terme « minimum » a été traduit par l'adjectif « minimal » conformément aux recommandations de l'Office québécois de la langue française qui indique que l'usage de « minimum » devrait être privilégié lorsqu'il s'agit du nom en faveur de « minimal » lorsqu'il s'agit d'un adjectif.</w:t>
      </w:r>
    </w:p>
    <w:p w14:paraId="6F0EC902" w14:textId="77777777" w:rsidR="0084489F" w:rsidRDefault="00110FE6">
      <w:pPr>
        <w:pStyle w:val="BlockText"/>
      </w:pPr>
      <w:r>
        <w:rPr>
          <w:b/>
          <w:bCs/>
          <w:i/>
          <w:iCs/>
        </w:rPr>
        <w:t>Références</w:t>
      </w:r>
    </w:p>
    <w:p w14:paraId="25423349" w14:textId="77777777" w:rsidR="0084489F" w:rsidRDefault="00110FE6">
      <w:pPr>
        <w:pStyle w:val="BlockText"/>
      </w:pPr>
      <w:r w:rsidRPr="1B9E7434">
        <w:rPr>
          <w:lang w:val="fr-FR"/>
        </w:rPr>
        <w:t xml:space="preserve">Office québécois de la langue française. « Maximal, minimal et optimal : accord de l’adjectif ». Dans </w:t>
      </w:r>
      <w:r w:rsidRPr="1B9E7434">
        <w:rPr>
          <w:i/>
          <w:iCs/>
          <w:lang w:val="fr-FR"/>
        </w:rPr>
        <w:t>Banque de dépannage linguistique</w:t>
      </w:r>
      <w:r w:rsidRPr="1B9E7434">
        <w:rPr>
          <w:lang w:val="fr-FR"/>
        </w:rPr>
        <w:t>. Québec, CA-QC: Office québécois de la langue française, 8 février 2023.</w:t>
      </w:r>
      <w:hyperlink r:id="rId285">
        <w:r w:rsidRPr="1B9E7434">
          <w:rPr>
            <w:rStyle w:val="Hyperlink"/>
            <w:lang w:val="fr-FR"/>
          </w:rPr>
          <w:t xml:space="preserve"> </w:t>
        </w:r>
      </w:hyperlink>
      <w:hyperlink r:id="rId286">
        <w:r w:rsidRPr="1B9E7434">
          <w:rPr>
            <w:rStyle w:val="Hyperlink"/>
            <w:lang w:val="fr-FR"/>
          </w:rPr>
          <w:t>https://vitrinelinguistique.oqlf.gouv.qc.ca/23433/la-grammaire/ladjectif/accord-de-ladjectif/cas-particuliers-daccord-de-ladjectif/accord-des-adjectifs-maximal-minimal-et-optimal</w:t>
        </w:r>
      </w:hyperlink>
      <w:r w:rsidRPr="1B9E7434">
        <w:rPr>
          <w:lang w:val="fr-FR"/>
        </w:rPr>
        <w:t>.</w:t>
      </w:r>
    </w:p>
    <w:p w14:paraId="18258CB6" w14:textId="77777777" w:rsidR="00453C68" w:rsidRPr="00453C68" w:rsidRDefault="00453C68" w:rsidP="00453C68">
      <w:pPr>
        <w:pStyle w:val="BodyText"/>
      </w:pPr>
    </w:p>
    <w:p w14:paraId="77B63E2D" w14:textId="77777777" w:rsidR="0084489F" w:rsidRDefault="00110FE6">
      <w:pPr>
        <w:pStyle w:val="Heading2"/>
      </w:pPr>
      <w:bookmarkStart w:id="552" w:name="_Toc176864656"/>
      <w:bookmarkStart w:id="553" w:name="X780e6db10cb69c36347d5e43f99607646ab266a"/>
      <w:bookmarkEnd w:id="551"/>
      <w:r>
        <w:t>P173 commence avant ou au moment de la fin de (se termine après ou au moment du début de)</w:t>
      </w:r>
      <w:bookmarkEnd w:id="552"/>
    </w:p>
    <w:p w14:paraId="257C2934" w14:textId="77777777" w:rsidR="0084489F" w:rsidRDefault="00110FE6">
      <w:pPr>
        <w:pStyle w:val="FirstParagraph"/>
      </w:pPr>
      <w:r>
        <w:rPr>
          <w:b/>
          <w:bCs/>
        </w:rPr>
        <w:t>Domaine</w:t>
      </w:r>
    </w:p>
    <w:p w14:paraId="27457640" w14:textId="77777777" w:rsidR="0084489F" w:rsidRDefault="00110FE6">
      <w:pPr>
        <w:pStyle w:val="BodyText"/>
      </w:pPr>
      <w:r>
        <w:rPr>
          <w:rStyle w:val="VerbatimChar"/>
        </w:rPr>
        <w:t>E2_Entité_temporelle</w:t>
      </w:r>
    </w:p>
    <w:p w14:paraId="2ED63E3B" w14:textId="77777777" w:rsidR="0084489F" w:rsidRDefault="00110FE6">
      <w:pPr>
        <w:pStyle w:val="BodyText"/>
      </w:pPr>
      <w:r>
        <w:rPr>
          <w:b/>
          <w:bCs/>
        </w:rPr>
        <w:t>Portée</w:t>
      </w:r>
    </w:p>
    <w:p w14:paraId="6C1E3420" w14:textId="77777777" w:rsidR="0084489F" w:rsidRDefault="00110FE6">
      <w:pPr>
        <w:pStyle w:val="BodyText"/>
      </w:pPr>
      <w:r>
        <w:rPr>
          <w:rStyle w:val="VerbatimChar"/>
        </w:rPr>
        <w:t>E2_Entité_temporelle</w:t>
      </w:r>
    </w:p>
    <w:p w14:paraId="5DC28F88" w14:textId="77777777" w:rsidR="0084489F" w:rsidRDefault="00110FE6">
      <w:pPr>
        <w:pStyle w:val="BodyText"/>
      </w:pPr>
      <w:r>
        <w:rPr>
          <w:b/>
          <w:bCs/>
        </w:rPr>
        <w:t>Sous-propriété de</w:t>
      </w:r>
    </w:p>
    <w:p w14:paraId="0C09416E" w14:textId="77777777" w:rsidR="0084489F" w:rsidRDefault="00110FE6">
      <w:pPr>
        <w:pStyle w:val="BodyText"/>
      </w:pPr>
      <w:r>
        <w:rPr>
          <w:b/>
          <w:bCs/>
        </w:rPr>
        <w:t>Super-propriété de</w:t>
      </w:r>
    </w:p>
    <w:p w14:paraId="5A1FD773"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P174_commence_avant_la_fin_de (se_termine_après_le_début_de)</w:t>
      </w:r>
      <w:r w:rsidRPr="1B9E7434">
        <w:rPr>
          <w:lang w:val="fr-FR"/>
        </w:rPr>
        <w:t xml:space="preserve"> : </w:t>
      </w:r>
      <w:r w:rsidRPr="1B9E7434">
        <w:rPr>
          <w:rStyle w:val="VerbatimChar"/>
          <w:lang w:val="fr-FR"/>
        </w:rPr>
        <w:t>E2_Entité_temporelle</w:t>
      </w:r>
    </w:p>
    <w:p w14:paraId="1299435A" w14:textId="77777777" w:rsidR="0084489F" w:rsidRDefault="00110FE6">
      <w:pPr>
        <w:pStyle w:val="BodyText"/>
      </w:pPr>
      <w:r>
        <w:rPr>
          <w:b/>
          <w:bCs/>
        </w:rPr>
        <w:t>Quantification</w:t>
      </w:r>
    </w:p>
    <w:p w14:paraId="1CB98EBE" w14:textId="77777777" w:rsidR="0084489F" w:rsidRDefault="00110FE6">
      <w:pPr>
        <w:pStyle w:val="BodyText"/>
      </w:pPr>
      <w:r w:rsidRPr="1B9E7434">
        <w:rPr>
          <w:lang w:val="fr-FR"/>
        </w:rPr>
        <w:t>plusieurs à plusieurs (0,n,0,n)</w:t>
      </w:r>
    </w:p>
    <w:p w14:paraId="15A5C799" w14:textId="77777777" w:rsidR="0084489F" w:rsidRDefault="00110FE6">
      <w:pPr>
        <w:pStyle w:val="BodyText"/>
      </w:pPr>
      <w:r>
        <w:rPr>
          <w:b/>
          <w:bCs/>
        </w:rPr>
        <w:t>Note d’application</w:t>
      </w:r>
    </w:p>
    <w:p w14:paraId="13E6F161" w14:textId="77777777" w:rsidR="0084489F" w:rsidRDefault="00110FE6">
      <w:pPr>
        <w:pStyle w:val="BodyText"/>
      </w:pPr>
      <w:r>
        <w:t xml:space="preserve">Cette propriété spécifie que l’étendue temporelle de l’instance du domaine (A) de </w:t>
      </w:r>
      <w:r>
        <w:rPr>
          <w:rStyle w:val="VerbatimChar"/>
        </w:rPr>
        <w:t>E2_Entité_temporelle</w:t>
      </w:r>
      <w:r>
        <w:t xml:space="preserve"> commence avant ou simultanément avec la fin de l’étendue temporelle de l’instance de la portée (B) de </w:t>
      </w:r>
      <w:r>
        <w:rPr>
          <w:rStyle w:val="VerbatimChar"/>
        </w:rPr>
        <w:t>E2_Entité_temporelle</w:t>
      </w:r>
      <w:r>
        <w:t>.</w:t>
      </w:r>
    </w:p>
    <w:p w14:paraId="1DC6E3F1" w14:textId="77777777" w:rsidR="0084489F" w:rsidRDefault="00110FE6">
      <w:pPr>
        <w:pStyle w:val="BodyText"/>
      </w:pPr>
      <w:r w:rsidRPr="1B9E7434">
        <w:rPr>
          <w:lang w:val="fr-FR"/>
        </w:rPr>
        <w:t>En d’autres mots, si A = [A</w:t>
      </w:r>
      <w:r w:rsidRPr="1B9E7434">
        <w:rPr>
          <w:vertAlign w:val="superscript"/>
          <w:lang w:val="fr-FR"/>
        </w:rPr>
        <w:t>début</w:t>
      </w:r>
      <w:r w:rsidRPr="1B9E7434">
        <w:rPr>
          <w:lang w:val="fr-FR"/>
        </w:rPr>
        <w:t>, A</w:t>
      </w:r>
      <w:r w:rsidRPr="1B9E7434">
        <w:rPr>
          <w:vertAlign w:val="superscript"/>
          <w:lang w:val="fr-FR"/>
        </w:rPr>
        <w:t>fin</w:t>
      </w:r>
      <w:r w:rsidRPr="1B9E7434">
        <w:rPr>
          <w:lang w:val="fr-FR"/>
        </w:rPr>
        <w:t>] et B = [B</w:t>
      </w:r>
      <w:r w:rsidRPr="1B9E7434">
        <w:rPr>
          <w:vertAlign w:val="superscript"/>
          <w:lang w:val="fr-FR"/>
        </w:rPr>
        <w:t>début</w:t>
      </w:r>
      <w:r w:rsidRPr="1B9E7434">
        <w:rPr>
          <w:lang w:val="fr-FR"/>
        </w:rPr>
        <w:t>, B</w:t>
      </w:r>
      <w:r w:rsidRPr="1B9E7434">
        <w:rPr>
          <w:vertAlign w:val="superscript"/>
          <w:lang w:val="fr-FR"/>
        </w:rPr>
        <w:t>fin</w:t>
      </w:r>
      <w:r w:rsidRPr="1B9E7434">
        <w:rPr>
          <w:lang w:val="fr-FR"/>
        </w:rPr>
        <w:t>], alors A</w:t>
      </w:r>
      <w:r w:rsidRPr="1B9E7434">
        <w:rPr>
          <w:vertAlign w:val="superscript"/>
          <w:lang w:val="fr-FR"/>
        </w:rPr>
        <w:t>début</w:t>
      </w:r>
      <w:r w:rsidRPr="1B9E7434">
        <w:rPr>
          <w:lang w:val="fr-FR"/>
        </w:rPr>
        <w:t xml:space="preserve"> ≤ B</w:t>
      </w:r>
      <w:r w:rsidRPr="1B9E7434">
        <w:rPr>
          <w:vertAlign w:val="superscript"/>
          <w:lang w:val="fr-FR"/>
        </w:rPr>
        <w:t>fin</w:t>
      </w:r>
      <w:r w:rsidRPr="1B9E7434">
        <w:rPr>
          <w:lang w:val="fr-FR"/>
        </w:rPr>
        <w:t xml:space="preserve"> est vrai. Cette propriété fait partie de l’ensemble des propriétés temporelles P173 à P176 et P182 à P185.</w:t>
      </w:r>
    </w:p>
    <w:p w14:paraId="722355E3" w14:textId="77777777" w:rsidR="0084489F" w:rsidRDefault="00110FE6">
      <w:pPr>
        <w:pStyle w:val="BodyText"/>
      </w:pPr>
      <w:r>
        <w:lastRenderedPageBreak/>
        <w:t>Cette propriété correspond à une disjonction (OU logique) des relations définies par l’algèbre des intervalles d’Allen suivantes (Allen, 1983) : {se déroule avant, rencontre, rencontré par, chevauche, démarre, démarré par, contient, finit, fini par, est égal à, durant, chevauché par}.</w:t>
      </w:r>
    </w:p>
    <w:p w14:paraId="50A2CE4A" w14:textId="77777777" w:rsidR="0084489F" w:rsidRDefault="00110FE6">
      <w:pPr>
        <w:pStyle w:val="BodyText"/>
      </w:pPr>
      <w:r>
        <w:t>Cette propriété n'est pas transitive.</w:t>
      </w:r>
    </w:p>
    <w:p w14:paraId="10D0CB39" w14:textId="77777777" w:rsidR="0084489F" w:rsidRDefault="00110FE6">
      <w:pPr>
        <w:pStyle w:val="BodyText"/>
      </w:pPr>
      <w:r>
        <w:rPr>
          <w:noProof/>
        </w:rPr>
        <w:drawing>
          <wp:inline distT="0" distB="0" distL="0" distR="0" wp14:anchorId="5F1A7D12" wp14:editId="163CFE5F">
            <wp:extent cx="6858000" cy="3025913"/>
            <wp:effectExtent l="0" t="0" r="0" b="0"/>
            <wp:docPr id="418" name="Picture" descr="Un diagramme illustre le fonctionnement de la propriété P173_commence_avant_ou_au_moment_de_la_fin_de (se_termine_après_ou_au_moment_du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19" name="Picture" descr="/Users/trangdang/Documents/CHIN/Work/documentation/cidoc_crm_fr-ca/docs/v7.1.3/figures/Fig_8_FR.png"/>
                    <pic:cNvPicPr>
                      <a:picLocks noChangeAspect="1" noChangeArrowheads="1"/>
                    </pic:cNvPicPr>
                  </pic:nvPicPr>
                  <pic:blipFill>
                    <a:blip r:embed="rId287"/>
                    <a:stretch>
                      <a:fillRect/>
                    </a:stretch>
                  </pic:blipFill>
                  <pic:spPr bwMode="auto">
                    <a:xfrm>
                      <a:off x="0" y="0"/>
                      <a:ext cx="6858000" cy="3025913"/>
                    </a:xfrm>
                    <a:prstGeom prst="rect">
                      <a:avLst/>
                    </a:prstGeom>
                    <a:noFill/>
                    <a:ln w="9525">
                      <a:noFill/>
                      <a:headEnd/>
                      <a:tailEnd/>
                    </a:ln>
                  </pic:spPr>
                </pic:pic>
              </a:graphicData>
            </a:graphic>
          </wp:inline>
        </w:drawing>
      </w:r>
    </w:p>
    <w:p w14:paraId="3510F11F" w14:textId="77777777" w:rsidR="0084489F" w:rsidRPr="00FA3C06" w:rsidRDefault="00110FE6" w:rsidP="1B9E7434">
      <w:pPr>
        <w:pStyle w:val="BodyText"/>
        <w:rPr>
          <w:sz w:val="20"/>
          <w:szCs w:val="20"/>
          <w:lang w:val="fr-FR"/>
        </w:rPr>
      </w:pPr>
      <w:commentRangeStart w:id="554"/>
      <w:r w:rsidRPr="1B9E7434">
        <w:rPr>
          <w:i/>
          <w:iCs/>
          <w:sz w:val="20"/>
          <w:szCs w:val="20"/>
          <w:lang w:val="fr-FR"/>
        </w:rPr>
        <w:t>Figure 8 : L'entité temporelle A commence avant ou au moment de la fin de l'entité temporelle B. Ici, A est plus long que B.</w:t>
      </w:r>
      <w:commentRangeEnd w:id="554"/>
      <w:r>
        <w:rPr>
          <w:rStyle w:val="CommentReference"/>
        </w:rPr>
        <w:commentReference w:id="554"/>
      </w:r>
    </w:p>
    <w:p w14:paraId="65FEFA91" w14:textId="77777777" w:rsidR="0084489F" w:rsidRDefault="0084489F">
      <w:pPr>
        <w:pStyle w:val="BodyText"/>
      </w:pPr>
    </w:p>
    <w:p w14:paraId="01DF7162" w14:textId="77777777" w:rsidR="0084489F" w:rsidRDefault="00110FE6">
      <w:pPr>
        <w:pStyle w:val="BodyText"/>
      </w:pPr>
      <w:r>
        <w:rPr>
          <w:noProof/>
        </w:rPr>
        <w:drawing>
          <wp:inline distT="0" distB="0" distL="0" distR="0" wp14:anchorId="3CF74C64" wp14:editId="763A75E9">
            <wp:extent cx="6858000" cy="3025913"/>
            <wp:effectExtent l="0" t="0" r="0" b="0"/>
            <wp:docPr id="421" name="Picture" descr="Un diagramme illustre le fonctionnement de la propriété P173_commence_avant_ou_au_moment_de_la_fin_de (se_termine_après_ou_au_moment_du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22" name="Picture" descr="/Users/trangdang/Documents/CHIN/Work/documentation/cidoc_crm_fr-ca/docs/v7.1.3/figures/Fig_9_FR.png"/>
                    <pic:cNvPicPr>
                      <a:picLocks noChangeAspect="1" noChangeArrowheads="1"/>
                    </pic:cNvPicPr>
                  </pic:nvPicPr>
                  <pic:blipFill>
                    <a:blip r:embed="rId288"/>
                    <a:stretch>
                      <a:fillRect/>
                    </a:stretch>
                  </pic:blipFill>
                  <pic:spPr bwMode="auto">
                    <a:xfrm>
                      <a:off x="0" y="0"/>
                      <a:ext cx="6858000" cy="3025913"/>
                    </a:xfrm>
                    <a:prstGeom prst="rect">
                      <a:avLst/>
                    </a:prstGeom>
                    <a:noFill/>
                    <a:ln w="9525">
                      <a:noFill/>
                      <a:headEnd/>
                      <a:tailEnd/>
                    </a:ln>
                  </pic:spPr>
                </pic:pic>
              </a:graphicData>
            </a:graphic>
          </wp:inline>
        </w:drawing>
      </w:r>
    </w:p>
    <w:p w14:paraId="740D74DF" w14:textId="77777777" w:rsidR="0084489F" w:rsidRPr="00F612F1" w:rsidRDefault="00110FE6" w:rsidP="1B9E7434">
      <w:pPr>
        <w:pStyle w:val="BodyText"/>
        <w:rPr>
          <w:sz w:val="20"/>
          <w:szCs w:val="20"/>
          <w:lang w:val="fr-FR"/>
        </w:rPr>
      </w:pPr>
      <w:commentRangeStart w:id="555"/>
      <w:r w:rsidRPr="1B9E7434">
        <w:rPr>
          <w:i/>
          <w:iCs/>
          <w:sz w:val="20"/>
          <w:szCs w:val="20"/>
          <w:lang w:val="fr-FR"/>
        </w:rPr>
        <w:t>Figure 9 : L'entité temporelle A commence avant ou au moment de la fin de l'entité temporelle B. Ici, A est plus court que B.</w:t>
      </w:r>
      <w:commentRangeEnd w:id="555"/>
      <w:r>
        <w:rPr>
          <w:rStyle w:val="CommentReference"/>
        </w:rPr>
        <w:commentReference w:id="555"/>
      </w:r>
    </w:p>
    <w:p w14:paraId="434978AA" w14:textId="77777777" w:rsidR="0084489F" w:rsidRDefault="00110FE6">
      <w:pPr>
        <w:pStyle w:val="BodyText"/>
      </w:pPr>
      <w:r>
        <w:rPr>
          <w:b/>
          <w:bCs/>
        </w:rPr>
        <w:t>Exemples</w:t>
      </w:r>
    </w:p>
    <w:p w14:paraId="74A6E0A8" w14:textId="77777777" w:rsidR="0084489F" w:rsidRDefault="00110FE6" w:rsidP="00806324">
      <w:pPr>
        <w:numPr>
          <w:ilvl w:val="0"/>
          <w:numId w:val="278"/>
        </w:numPr>
      </w:pPr>
      <w:r>
        <w:t>La course légendaire de Marathon à Athènes de 490 AEC (</w:t>
      </w:r>
      <w:r>
        <w:rPr>
          <w:rStyle w:val="VerbatimChar"/>
        </w:rPr>
        <w:t>E7_Activité</w:t>
      </w:r>
      <w:r>
        <w:t>) commence avant ou au moment de la fin de (</w:t>
      </w:r>
      <w:r>
        <w:rPr>
          <w:rStyle w:val="VerbatimChar"/>
        </w:rPr>
        <w:t>P173_commence_avant_ou_au_moment_de_la_fin_de</w:t>
      </w:r>
      <w:r>
        <w:t>) la bataille de Marathon de 490 AEC (</w:t>
      </w:r>
      <w:r>
        <w:rPr>
          <w:rStyle w:val="VerbatimChar"/>
        </w:rPr>
        <w:t>E7_Activité</w:t>
      </w:r>
      <w:r>
        <w:t>)</w:t>
      </w:r>
    </w:p>
    <w:p w14:paraId="41057123" w14:textId="2FD1A309" w:rsidR="0084489F" w:rsidRDefault="00110FE6" w:rsidP="00806324">
      <w:pPr>
        <w:numPr>
          <w:ilvl w:val="0"/>
          <w:numId w:val="278"/>
        </w:numPr>
      </w:pPr>
      <w:r w:rsidRPr="1B9E7434">
        <w:rPr>
          <w:lang w:val="fr-FR"/>
        </w:rPr>
        <w:lastRenderedPageBreak/>
        <w:t>La seconde période du Minœn tardif (LMIIB) (</w:t>
      </w:r>
      <w:r w:rsidRPr="1B9E7434">
        <w:rPr>
          <w:rStyle w:val="VerbatimChar"/>
          <w:lang w:val="fr-FR"/>
        </w:rPr>
        <w:t>E4_Période</w:t>
      </w:r>
      <w:r w:rsidRPr="1B9E7434">
        <w:rPr>
          <w:lang w:val="fr-FR"/>
        </w:rPr>
        <w:t>) se termine après ou au moment du début de (</w:t>
      </w:r>
      <w:r w:rsidRPr="1B9E7434">
        <w:rPr>
          <w:rStyle w:val="VerbatimChar"/>
          <w:lang w:val="fr-FR"/>
        </w:rPr>
        <w:t>P173i_se_termine_après_ou_au_moment_du_début_de</w:t>
      </w:r>
      <w:r w:rsidRPr="1B9E7434">
        <w:rPr>
          <w:lang w:val="fr-FR"/>
        </w:rPr>
        <w:t>) la période de Toutânkhamon (1332-1323 AEC). [Un élément de preuve pour cela est fourni par le sceau de scarabée trouvé à Poros dans le contexte de la seconde période du Minœn tardif (LMIIB). Le scarabée appartient au type « nh.s n Jmn ». Durant la période Akhenaton, la production de ce type de sceau scarabée s’est arrêtée (le nom d’Amon n’est pas mentionné pendant son règne). Par conséquent, le scarabée ne peut pas avoir été produit avant la période Toutânkhamon et provient probablement d’une production ultérieure] (Karetsou, 2000)</w:t>
      </w:r>
    </w:p>
    <w:p w14:paraId="08D218F8" w14:textId="77777777" w:rsidR="0084489F" w:rsidRDefault="00110FE6">
      <w:pPr>
        <w:pStyle w:val="FirstParagraph"/>
      </w:pPr>
      <w:r>
        <w:rPr>
          <w:b/>
          <w:bCs/>
        </w:rPr>
        <w:t>Logique</w:t>
      </w:r>
    </w:p>
    <w:p w14:paraId="7F149FFB" w14:textId="77777777" w:rsidR="0084489F" w:rsidRDefault="00110FE6">
      <w:pPr>
        <w:pStyle w:val="BodyText"/>
      </w:pPr>
      <w:r w:rsidRPr="1B9E7434">
        <w:rPr>
          <w:lang w:val="fr-FR"/>
        </w:rPr>
        <w:t>P173(x,y) ⇒ E2(x)</w:t>
      </w:r>
    </w:p>
    <w:p w14:paraId="554A61BC" w14:textId="77777777" w:rsidR="0084489F" w:rsidRDefault="00110FE6">
      <w:pPr>
        <w:pStyle w:val="BodyText"/>
      </w:pPr>
      <w:r w:rsidRPr="1B9E7434">
        <w:rPr>
          <w:lang w:val="fr-FR"/>
        </w:rPr>
        <w:t>P173(x,y) ⇒ E2(y)</w:t>
      </w:r>
    </w:p>
    <w:p w14:paraId="21944563" w14:textId="77777777" w:rsidR="0084489F" w:rsidRDefault="00110FE6">
      <w:pPr>
        <w:pStyle w:val="BodyText"/>
      </w:pPr>
      <w:r>
        <w:rPr>
          <w:b/>
          <w:bCs/>
        </w:rPr>
        <w:t>Propriétés</w:t>
      </w:r>
    </w:p>
    <w:p w14:paraId="5036A382" w14:textId="77777777" w:rsidR="0084489F" w:rsidRDefault="00110FE6">
      <w:pPr>
        <w:pStyle w:val="BlockText"/>
      </w:pPr>
      <w:r>
        <w:rPr>
          <w:b/>
          <w:bCs/>
          <w:i/>
          <w:iCs/>
        </w:rPr>
        <w:t>Note de traduction</w:t>
      </w:r>
    </w:p>
    <w:p w14:paraId="5B2B8313" w14:textId="77777777" w:rsidR="0084489F" w:rsidRDefault="00110FE6">
      <w:pPr>
        <w:pStyle w:val="BlockText"/>
      </w:pPr>
      <w:r>
        <w:rPr>
          <w:b/>
          <w:bCs/>
          <w:i/>
          <w:iCs/>
        </w:rPr>
        <w:t>Références</w:t>
      </w:r>
    </w:p>
    <w:p w14:paraId="2F50495E" w14:textId="77777777" w:rsidR="0084489F" w:rsidRDefault="00110FE6">
      <w:pPr>
        <w:pStyle w:val="BlockText"/>
      </w:pPr>
      <w:r>
        <w:t xml:space="preserve">Wikipédia. « Algèbre des intervalles d’Allen ». Dans </w:t>
      </w:r>
      <w:r>
        <w:rPr>
          <w:i/>
          <w:iCs/>
        </w:rPr>
        <w:t>Wikipédia</w:t>
      </w:r>
      <w:r>
        <w:t xml:space="preserve">. </w:t>
      </w:r>
      <w:r w:rsidRPr="008C0D99">
        <w:rPr>
          <w:lang w:val="en-CA"/>
        </w:rPr>
        <w:t>San Francisco, US-CA: Wikipédia, 14 janvier 2021.</w:t>
      </w:r>
      <w:hyperlink r:id="rId289">
        <w:r w:rsidRPr="008C0D99">
          <w:rPr>
            <w:rStyle w:val="Hyperlink"/>
            <w:lang w:val="en-CA"/>
          </w:rPr>
          <w:t xml:space="preserve"> </w:t>
        </w:r>
      </w:hyperlink>
      <w:hyperlink r:id="rId290">
        <w:r>
          <w:rPr>
            <w:rStyle w:val="Hyperlink"/>
          </w:rPr>
          <w:t>https://fr.wikipedia.org/wiki/Alg%C3%A8bre_des_intervalles_d%27Allen</w:t>
        </w:r>
      </w:hyperlink>
      <w:r>
        <w:t>.</w:t>
      </w:r>
    </w:p>
    <w:p w14:paraId="3D3FB3BD" w14:textId="77777777" w:rsidR="00352698" w:rsidRPr="00352698" w:rsidRDefault="00352698" w:rsidP="00352698">
      <w:pPr>
        <w:pStyle w:val="BodyText"/>
      </w:pPr>
    </w:p>
    <w:p w14:paraId="361B7058" w14:textId="77777777" w:rsidR="0084489F" w:rsidRDefault="00110FE6" w:rsidP="00352698">
      <w:pPr>
        <w:pStyle w:val="Heading2"/>
      </w:pPr>
      <w:bookmarkStart w:id="556" w:name="_Toc176864657"/>
      <w:bookmarkStart w:id="557" w:name="X5887b56d4e40a3a5fc966e8724b717424412586"/>
      <w:bookmarkEnd w:id="553"/>
      <w:r>
        <w:t>P174 commence avant la fin de (se termine après le début de)</w:t>
      </w:r>
      <w:bookmarkEnd w:id="556"/>
    </w:p>
    <w:p w14:paraId="55B1A799" w14:textId="77777777" w:rsidR="0084489F" w:rsidRDefault="00110FE6" w:rsidP="00352698">
      <w:pPr>
        <w:pStyle w:val="FirstParagraph"/>
        <w:keepNext/>
        <w:keepLines/>
      </w:pPr>
      <w:r>
        <w:rPr>
          <w:b/>
          <w:bCs/>
        </w:rPr>
        <w:t>Domaine</w:t>
      </w:r>
    </w:p>
    <w:p w14:paraId="1B778B4D" w14:textId="77777777" w:rsidR="0084489F" w:rsidRDefault="00110FE6" w:rsidP="00352698">
      <w:pPr>
        <w:pStyle w:val="BodyText"/>
        <w:keepNext/>
        <w:keepLines/>
      </w:pPr>
      <w:r>
        <w:rPr>
          <w:rStyle w:val="VerbatimChar"/>
        </w:rPr>
        <w:t>E2_Entité_temporelle</w:t>
      </w:r>
    </w:p>
    <w:p w14:paraId="5427BFF8" w14:textId="77777777" w:rsidR="0084489F" w:rsidRDefault="00110FE6">
      <w:pPr>
        <w:pStyle w:val="BodyText"/>
      </w:pPr>
      <w:r>
        <w:rPr>
          <w:b/>
          <w:bCs/>
        </w:rPr>
        <w:t>Portée</w:t>
      </w:r>
    </w:p>
    <w:p w14:paraId="13FC7360" w14:textId="77777777" w:rsidR="0084489F" w:rsidRDefault="00110FE6">
      <w:pPr>
        <w:pStyle w:val="BodyText"/>
      </w:pPr>
      <w:r>
        <w:rPr>
          <w:rStyle w:val="VerbatimChar"/>
        </w:rPr>
        <w:t>E2_Entité_temporelle</w:t>
      </w:r>
    </w:p>
    <w:p w14:paraId="56E2DB07" w14:textId="77777777" w:rsidR="0084489F" w:rsidRDefault="00110FE6">
      <w:pPr>
        <w:pStyle w:val="BodyText"/>
      </w:pPr>
      <w:r>
        <w:rPr>
          <w:b/>
          <w:bCs/>
        </w:rPr>
        <w:t>Sous-propriété de</w:t>
      </w:r>
    </w:p>
    <w:p w14:paraId="57F97B60"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P173_commence_avant_ou_au_moment_de_la_fin_de (se_termine_après_ou_au_moment_du_début_de)</w:t>
      </w:r>
      <w:r w:rsidRPr="1B9E7434">
        <w:rPr>
          <w:lang w:val="fr-FR"/>
        </w:rPr>
        <w:t xml:space="preserve"> : </w:t>
      </w:r>
      <w:r w:rsidRPr="1B9E7434">
        <w:rPr>
          <w:rStyle w:val="VerbatimChar"/>
          <w:lang w:val="fr-FR"/>
        </w:rPr>
        <w:t>E2_Entité_temporelle</w:t>
      </w:r>
    </w:p>
    <w:p w14:paraId="18FEF7EE" w14:textId="77777777" w:rsidR="0084489F" w:rsidRDefault="00110FE6">
      <w:pPr>
        <w:pStyle w:val="BodyText"/>
      </w:pPr>
      <w:r>
        <w:rPr>
          <w:b/>
          <w:bCs/>
        </w:rPr>
        <w:t>Super-propriété de</w:t>
      </w:r>
    </w:p>
    <w:p w14:paraId="087A2813"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P175_commence_avant_ou_au_moment_du_début_de (commence_après_ou_au_moment_du_début_de)</w:t>
      </w:r>
      <w:r w:rsidRPr="1B9E7434">
        <w:rPr>
          <w:lang w:val="fr-FR"/>
        </w:rPr>
        <w:t xml:space="preserve"> : </w:t>
      </w:r>
      <w:r w:rsidRPr="1B9E7434">
        <w:rPr>
          <w:rStyle w:val="VerbatimChar"/>
          <w:lang w:val="fr-FR"/>
        </w:rPr>
        <w:t>E2_Entité_temporelle</w:t>
      </w:r>
    </w:p>
    <w:p w14:paraId="516026BC"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P184_se_termine_avant_ou_au_moment_de_la_fin_de (se_termine_au_moment_ou_après_la_fin_de)</w:t>
      </w:r>
      <w:r w:rsidRPr="1B9E7434">
        <w:rPr>
          <w:lang w:val="fr-FR"/>
        </w:rPr>
        <w:t xml:space="preserve"> : </w:t>
      </w:r>
      <w:r w:rsidRPr="1B9E7434">
        <w:rPr>
          <w:rStyle w:val="VerbatimChar"/>
          <w:lang w:val="fr-FR"/>
        </w:rPr>
        <w:t>E2_Entité_temporelle</w:t>
      </w:r>
    </w:p>
    <w:p w14:paraId="70BADF39" w14:textId="77777777" w:rsidR="0084489F" w:rsidRDefault="00110FE6">
      <w:pPr>
        <w:pStyle w:val="BodyText"/>
      </w:pPr>
      <w:r>
        <w:rPr>
          <w:b/>
          <w:bCs/>
        </w:rPr>
        <w:t>Quantification</w:t>
      </w:r>
    </w:p>
    <w:p w14:paraId="4C12813F" w14:textId="77777777" w:rsidR="0084489F" w:rsidRDefault="00110FE6">
      <w:pPr>
        <w:pStyle w:val="BodyText"/>
      </w:pPr>
      <w:r w:rsidRPr="1B9E7434">
        <w:rPr>
          <w:lang w:val="fr-FR"/>
        </w:rPr>
        <w:t>plusieurs à plusieurs (0,n:0,n)</w:t>
      </w:r>
    </w:p>
    <w:p w14:paraId="7CF52B52" w14:textId="77777777" w:rsidR="0084489F" w:rsidRDefault="00110FE6">
      <w:pPr>
        <w:pStyle w:val="BodyText"/>
      </w:pPr>
      <w:r>
        <w:rPr>
          <w:b/>
          <w:bCs/>
        </w:rPr>
        <w:t>Note d’application</w:t>
      </w:r>
    </w:p>
    <w:p w14:paraId="648BD608" w14:textId="77777777" w:rsidR="0084489F" w:rsidRDefault="00110FE6">
      <w:pPr>
        <w:pStyle w:val="BodyText"/>
      </w:pPr>
      <w:r>
        <w:t xml:space="preserve">Cette propriété spécifie que l’étendue temporelle de l'instance du domaine (A) de </w:t>
      </w:r>
      <w:r>
        <w:rPr>
          <w:rStyle w:val="VerbatimChar"/>
        </w:rPr>
        <w:t>E2_Entité_temporelle</w:t>
      </w:r>
      <w:r>
        <w:t xml:space="preserve">, commence de manière certaine avant la fin de l’étendue temporelle de l'instance de la portée (B) de </w:t>
      </w:r>
      <w:r>
        <w:rPr>
          <w:rStyle w:val="VerbatimChar"/>
        </w:rPr>
        <w:t>E2_Entité_temporelle</w:t>
      </w:r>
      <w:r>
        <w:t>.</w:t>
      </w:r>
    </w:p>
    <w:p w14:paraId="639EEAD0" w14:textId="77777777" w:rsidR="0084489F" w:rsidRDefault="00110FE6">
      <w:pPr>
        <w:pStyle w:val="BodyText"/>
      </w:pPr>
      <w:r w:rsidRPr="1B9E7434">
        <w:rPr>
          <w:lang w:val="fr-FR"/>
        </w:rPr>
        <w:lastRenderedPageBreak/>
        <w:t>En d’autres termes, si A = [A</w:t>
      </w:r>
      <w:r w:rsidRPr="1B9E7434">
        <w:rPr>
          <w:vertAlign w:val="superscript"/>
          <w:lang w:val="fr-FR"/>
        </w:rPr>
        <w:t>début</w:t>
      </w:r>
      <w:r w:rsidRPr="1B9E7434">
        <w:rPr>
          <w:lang w:val="fr-FR"/>
        </w:rPr>
        <w:t>, A</w:t>
      </w:r>
      <w:r w:rsidRPr="1B9E7434">
        <w:rPr>
          <w:vertAlign w:val="superscript"/>
          <w:lang w:val="fr-FR"/>
        </w:rPr>
        <w:t>fin</w:t>
      </w:r>
      <w:r w:rsidRPr="1B9E7434">
        <w:rPr>
          <w:lang w:val="fr-FR"/>
        </w:rPr>
        <w:t>] et B = [B</w:t>
      </w:r>
      <w:r w:rsidRPr="1B9E7434">
        <w:rPr>
          <w:vertAlign w:val="superscript"/>
          <w:lang w:val="fr-FR"/>
        </w:rPr>
        <w:t>début</w:t>
      </w:r>
      <w:r w:rsidRPr="1B9E7434">
        <w:rPr>
          <w:lang w:val="fr-FR"/>
        </w:rPr>
        <w:t>, B</w:t>
      </w:r>
      <w:r w:rsidRPr="1B9E7434">
        <w:rPr>
          <w:vertAlign w:val="superscript"/>
          <w:lang w:val="fr-FR"/>
        </w:rPr>
        <w:t>fin</w:t>
      </w:r>
      <w:r w:rsidRPr="1B9E7434">
        <w:rPr>
          <w:lang w:val="fr-FR"/>
        </w:rPr>
        <w:t>], alors A</w:t>
      </w:r>
      <w:r w:rsidRPr="1B9E7434">
        <w:rPr>
          <w:vertAlign w:val="superscript"/>
          <w:lang w:val="fr-FR"/>
        </w:rPr>
        <w:t>début</w:t>
      </w:r>
      <w:r w:rsidRPr="1B9E7434">
        <w:rPr>
          <w:lang w:val="fr-FR"/>
        </w:rPr>
        <w:t xml:space="preserve"> &lt; B</w:t>
      </w:r>
      <w:r w:rsidRPr="1B9E7434">
        <w:rPr>
          <w:vertAlign w:val="superscript"/>
          <w:lang w:val="fr-FR"/>
        </w:rPr>
        <w:t>fin</w:t>
      </w:r>
      <w:r w:rsidRPr="1B9E7434">
        <w:rPr>
          <w:lang w:val="fr-FR"/>
        </w:rPr>
        <w:t xml:space="preserve"> est vrai.</w:t>
      </w:r>
    </w:p>
    <w:p w14:paraId="62A31BB5" w14:textId="77777777" w:rsidR="0084489F" w:rsidRDefault="00110FE6">
      <w:pPr>
        <w:pStyle w:val="BodyText"/>
      </w:pPr>
      <w:r>
        <w:t>Cette propriété fait partie de l’ensemble des propriétés temporelles P173 à P176 et P182 à P185.</w:t>
      </w:r>
    </w:p>
    <w:p w14:paraId="266AC90B" w14:textId="77777777" w:rsidR="0084489F" w:rsidRDefault="00110FE6">
      <w:pPr>
        <w:pStyle w:val="BodyText"/>
      </w:pPr>
      <w:r>
        <w:t>Cette propriété correspond à une disjonction (OU logique) des relations définies par l’algèbre des intervalles d’Allen suivantes (Allen, 1983) : {se déroule avant, rencontre, chevauche, démarre, démarré par, contient, finit, fini par, est égal à, durant, chevauché par}.</w:t>
      </w:r>
    </w:p>
    <w:p w14:paraId="69AF801D" w14:textId="77777777" w:rsidR="0084489F" w:rsidRDefault="00110FE6">
      <w:pPr>
        <w:pStyle w:val="BodyText"/>
      </w:pPr>
      <w:r>
        <w:t>Typiquement, cette propriété est une conséquence de l’influence connue d’un évènement sur un autre évènement ou sur une autre activité, tel que le roman commencé par un actant et poursuivi par un autre actant, ou la connaissance d’une défaite sur un champ de bataille lointain poussant des actants à mettre fin à leurs activités en cours.</w:t>
      </w:r>
    </w:p>
    <w:p w14:paraId="0CD2BF91" w14:textId="77777777" w:rsidR="0084489F" w:rsidRDefault="00110FE6">
      <w:pPr>
        <w:pStyle w:val="BodyText"/>
      </w:pPr>
      <w:r w:rsidRPr="1B9E7434">
        <w:rPr>
          <w:lang w:val="fr-FR"/>
        </w:rPr>
        <w:t>Cette propriété n’est pas transitive et est irréflexive.</w:t>
      </w:r>
    </w:p>
    <w:p w14:paraId="0C0BC7CA" w14:textId="77777777" w:rsidR="0084489F" w:rsidRDefault="00110FE6">
      <w:pPr>
        <w:pStyle w:val="BodyText"/>
      </w:pPr>
      <w:r>
        <w:rPr>
          <w:noProof/>
        </w:rPr>
        <w:drawing>
          <wp:inline distT="0" distB="0" distL="0" distR="0" wp14:anchorId="3BCA66D4" wp14:editId="5ED79E2B">
            <wp:extent cx="6858000" cy="3473367"/>
            <wp:effectExtent l="0" t="0" r="0" b="0"/>
            <wp:docPr id="426" name="Picture" descr="Un diagramme illustre le fonctionnement de la propriété P174_commence_avant_la fin_de (se_termin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27" name="Picture" descr="/Users/trangdang/Documents/CHIN/Work/documentation/cidoc_crm_fr-ca/docs/v7.1.3/figures/Fig_10_FR.png"/>
                    <pic:cNvPicPr>
                      <a:picLocks noChangeAspect="1" noChangeArrowheads="1"/>
                    </pic:cNvPicPr>
                  </pic:nvPicPr>
                  <pic:blipFill>
                    <a:blip r:embed="rId291"/>
                    <a:stretch>
                      <a:fillRect/>
                    </a:stretch>
                  </pic:blipFill>
                  <pic:spPr bwMode="auto">
                    <a:xfrm>
                      <a:off x="0" y="0"/>
                      <a:ext cx="6858000" cy="3473367"/>
                    </a:xfrm>
                    <a:prstGeom prst="rect">
                      <a:avLst/>
                    </a:prstGeom>
                    <a:noFill/>
                    <a:ln w="9525">
                      <a:noFill/>
                      <a:headEnd/>
                      <a:tailEnd/>
                    </a:ln>
                  </pic:spPr>
                </pic:pic>
              </a:graphicData>
            </a:graphic>
          </wp:inline>
        </w:drawing>
      </w:r>
    </w:p>
    <w:p w14:paraId="3AFC4702" w14:textId="77777777" w:rsidR="0084489F" w:rsidRPr="00FA3C06" w:rsidRDefault="00110FE6" w:rsidP="1B9E7434">
      <w:pPr>
        <w:pStyle w:val="BodyText"/>
        <w:rPr>
          <w:sz w:val="20"/>
          <w:szCs w:val="20"/>
          <w:lang w:val="fr-FR"/>
        </w:rPr>
      </w:pPr>
      <w:commentRangeStart w:id="558"/>
      <w:r w:rsidRPr="1B9E7434">
        <w:rPr>
          <w:i/>
          <w:iCs/>
          <w:sz w:val="20"/>
          <w:szCs w:val="20"/>
          <w:lang w:val="fr-FR"/>
        </w:rPr>
        <w:t>Figure 10 : L'entité temporelle A commence avant la fin de l'entité temporelle B. Ici, A est plus long que B.</w:t>
      </w:r>
      <w:commentRangeEnd w:id="558"/>
      <w:r>
        <w:rPr>
          <w:rStyle w:val="CommentReference"/>
        </w:rPr>
        <w:commentReference w:id="558"/>
      </w:r>
    </w:p>
    <w:p w14:paraId="7B3CDB29" w14:textId="77777777" w:rsidR="0084489F" w:rsidRDefault="0084489F">
      <w:pPr>
        <w:pStyle w:val="BodyText"/>
      </w:pPr>
    </w:p>
    <w:p w14:paraId="68B0A004" w14:textId="77777777" w:rsidR="0084489F" w:rsidRDefault="00110FE6">
      <w:pPr>
        <w:pStyle w:val="BodyText"/>
      </w:pPr>
      <w:r>
        <w:rPr>
          <w:noProof/>
        </w:rPr>
        <w:lastRenderedPageBreak/>
        <w:drawing>
          <wp:inline distT="0" distB="0" distL="0" distR="0" wp14:anchorId="10DBB895" wp14:editId="5844E140">
            <wp:extent cx="6858000" cy="3410330"/>
            <wp:effectExtent l="0" t="0" r="0" b="0"/>
            <wp:docPr id="429" name="Picture" descr="Un diagramme illustre le fonctionnement de la propriété P174_commence_avant_la fin_de (se_termin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30" name="Picture" descr="/Users/trangdang/Documents/CHIN/Work/documentation/cidoc_crm_fr-ca/docs/v7.1.3/figures/Fig_11_FR.png"/>
                    <pic:cNvPicPr>
                      <a:picLocks noChangeAspect="1" noChangeArrowheads="1"/>
                    </pic:cNvPicPr>
                  </pic:nvPicPr>
                  <pic:blipFill>
                    <a:blip r:embed="rId292"/>
                    <a:stretch>
                      <a:fillRect/>
                    </a:stretch>
                  </pic:blipFill>
                  <pic:spPr bwMode="auto">
                    <a:xfrm>
                      <a:off x="0" y="0"/>
                      <a:ext cx="6858000" cy="3410330"/>
                    </a:xfrm>
                    <a:prstGeom prst="rect">
                      <a:avLst/>
                    </a:prstGeom>
                    <a:noFill/>
                    <a:ln w="9525">
                      <a:noFill/>
                      <a:headEnd/>
                      <a:tailEnd/>
                    </a:ln>
                  </pic:spPr>
                </pic:pic>
              </a:graphicData>
            </a:graphic>
          </wp:inline>
        </w:drawing>
      </w:r>
    </w:p>
    <w:p w14:paraId="5AF7977D" w14:textId="77777777" w:rsidR="0084489F" w:rsidRPr="00FA3C06" w:rsidRDefault="00110FE6" w:rsidP="1B9E7434">
      <w:pPr>
        <w:pStyle w:val="BodyText"/>
        <w:rPr>
          <w:sz w:val="20"/>
          <w:szCs w:val="20"/>
          <w:lang w:val="fr-FR"/>
        </w:rPr>
      </w:pPr>
      <w:commentRangeStart w:id="559"/>
      <w:r w:rsidRPr="1B9E7434">
        <w:rPr>
          <w:i/>
          <w:iCs/>
          <w:sz w:val="20"/>
          <w:szCs w:val="20"/>
          <w:lang w:val="fr-FR"/>
        </w:rPr>
        <w:t>Figure 11 : L'entité temporelle A commence avant la fin de l'entité temporelle B. Ici, A est plus court que B.</w:t>
      </w:r>
      <w:commentRangeEnd w:id="559"/>
      <w:r>
        <w:rPr>
          <w:rStyle w:val="CommentReference"/>
        </w:rPr>
        <w:commentReference w:id="559"/>
      </w:r>
    </w:p>
    <w:p w14:paraId="677B6EAC" w14:textId="77777777" w:rsidR="0084489F" w:rsidRDefault="00110FE6">
      <w:pPr>
        <w:pStyle w:val="BodyText"/>
      </w:pPr>
      <w:r>
        <w:rPr>
          <w:b/>
          <w:bCs/>
        </w:rPr>
        <w:t>Exemples</w:t>
      </w:r>
    </w:p>
    <w:p w14:paraId="0551BBA4" w14:textId="7951C2B5" w:rsidR="0084489F" w:rsidRDefault="00110FE6" w:rsidP="00806324">
      <w:pPr>
        <w:numPr>
          <w:ilvl w:val="0"/>
          <w:numId w:val="279"/>
        </w:numPr>
      </w:pPr>
      <w:r w:rsidRPr="1B9E7434">
        <w:rPr>
          <w:lang w:val="fr-FR"/>
        </w:rPr>
        <w:t>Le peuplement de la cité d’Assur (Ashur) (</w:t>
      </w:r>
      <w:r w:rsidRPr="1B9E7434">
        <w:rPr>
          <w:rStyle w:val="VerbatimChar"/>
          <w:lang w:val="fr-FR"/>
        </w:rPr>
        <w:t>E7_Activité)</w:t>
      </w:r>
      <w:r w:rsidRPr="1B9E7434">
        <w:rPr>
          <w:lang w:val="fr-FR"/>
        </w:rPr>
        <w:t xml:space="preserve"> commence avant la fin de (</w:t>
      </w:r>
      <w:r w:rsidRPr="1B9E7434">
        <w:rPr>
          <w:rStyle w:val="VerbatimChar"/>
          <w:lang w:val="fr-FR"/>
        </w:rPr>
        <w:t>P174_commence_avant_la_fin_de</w:t>
      </w:r>
      <w:r w:rsidRPr="1B9E7434">
        <w:rPr>
          <w:lang w:val="fr-FR"/>
        </w:rPr>
        <w:t>) la X</w:t>
      </w:r>
      <w:r w:rsidRPr="1B9E7434">
        <w:rPr>
          <w:vertAlign w:val="superscript"/>
          <w:lang w:val="fr-FR"/>
        </w:rPr>
        <w:t>e</w:t>
      </w:r>
      <w:r w:rsidRPr="1B9E7434">
        <w:rPr>
          <w:lang w:val="fr-FR"/>
        </w:rPr>
        <w:t xml:space="preserve"> dynastie d’Égypte (</w:t>
      </w:r>
      <w:r w:rsidRPr="1B9E7434">
        <w:rPr>
          <w:rStyle w:val="VerbatimChar"/>
          <w:lang w:val="fr-FR"/>
        </w:rPr>
        <w:t>E4_Période</w:t>
      </w:r>
      <w:r w:rsidRPr="1B9E7434">
        <w:rPr>
          <w:lang w:val="fr-FR"/>
        </w:rPr>
        <w:t>) [Il y a une différence de 200 à 300 ans dans la chronologie de la Première Période intermédiaire, et la fondation de la cité d’Assur est datée « autour de 2500 AEC »] (Pedersén, 1986)</w:t>
      </w:r>
    </w:p>
    <w:p w14:paraId="2B983F6C" w14:textId="77777777" w:rsidR="0084489F" w:rsidRDefault="00110FE6" w:rsidP="00806324">
      <w:pPr>
        <w:numPr>
          <w:ilvl w:val="0"/>
          <w:numId w:val="279"/>
        </w:numPr>
      </w:pPr>
      <w:r>
        <w:t>La construction de l'actuelle basilique Saint-Pierre à Rome (</w:t>
      </w:r>
      <w:r>
        <w:rPr>
          <w:rStyle w:val="VerbatimChar"/>
        </w:rPr>
        <w:t>E7_Activité</w:t>
      </w:r>
      <w:r>
        <w:t>) commence avant la fin de (</w:t>
      </w:r>
      <w:r>
        <w:rPr>
          <w:rStyle w:val="VerbatimChar"/>
        </w:rPr>
        <w:t>P174_commence_avant_la_fin_de</w:t>
      </w:r>
      <w:r>
        <w:t>) la démolition de la basilique Saint-Pierre du IV</w:t>
      </w:r>
      <w:r>
        <w:rPr>
          <w:vertAlign w:val="superscript"/>
        </w:rPr>
        <w:t>e</w:t>
      </w:r>
      <w:r>
        <w:t> siècle EC (</w:t>
      </w:r>
      <w:r>
        <w:rPr>
          <w:rStyle w:val="VerbatimChar"/>
        </w:rPr>
        <w:t>E6_Destruction</w:t>
      </w:r>
      <w:r>
        <w:t xml:space="preserve">, </w:t>
      </w:r>
      <w:r>
        <w:rPr>
          <w:rStyle w:val="VerbatimChar"/>
        </w:rPr>
        <w:t>E7_Activité</w:t>
      </w:r>
      <w:r>
        <w:t>) (Bosman, 2004)</w:t>
      </w:r>
    </w:p>
    <w:p w14:paraId="0AC5D898" w14:textId="77777777" w:rsidR="0084489F" w:rsidRDefault="00110FE6">
      <w:pPr>
        <w:pStyle w:val="FirstParagraph"/>
      </w:pPr>
      <w:r>
        <w:rPr>
          <w:b/>
          <w:bCs/>
        </w:rPr>
        <w:t>Logique</w:t>
      </w:r>
    </w:p>
    <w:p w14:paraId="63130832" w14:textId="77777777" w:rsidR="0084489F" w:rsidRDefault="00110FE6">
      <w:pPr>
        <w:pStyle w:val="BodyText"/>
      </w:pPr>
      <w:r w:rsidRPr="1B9E7434">
        <w:rPr>
          <w:lang w:val="fr-FR"/>
        </w:rPr>
        <w:t>P174(x,y) ⇒ E2(x)</w:t>
      </w:r>
    </w:p>
    <w:p w14:paraId="6C2E6338" w14:textId="77777777" w:rsidR="0084489F" w:rsidRDefault="00110FE6">
      <w:pPr>
        <w:pStyle w:val="BodyText"/>
      </w:pPr>
      <w:r w:rsidRPr="1B9E7434">
        <w:rPr>
          <w:lang w:val="fr-FR"/>
        </w:rPr>
        <w:t>P174(x,y) ⇒ E2(y)</w:t>
      </w:r>
    </w:p>
    <w:p w14:paraId="4AA13B40" w14:textId="77777777" w:rsidR="0084489F" w:rsidRDefault="00110FE6">
      <w:pPr>
        <w:pStyle w:val="BodyText"/>
      </w:pPr>
      <w:r w:rsidRPr="1B9E7434">
        <w:rPr>
          <w:lang w:val="fr-FR"/>
        </w:rPr>
        <w:t>P174(x,y) ⇒ P173(x,y)</w:t>
      </w:r>
    </w:p>
    <w:p w14:paraId="266AF346" w14:textId="77777777" w:rsidR="0084489F" w:rsidRDefault="00110FE6">
      <w:pPr>
        <w:pStyle w:val="BodyText"/>
      </w:pPr>
      <w:r w:rsidRPr="1B9E7434">
        <w:rPr>
          <w:lang w:val="fr-FR"/>
        </w:rPr>
        <w:t>¬P174(x,x)</w:t>
      </w:r>
    </w:p>
    <w:p w14:paraId="700382EB" w14:textId="77777777" w:rsidR="0084489F" w:rsidRDefault="00110FE6">
      <w:pPr>
        <w:pStyle w:val="BodyText"/>
      </w:pPr>
      <w:r>
        <w:rPr>
          <w:b/>
          <w:bCs/>
        </w:rPr>
        <w:t>Propriétés</w:t>
      </w:r>
    </w:p>
    <w:p w14:paraId="51C25DF1" w14:textId="77777777" w:rsidR="0084489F" w:rsidRDefault="00110FE6">
      <w:pPr>
        <w:pStyle w:val="BlockText"/>
      </w:pPr>
      <w:r>
        <w:rPr>
          <w:b/>
          <w:bCs/>
          <w:i/>
          <w:iCs/>
        </w:rPr>
        <w:t>Note de traduction</w:t>
      </w:r>
    </w:p>
    <w:p w14:paraId="289AC809" w14:textId="77777777" w:rsidR="0084489F" w:rsidRDefault="00110FE6">
      <w:pPr>
        <w:pStyle w:val="BlockText"/>
      </w:pPr>
      <w:r>
        <w:rPr>
          <w:b/>
          <w:bCs/>
          <w:i/>
          <w:iCs/>
        </w:rPr>
        <w:t>Références</w:t>
      </w:r>
    </w:p>
    <w:p w14:paraId="54F8C0CF" w14:textId="77777777" w:rsidR="0084489F" w:rsidRDefault="00110FE6">
      <w:pPr>
        <w:pStyle w:val="BlockText"/>
      </w:pPr>
      <w:r w:rsidRPr="1B9E7434">
        <w:rPr>
          <w:lang w:val="fr-FR"/>
        </w:rPr>
        <w:t xml:space="preserve">Wikipédia. « Algèbre des intervalles d’Allen ». Dans </w:t>
      </w:r>
      <w:r w:rsidRPr="1B9E7434">
        <w:rPr>
          <w:i/>
          <w:iCs/>
          <w:lang w:val="fr-FR"/>
        </w:rPr>
        <w:t>Wikipédia</w:t>
      </w:r>
      <w:r w:rsidRPr="1B9E7434">
        <w:rPr>
          <w:lang w:val="fr-FR"/>
        </w:rPr>
        <w:t>. San Francisco, US-CA: Wikipédia, 14 janvier 2021.</w:t>
      </w:r>
      <w:hyperlink r:id="rId293">
        <w:r w:rsidRPr="1B9E7434">
          <w:rPr>
            <w:rStyle w:val="Hyperlink"/>
            <w:lang w:val="fr-FR"/>
          </w:rPr>
          <w:t xml:space="preserve"> </w:t>
        </w:r>
      </w:hyperlink>
      <w:hyperlink r:id="rId294">
        <w:r w:rsidRPr="1B9E7434">
          <w:rPr>
            <w:rStyle w:val="Hyperlink"/>
            <w:lang w:val="fr-FR"/>
          </w:rPr>
          <w:t>https://fr.wikipedia.org/wiki/Alg%C3%A8bre_des_intervalles_d%27Allen</w:t>
        </w:r>
      </w:hyperlink>
      <w:r w:rsidRPr="1B9E7434">
        <w:rPr>
          <w:lang w:val="fr-FR"/>
        </w:rPr>
        <w:t>.</w:t>
      </w:r>
    </w:p>
    <w:p w14:paraId="3DAD2B12" w14:textId="77777777" w:rsidR="00352698" w:rsidRPr="00352698" w:rsidRDefault="00352698" w:rsidP="00352698">
      <w:pPr>
        <w:pStyle w:val="BodyText"/>
      </w:pPr>
    </w:p>
    <w:p w14:paraId="6609A03C" w14:textId="77777777" w:rsidR="0084489F" w:rsidRDefault="00110FE6">
      <w:pPr>
        <w:pStyle w:val="Heading2"/>
      </w:pPr>
      <w:bookmarkStart w:id="560" w:name="_Toc176864658"/>
      <w:bookmarkStart w:id="561" w:name="Xa1fe23082878002499eae07d89bf3b898d0005b"/>
      <w:bookmarkEnd w:id="557"/>
      <w:r>
        <w:lastRenderedPageBreak/>
        <w:t>P175 commence avant ou au moment du début de (commence après ou au moment du début de)</w:t>
      </w:r>
      <w:bookmarkEnd w:id="560"/>
    </w:p>
    <w:p w14:paraId="1A55123D" w14:textId="77777777" w:rsidR="0084489F" w:rsidRDefault="00110FE6">
      <w:pPr>
        <w:pStyle w:val="FirstParagraph"/>
      </w:pPr>
      <w:r>
        <w:rPr>
          <w:b/>
          <w:bCs/>
        </w:rPr>
        <w:t>Domaine</w:t>
      </w:r>
    </w:p>
    <w:p w14:paraId="4CA96BFA" w14:textId="77777777" w:rsidR="0084489F" w:rsidRDefault="00110FE6">
      <w:pPr>
        <w:pStyle w:val="BodyText"/>
      </w:pPr>
      <w:r>
        <w:rPr>
          <w:rStyle w:val="VerbatimChar"/>
        </w:rPr>
        <w:t>E2_Entité_temporelle</w:t>
      </w:r>
    </w:p>
    <w:p w14:paraId="1AA02A0B" w14:textId="77777777" w:rsidR="0084489F" w:rsidRDefault="00110FE6">
      <w:pPr>
        <w:pStyle w:val="BodyText"/>
      </w:pPr>
      <w:r>
        <w:rPr>
          <w:b/>
          <w:bCs/>
        </w:rPr>
        <w:t>Portée</w:t>
      </w:r>
    </w:p>
    <w:p w14:paraId="0D79A1C5" w14:textId="77777777" w:rsidR="0084489F" w:rsidRDefault="00110FE6">
      <w:pPr>
        <w:pStyle w:val="BodyText"/>
      </w:pPr>
      <w:r>
        <w:rPr>
          <w:rStyle w:val="VerbatimChar"/>
        </w:rPr>
        <w:t>E2_Entité_temporelle</w:t>
      </w:r>
    </w:p>
    <w:p w14:paraId="0E3FB7C5" w14:textId="77777777" w:rsidR="0084489F" w:rsidRDefault="00110FE6">
      <w:pPr>
        <w:pStyle w:val="BodyText"/>
      </w:pPr>
      <w:r>
        <w:rPr>
          <w:b/>
          <w:bCs/>
        </w:rPr>
        <w:t>Sous-propriété de</w:t>
      </w:r>
    </w:p>
    <w:p w14:paraId="3D79B2B2"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P174_commence_avant_la_fin_de (se_termine_après_le_début_de)</w:t>
      </w:r>
      <w:r w:rsidRPr="1B9E7434">
        <w:rPr>
          <w:lang w:val="fr-FR"/>
        </w:rPr>
        <w:t xml:space="preserve"> : </w:t>
      </w:r>
      <w:r w:rsidRPr="1B9E7434">
        <w:rPr>
          <w:rStyle w:val="VerbatimChar"/>
          <w:lang w:val="fr-FR"/>
        </w:rPr>
        <w:t>E2_Entité_temporelle</w:t>
      </w:r>
    </w:p>
    <w:p w14:paraId="00C91E00" w14:textId="77777777" w:rsidR="0084489F" w:rsidRDefault="00110FE6">
      <w:pPr>
        <w:pStyle w:val="BodyText"/>
      </w:pPr>
      <w:r>
        <w:rPr>
          <w:b/>
          <w:bCs/>
        </w:rPr>
        <w:t>Super-propriété de</w:t>
      </w:r>
    </w:p>
    <w:p w14:paraId="3E90967B"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P176_commence_avant_le_début_de (commence_après_le_début_de)</w:t>
      </w:r>
      <w:r w:rsidRPr="1B9E7434">
        <w:rPr>
          <w:lang w:val="fr-FR"/>
        </w:rPr>
        <w:t xml:space="preserve"> : </w:t>
      </w:r>
      <w:r w:rsidRPr="1B9E7434">
        <w:rPr>
          <w:rStyle w:val="VerbatimChar"/>
          <w:lang w:val="fr-FR"/>
        </w:rPr>
        <w:t>E2_Entité_temporelle</w:t>
      </w:r>
    </w:p>
    <w:p w14:paraId="4BE9B42A" w14:textId="77777777" w:rsidR="0084489F" w:rsidRDefault="00110FE6">
      <w:pPr>
        <w:pStyle w:val="BodyText"/>
      </w:pPr>
      <w:r>
        <w:rPr>
          <w:b/>
          <w:bCs/>
        </w:rPr>
        <w:t>Quantification</w:t>
      </w:r>
    </w:p>
    <w:p w14:paraId="5FB19F80" w14:textId="77777777" w:rsidR="0084489F" w:rsidRDefault="00110FE6">
      <w:pPr>
        <w:pStyle w:val="BodyText"/>
      </w:pPr>
      <w:r w:rsidRPr="1B9E7434">
        <w:rPr>
          <w:lang w:val="fr-FR"/>
        </w:rPr>
        <w:t>plusieurs à plusieurs (0,n:0,n)</w:t>
      </w:r>
    </w:p>
    <w:p w14:paraId="3C40CF16" w14:textId="77777777" w:rsidR="0084489F" w:rsidRDefault="00110FE6">
      <w:pPr>
        <w:pStyle w:val="BodyText"/>
      </w:pPr>
      <w:r>
        <w:rPr>
          <w:b/>
          <w:bCs/>
        </w:rPr>
        <w:t>Note d’application</w:t>
      </w:r>
    </w:p>
    <w:p w14:paraId="1D5553D0" w14:textId="77777777" w:rsidR="0084489F" w:rsidRDefault="00110FE6">
      <w:pPr>
        <w:pStyle w:val="BodyText"/>
      </w:pPr>
      <w:r w:rsidRPr="1B9E7434">
        <w:rPr>
          <w:lang w:val="fr-FR"/>
        </w:rPr>
        <w:t xml:space="preserve">Cette propriété spécifie que l’étendue temporelle de l'instance du domaine (A) de </w:t>
      </w:r>
      <w:r w:rsidRPr="1B9E7434">
        <w:rPr>
          <w:rStyle w:val="VerbatimChar"/>
          <w:lang w:val="fr-FR"/>
        </w:rPr>
        <w:t>E2_Entité_temporelle</w:t>
      </w:r>
      <w:r w:rsidRPr="1B9E7434">
        <w:rPr>
          <w:lang w:val="fr-FR"/>
        </w:rPr>
        <w:t xml:space="preserve">, commence avant ou au moment du début de l'étendue temporelle de l'instance de la portée (B) de </w:t>
      </w:r>
      <w:r w:rsidRPr="1B9E7434">
        <w:rPr>
          <w:rStyle w:val="VerbatimChar"/>
          <w:lang w:val="fr-FR"/>
        </w:rPr>
        <w:t>E2_Entité_temporelle</w:t>
      </w:r>
      <w:r w:rsidRPr="1B9E7434">
        <w:rPr>
          <w:lang w:val="fr-FR"/>
        </w:rPr>
        <w:t xml:space="preserve"> .</w:t>
      </w:r>
    </w:p>
    <w:p w14:paraId="6D7D1DB7" w14:textId="77777777" w:rsidR="0084489F" w:rsidRDefault="00110FE6">
      <w:pPr>
        <w:pStyle w:val="BodyText"/>
      </w:pPr>
      <w:r w:rsidRPr="1B9E7434">
        <w:rPr>
          <w:lang w:val="fr-FR"/>
        </w:rPr>
        <w:t>En d'autres termes, si A = [A</w:t>
      </w:r>
      <w:r w:rsidRPr="1B9E7434">
        <w:rPr>
          <w:vertAlign w:val="superscript"/>
          <w:lang w:val="fr-FR"/>
        </w:rPr>
        <w:t>début</w:t>
      </w:r>
      <w:r w:rsidRPr="1B9E7434">
        <w:rPr>
          <w:lang w:val="fr-FR"/>
        </w:rPr>
        <w:t>, A</w:t>
      </w:r>
      <w:r w:rsidRPr="1B9E7434">
        <w:rPr>
          <w:vertAlign w:val="superscript"/>
          <w:lang w:val="fr-FR"/>
        </w:rPr>
        <w:t>fin</w:t>
      </w:r>
      <w:r w:rsidRPr="1B9E7434">
        <w:rPr>
          <w:lang w:val="fr-FR"/>
        </w:rPr>
        <w:t>] et B = [B</w:t>
      </w:r>
      <w:r w:rsidRPr="1B9E7434">
        <w:rPr>
          <w:vertAlign w:val="superscript"/>
          <w:lang w:val="fr-FR"/>
        </w:rPr>
        <w:t>début</w:t>
      </w:r>
      <w:r w:rsidRPr="1B9E7434">
        <w:rPr>
          <w:lang w:val="fr-FR"/>
        </w:rPr>
        <w:t>, B</w:t>
      </w:r>
      <w:r w:rsidRPr="1B9E7434">
        <w:rPr>
          <w:vertAlign w:val="superscript"/>
          <w:lang w:val="fr-FR"/>
        </w:rPr>
        <w:t>fin</w:t>
      </w:r>
      <w:r w:rsidRPr="1B9E7434">
        <w:rPr>
          <w:lang w:val="fr-FR"/>
        </w:rPr>
        <w:t>], alors A</w:t>
      </w:r>
      <w:r w:rsidRPr="1B9E7434">
        <w:rPr>
          <w:vertAlign w:val="superscript"/>
          <w:lang w:val="fr-FR"/>
        </w:rPr>
        <w:t>début</w:t>
      </w:r>
      <w:r w:rsidRPr="1B9E7434">
        <w:rPr>
          <w:lang w:val="fr-FR"/>
        </w:rPr>
        <w:t xml:space="preserve"> ≤ B</w:t>
      </w:r>
      <w:r w:rsidRPr="1B9E7434">
        <w:rPr>
          <w:vertAlign w:val="superscript"/>
          <w:lang w:val="fr-FR"/>
        </w:rPr>
        <w:t>début</w:t>
      </w:r>
      <w:r w:rsidRPr="1B9E7434">
        <w:rPr>
          <w:lang w:val="fr-FR"/>
        </w:rPr>
        <w:t xml:space="preserve"> est vrai.</w:t>
      </w:r>
    </w:p>
    <w:p w14:paraId="73E9D66F" w14:textId="77777777" w:rsidR="0084489F" w:rsidRDefault="00110FE6">
      <w:pPr>
        <w:pStyle w:val="BodyText"/>
      </w:pPr>
      <w:r>
        <w:t>Cette propriété fait partie de l’ensemble des propriétés temporelles P173 à P176 et P182 à P185.</w:t>
      </w:r>
    </w:p>
    <w:p w14:paraId="6CD46253" w14:textId="77777777" w:rsidR="0084489F" w:rsidRDefault="00110FE6">
      <w:pPr>
        <w:pStyle w:val="BodyText"/>
      </w:pPr>
      <w:r>
        <w:t>Cette propriété correspond à une disjonction (OU logique) des relations définies par l’algèbre des intervalles d’Allen suivantes [Allen, 1983] : {se déroule avant, rencontre, chevauche, démarre, démarré par, contient, fini par, est égal à}</w:t>
      </w:r>
    </w:p>
    <w:p w14:paraId="2ACCE9B0" w14:textId="77777777" w:rsidR="0084489F" w:rsidRDefault="00110FE6">
      <w:pPr>
        <w:pStyle w:val="BodyText"/>
      </w:pPr>
      <w:r>
        <w:t>Dans un modèle avec des limites floues, cette propriété n’est pas transitive.</w:t>
      </w:r>
    </w:p>
    <w:p w14:paraId="122DCF32" w14:textId="77777777" w:rsidR="0084489F" w:rsidRDefault="00110FE6">
      <w:pPr>
        <w:pStyle w:val="BodyText"/>
      </w:pPr>
      <w:r w:rsidRPr="1B9E7434">
        <w:rPr>
          <w:lang w:val="fr-FR"/>
        </w:rPr>
        <w:t>Cette propriété est irréflexive.</w:t>
      </w:r>
    </w:p>
    <w:p w14:paraId="027264DE" w14:textId="77777777" w:rsidR="0084489F" w:rsidRDefault="00110FE6">
      <w:pPr>
        <w:pStyle w:val="BodyText"/>
      </w:pPr>
      <w:r>
        <w:rPr>
          <w:noProof/>
        </w:rPr>
        <w:lastRenderedPageBreak/>
        <w:drawing>
          <wp:inline distT="0" distB="0" distL="0" distR="0" wp14:anchorId="65824C22" wp14:editId="52AFA62B">
            <wp:extent cx="6858000" cy="2977958"/>
            <wp:effectExtent l="0" t="0" r="0" b="0"/>
            <wp:docPr id="433" name="Picture" descr="Un diagramme illustre le fonctionnement de la propriété P175_commence_avant_ou_au_moment_du_début_de (commence_après_ou_au_moment_du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34" name="Picture" descr="/Users/trangdang/Documents/CHIN/Work/documentation/cidoc_crm_fr-ca/docs/v7.1.3/figures/Fig_12_FR.png"/>
                    <pic:cNvPicPr>
                      <a:picLocks noChangeAspect="1" noChangeArrowheads="1"/>
                    </pic:cNvPicPr>
                  </pic:nvPicPr>
                  <pic:blipFill>
                    <a:blip r:embed="rId295"/>
                    <a:stretch>
                      <a:fillRect/>
                    </a:stretch>
                  </pic:blipFill>
                  <pic:spPr bwMode="auto">
                    <a:xfrm>
                      <a:off x="0" y="0"/>
                      <a:ext cx="6858000" cy="2977958"/>
                    </a:xfrm>
                    <a:prstGeom prst="rect">
                      <a:avLst/>
                    </a:prstGeom>
                    <a:noFill/>
                    <a:ln w="9525">
                      <a:noFill/>
                      <a:headEnd/>
                      <a:tailEnd/>
                    </a:ln>
                  </pic:spPr>
                </pic:pic>
              </a:graphicData>
            </a:graphic>
          </wp:inline>
        </w:drawing>
      </w:r>
    </w:p>
    <w:p w14:paraId="799458DC" w14:textId="77777777" w:rsidR="0084489F" w:rsidRPr="00FA3C06" w:rsidRDefault="00110FE6" w:rsidP="1B9E7434">
      <w:pPr>
        <w:pStyle w:val="BodyText"/>
        <w:rPr>
          <w:sz w:val="20"/>
          <w:szCs w:val="20"/>
          <w:lang w:val="fr-FR"/>
        </w:rPr>
      </w:pPr>
      <w:commentRangeStart w:id="562"/>
      <w:r w:rsidRPr="1B9E7434">
        <w:rPr>
          <w:i/>
          <w:iCs/>
          <w:sz w:val="20"/>
          <w:szCs w:val="20"/>
          <w:lang w:val="fr-FR"/>
        </w:rPr>
        <w:t>Figure 12 : L'entité temporelle A commence avant ou au moment du début de l'entité temporelle B. Ici, A est plus long que B.</w:t>
      </w:r>
      <w:commentRangeEnd w:id="562"/>
      <w:r>
        <w:rPr>
          <w:rStyle w:val="CommentReference"/>
        </w:rPr>
        <w:commentReference w:id="562"/>
      </w:r>
    </w:p>
    <w:p w14:paraId="4B21E350" w14:textId="77777777" w:rsidR="0084489F" w:rsidRDefault="0084489F">
      <w:pPr>
        <w:pStyle w:val="BodyText"/>
      </w:pPr>
    </w:p>
    <w:p w14:paraId="6E1A5A7D" w14:textId="77777777" w:rsidR="0084489F" w:rsidRDefault="00110FE6">
      <w:pPr>
        <w:pStyle w:val="BodyText"/>
      </w:pPr>
      <w:r>
        <w:rPr>
          <w:noProof/>
        </w:rPr>
        <w:drawing>
          <wp:inline distT="0" distB="0" distL="0" distR="0" wp14:anchorId="37869617" wp14:editId="4138BB5C">
            <wp:extent cx="6858000" cy="3126608"/>
            <wp:effectExtent l="0" t="0" r="0" b="0"/>
            <wp:docPr id="436" name="Picture" descr="Un diagramme illustre le fonctionnement de la propriété P175_commence_avant_ou_au_moment_du_début_de (commence_après_ou_au_moment_du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37" name="Picture" descr="/Users/trangdang/Documents/CHIN/Work/documentation/cidoc_crm_fr-ca/docs/v7.1.3/figures/Fig_13_FR.png"/>
                    <pic:cNvPicPr>
                      <a:picLocks noChangeAspect="1" noChangeArrowheads="1"/>
                    </pic:cNvPicPr>
                  </pic:nvPicPr>
                  <pic:blipFill>
                    <a:blip r:embed="rId296"/>
                    <a:stretch>
                      <a:fillRect/>
                    </a:stretch>
                  </pic:blipFill>
                  <pic:spPr bwMode="auto">
                    <a:xfrm>
                      <a:off x="0" y="0"/>
                      <a:ext cx="6858000" cy="3126608"/>
                    </a:xfrm>
                    <a:prstGeom prst="rect">
                      <a:avLst/>
                    </a:prstGeom>
                    <a:noFill/>
                    <a:ln w="9525">
                      <a:noFill/>
                      <a:headEnd/>
                      <a:tailEnd/>
                    </a:ln>
                  </pic:spPr>
                </pic:pic>
              </a:graphicData>
            </a:graphic>
          </wp:inline>
        </w:drawing>
      </w:r>
    </w:p>
    <w:p w14:paraId="040E52DE" w14:textId="77777777" w:rsidR="0084489F" w:rsidRPr="00FA3C06" w:rsidRDefault="00110FE6" w:rsidP="1B9E7434">
      <w:pPr>
        <w:pStyle w:val="BodyText"/>
        <w:rPr>
          <w:sz w:val="20"/>
          <w:szCs w:val="20"/>
          <w:lang w:val="fr-FR"/>
        </w:rPr>
      </w:pPr>
      <w:commentRangeStart w:id="563"/>
      <w:r w:rsidRPr="1B9E7434">
        <w:rPr>
          <w:i/>
          <w:iCs/>
          <w:sz w:val="20"/>
          <w:szCs w:val="20"/>
          <w:lang w:val="fr-FR"/>
        </w:rPr>
        <w:t>Figure 13 : L'entité temporelle A commence avant ou au moment du début de l'entité temporelle B. Ici, A est plus court que B.</w:t>
      </w:r>
      <w:commentRangeEnd w:id="563"/>
      <w:r>
        <w:rPr>
          <w:rStyle w:val="CommentReference"/>
        </w:rPr>
        <w:commentReference w:id="563"/>
      </w:r>
    </w:p>
    <w:p w14:paraId="348DC007" w14:textId="77777777" w:rsidR="0084489F" w:rsidRDefault="00110FE6">
      <w:pPr>
        <w:pStyle w:val="BodyText"/>
      </w:pPr>
      <w:r>
        <w:rPr>
          <w:b/>
          <w:bCs/>
        </w:rPr>
        <w:t>Exemples</w:t>
      </w:r>
    </w:p>
    <w:p w14:paraId="3D0C9AEB" w14:textId="1B340B3B" w:rsidR="0084489F" w:rsidRDefault="00110FE6" w:rsidP="00806324">
      <w:pPr>
        <w:numPr>
          <w:ilvl w:val="0"/>
          <w:numId w:val="280"/>
        </w:numPr>
      </w:pPr>
      <w:r w:rsidRPr="1B9E7434">
        <w:rPr>
          <w:lang w:val="fr-FR"/>
        </w:rPr>
        <w:t>La production du sceau de scarabée trouvé à Poros dans le contexte de la troisième période du Minœn tardif (LMIIIB) (</w:t>
      </w:r>
      <w:r w:rsidRPr="1B9E7434">
        <w:rPr>
          <w:rStyle w:val="VerbatimChar"/>
          <w:lang w:val="fr-FR"/>
        </w:rPr>
        <w:t>E12_Production</w:t>
      </w:r>
      <w:r w:rsidRPr="1B9E7434">
        <w:rPr>
          <w:lang w:val="fr-FR"/>
        </w:rPr>
        <w:t>) commence après ou au moment du début de (</w:t>
      </w:r>
      <w:r w:rsidRPr="1B9E7434">
        <w:rPr>
          <w:rStyle w:val="VerbatimChar"/>
          <w:lang w:val="fr-FR"/>
        </w:rPr>
        <w:t>P175i_commence_après_ou_au_moment_du_début_de</w:t>
      </w:r>
      <w:r w:rsidRPr="1B9E7434">
        <w:rPr>
          <w:lang w:val="fr-FR"/>
        </w:rPr>
        <w:t>) la période de Toutânkhamon (vers 1332-1323 AEC) (</w:t>
      </w:r>
      <w:r w:rsidRPr="1B9E7434">
        <w:rPr>
          <w:rStyle w:val="VerbatimChar"/>
          <w:lang w:val="fr-FR"/>
        </w:rPr>
        <w:t>E4_Période</w:t>
      </w:r>
      <w:r w:rsidRPr="1B9E7434">
        <w:rPr>
          <w:lang w:val="fr-FR"/>
        </w:rPr>
        <w:t>). [Le sceau de scarabée trouvé à Poros était associé à des découvertes datées de la période du Minœn tardif. Le sceau est daté de la période Toutânkhamon ou plus tard, car il appartient aux scarabées de type « nh.s n Jmn »: Durant la période Akhenaton, la production de ce type de sceau scarabée s’est arrêtée (le nom d’Amon n’est pas mentionné pendant son règne). Par conséquent, le scarabée ne peut pas avoir été produit avant la période Toutânkhamon et provient probablement d’une production ultérieure] (Karetsou, 2000)</w:t>
      </w:r>
    </w:p>
    <w:p w14:paraId="27A00310" w14:textId="0E4A1C9F" w:rsidR="0084489F" w:rsidRDefault="00110FE6" w:rsidP="00806324">
      <w:pPr>
        <w:numPr>
          <w:ilvl w:val="0"/>
          <w:numId w:val="280"/>
        </w:numPr>
      </w:pPr>
      <w:r w:rsidRPr="1B9E7434">
        <w:rPr>
          <w:lang w:val="fr-FR"/>
        </w:rPr>
        <w:lastRenderedPageBreak/>
        <w:t>La production du sceau cylindrique de la première dynastie de Babylone trouvé à Tholos B à Platanos (</w:t>
      </w:r>
      <w:r w:rsidRPr="1B9E7434">
        <w:rPr>
          <w:rStyle w:val="VerbatimChar"/>
          <w:lang w:val="fr-FR"/>
        </w:rPr>
        <w:t>E12_Production</w:t>
      </w:r>
      <w:r w:rsidRPr="1B9E7434">
        <w:rPr>
          <w:lang w:val="fr-FR"/>
        </w:rPr>
        <w:t>) commence après ou au moment du début de (</w:t>
      </w:r>
      <w:r w:rsidRPr="1B9E7434">
        <w:rPr>
          <w:rStyle w:val="VerbatimChar"/>
          <w:lang w:val="fr-FR"/>
        </w:rPr>
        <w:t>P175i_commence_après_ou_au_moment_du_début_de</w:t>
      </w:r>
      <w:r w:rsidRPr="1B9E7434">
        <w:rPr>
          <w:lang w:val="fr-FR"/>
        </w:rPr>
        <w:t>) la période Hammurabi du royaume (</w:t>
      </w:r>
      <w:r w:rsidRPr="1B9E7434">
        <w:rPr>
          <w:rStyle w:val="VerbatimChar"/>
          <w:lang w:val="fr-FR"/>
        </w:rPr>
        <w:t>E4_Période</w:t>
      </w:r>
      <w:r w:rsidRPr="1B9E7434">
        <w:rPr>
          <w:lang w:val="fr-FR"/>
        </w:rPr>
        <w:t>). [Le sceau cylindrique de la première dynastie de Babylone trouvé dans le Tholos B de Platanos suggère une liaison entre le roi Hammurabi et la période MM I. Bien que l’on pense que la découverte ait été trouvée dans une couche MM I, elle contenait du matériel des périodes MM III / Y M I. Par conséquent, le sceau peut provenir de la période Hammurabi ou d’une période ultérieure] (Walberg, 1992)</w:t>
      </w:r>
    </w:p>
    <w:p w14:paraId="40A2408C" w14:textId="77777777" w:rsidR="0084489F" w:rsidRDefault="00110FE6">
      <w:pPr>
        <w:pStyle w:val="FirstParagraph"/>
      </w:pPr>
      <w:r>
        <w:rPr>
          <w:b/>
          <w:bCs/>
        </w:rPr>
        <w:t>Logique</w:t>
      </w:r>
    </w:p>
    <w:p w14:paraId="2B931C7E" w14:textId="77777777" w:rsidR="0084489F" w:rsidRDefault="00110FE6">
      <w:pPr>
        <w:pStyle w:val="BodyText"/>
      </w:pPr>
      <w:r w:rsidRPr="1B9E7434">
        <w:rPr>
          <w:lang w:val="fr-FR"/>
        </w:rPr>
        <w:t>P175(x,y) ⇒ E2(x)</w:t>
      </w:r>
    </w:p>
    <w:p w14:paraId="45B8DB40" w14:textId="77777777" w:rsidR="0084489F" w:rsidRDefault="00110FE6">
      <w:pPr>
        <w:pStyle w:val="BodyText"/>
      </w:pPr>
      <w:r w:rsidRPr="1B9E7434">
        <w:rPr>
          <w:lang w:val="fr-FR"/>
        </w:rPr>
        <w:t>P175(x,y) ⇒ E2(y)</w:t>
      </w:r>
    </w:p>
    <w:p w14:paraId="5FBFF90B" w14:textId="77777777" w:rsidR="0084489F" w:rsidRDefault="00110FE6">
      <w:pPr>
        <w:pStyle w:val="BodyText"/>
      </w:pPr>
      <w:r w:rsidRPr="1B9E7434">
        <w:rPr>
          <w:lang w:val="fr-FR"/>
        </w:rPr>
        <w:t>P175(x,y) ⇒ P174(x,y)</w:t>
      </w:r>
    </w:p>
    <w:p w14:paraId="62C2102F" w14:textId="77777777" w:rsidR="0084489F" w:rsidRDefault="00110FE6">
      <w:pPr>
        <w:pStyle w:val="BodyText"/>
      </w:pPr>
      <w:r w:rsidRPr="1B9E7434">
        <w:rPr>
          <w:lang w:val="fr-FR"/>
        </w:rPr>
        <w:t>¬P175(x,x)</w:t>
      </w:r>
    </w:p>
    <w:p w14:paraId="49F3B836" w14:textId="77777777" w:rsidR="0084489F" w:rsidRDefault="00110FE6">
      <w:pPr>
        <w:pStyle w:val="BodyText"/>
      </w:pPr>
      <w:r>
        <w:rPr>
          <w:b/>
          <w:bCs/>
        </w:rPr>
        <w:t>Propriétés</w:t>
      </w:r>
    </w:p>
    <w:p w14:paraId="25EEC0FE" w14:textId="77777777" w:rsidR="0084489F" w:rsidRDefault="00110FE6">
      <w:pPr>
        <w:pStyle w:val="BlockText"/>
      </w:pPr>
      <w:r>
        <w:rPr>
          <w:b/>
          <w:bCs/>
          <w:i/>
          <w:iCs/>
        </w:rPr>
        <w:t>Note de traduction</w:t>
      </w:r>
    </w:p>
    <w:p w14:paraId="536E8DCA" w14:textId="77777777" w:rsidR="0084489F" w:rsidRDefault="00110FE6">
      <w:pPr>
        <w:pStyle w:val="BlockText"/>
      </w:pPr>
      <w:r>
        <w:rPr>
          <w:b/>
          <w:bCs/>
          <w:i/>
          <w:iCs/>
        </w:rPr>
        <w:t>Références</w:t>
      </w:r>
    </w:p>
    <w:p w14:paraId="53425D17" w14:textId="77777777" w:rsidR="0084489F" w:rsidRDefault="00110FE6">
      <w:pPr>
        <w:pStyle w:val="BlockText"/>
      </w:pPr>
      <w:r w:rsidRPr="1B9E7434">
        <w:rPr>
          <w:lang w:val="fr-FR"/>
        </w:rPr>
        <w:t xml:space="preserve">Wikipédia. « Algèbre des intervalles d’Allen ». Dans </w:t>
      </w:r>
      <w:r w:rsidRPr="1B9E7434">
        <w:rPr>
          <w:i/>
          <w:iCs/>
          <w:lang w:val="fr-FR"/>
        </w:rPr>
        <w:t>Wikipédia</w:t>
      </w:r>
      <w:r w:rsidRPr="1B9E7434">
        <w:rPr>
          <w:lang w:val="fr-FR"/>
        </w:rPr>
        <w:t>. San Francisco, US-CA: Wikipédia, 14 janvier 2021.</w:t>
      </w:r>
      <w:hyperlink r:id="rId297">
        <w:r w:rsidRPr="1B9E7434">
          <w:rPr>
            <w:rStyle w:val="Hyperlink"/>
            <w:lang w:val="fr-FR"/>
          </w:rPr>
          <w:t xml:space="preserve"> </w:t>
        </w:r>
      </w:hyperlink>
      <w:hyperlink r:id="rId298">
        <w:r w:rsidRPr="1B9E7434">
          <w:rPr>
            <w:rStyle w:val="Hyperlink"/>
            <w:lang w:val="fr-FR"/>
          </w:rPr>
          <w:t>https://fr.wikipedia.org/wiki/Alg%C3%A8bre_des_intervalles_d%27Allen</w:t>
        </w:r>
      </w:hyperlink>
      <w:r w:rsidRPr="1B9E7434">
        <w:rPr>
          <w:lang w:val="fr-FR"/>
        </w:rPr>
        <w:t>.</w:t>
      </w:r>
    </w:p>
    <w:p w14:paraId="11C7251E" w14:textId="77777777" w:rsidR="00352698" w:rsidRPr="00352698" w:rsidRDefault="00352698" w:rsidP="00352698">
      <w:pPr>
        <w:pStyle w:val="BodyText"/>
      </w:pPr>
    </w:p>
    <w:p w14:paraId="33FA2BF9" w14:textId="77777777" w:rsidR="0084489F" w:rsidRDefault="00110FE6">
      <w:pPr>
        <w:pStyle w:val="Heading2"/>
      </w:pPr>
      <w:bookmarkStart w:id="564" w:name="_Toc176864659"/>
      <w:bookmarkStart w:id="565" w:name="X9a5809457e4e0e1ab21f34131032a7dcb7f7992"/>
      <w:bookmarkEnd w:id="561"/>
      <w:r>
        <w:t>P176 commence avant le début de (commence après le début de)</w:t>
      </w:r>
      <w:bookmarkEnd w:id="564"/>
    </w:p>
    <w:p w14:paraId="1F75C986" w14:textId="77777777" w:rsidR="0084489F" w:rsidRDefault="00110FE6">
      <w:pPr>
        <w:pStyle w:val="FirstParagraph"/>
      </w:pPr>
      <w:r>
        <w:rPr>
          <w:b/>
          <w:bCs/>
        </w:rPr>
        <w:t>Domaine</w:t>
      </w:r>
    </w:p>
    <w:p w14:paraId="04C0D9E6" w14:textId="77777777" w:rsidR="0084489F" w:rsidRDefault="00110FE6">
      <w:pPr>
        <w:pStyle w:val="BodyText"/>
      </w:pPr>
      <w:r>
        <w:rPr>
          <w:rStyle w:val="VerbatimChar"/>
        </w:rPr>
        <w:t>E2_Entité_temporelle</w:t>
      </w:r>
    </w:p>
    <w:p w14:paraId="7573F337" w14:textId="77777777" w:rsidR="0084489F" w:rsidRDefault="00110FE6">
      <w:pPr>
        <w:pStyle w:val="BodyText"/>
      </w:pPr>
      <w:r>
        <w:rPr>
          <w:b/>
          <w:bCs/>
        </w:rPr>
        <w:t>Portée</w:t>
      </w:r>
    </w:p>
    <w:p w14:paraId="7C467AB1" w14:textId="77777777" w:rsidR="0084489F" w:rsidRDefault="00110FE6">
      <w:pPr>
        <w:pStyle w:val="BodyText"/>
      </w:pPr>
      <w:r>
        <w:rPr>
          <w:rStyle w:val="VerbatimChar"/>
        </w:rPr>
        <w:t>E2_Entité_temporelle</w:t>
      </w:r>
    </w:p>
    <w:p w14:paraId="36DDBFED" w14:textId="77777777" w:rsidR="0084489F" w:rsidRDefault="00110FE6">
      <w:pPr>
        <w:pStyle w:val="BodyText"/>
      </w:pPr>
      <w:r>
        <w:rPr>
          <w:b/>
          <w:bCs/>
        </w:rPr>
        <w:t>Sous-propriété de</w:t>
      </w:r>
    </w:p>
    <w:p w14:paraId="7418C907"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P175_commence_avant_ou_au_moment_du_début_de (commence_après_ou_au_moment_du_début_de)</w:t>
      </w:r>
      <w:r w:rsidRPr="1B9E7434">
        <w:rPr>
          <w:lang w:val="fr-FR"/>
        </w:rPr>
        <w:t xml:space="preserve"> : </w:t>
      </w:r>
      <w:r w:rsidRPr="1B9E7434">
        <w:rPr>
          <w:rStyle w:val="VerbatimChar"/>
          <w:lang w:val="fr-FR"/>
        </w:rPr>
        <w:t>E2_Entité_temporelle</w:t>
      </w:r>
    </w:p>
    <w:p w14:paraId="75E4FAE4" w14:textId="77777777" w:rsidR="0084489F" w:rsidRDefault="00110FE6" w:rsidP="00352698">
      <w:pPr>
        <w:pStyle w:val="BodyText"/>
        <w:keepNext/>
      </w:pPr>
      <w:r>
        <w:rPr>
          <w:b/>
          <w:bCs/>
        </w:rPr>
        <w:t>Super-propriété de</w:t>
      </w:r>
    </w:p>
    <w:p w14:paraId="6C79E5A7" w14:textId="77777777" w:rsidR="0084489F" w:rsidRDefault="00110FE6" w:rsidP="00352698">
      <w:pPr>
        <w:pStyle w:val="BodyText"/>
        <w:keepNext/>
      </w:pPr>
      <w:r w:rsidRPr="1B9E7434">
        <w:rPr>
          <w:rStyle w:val="VerbatimChar"/>
          <w:lang w:val="fr-FR"/>
        </w:rPr>
        <w:t>E2_Entité_temporelle</w:t>
      </w:r>
      <w:r w:rsidRPr="1B9E7434">
        <w:rPr>
          <w:lang w:val="fr-FR"/>
        </w:rPr>
        <w:t xml:space="preserve">. </w:t>
      </w:r>
      <w:r w:rsidRPr="1B9E7434">
        <w:rPr>
          <w:rStyle w:val="VerbatimChar"/>
          <w:lang w:val="fr-FR"/>
        </w:rPr>
        <w:t>P182_se_termine_avant_ou_au_moment_du_début_de (commence_après_ou_au_moment_de_la_fin_de)</w:t>
      </w:r>
      <w:r w:rsidRPr="1B9E7434">
        <w:rPr>
          <w:lang w:val="fr-FR"/>
        </w:rPr>
        <w:t xml:space="preserve"> : </w:t>
      </w:r>
      <w:r w:rsidRPr="1B9E7434">
        <w:rPr>
          <w:rStyle w:val="VerbatimChar"/>
          <w:lang w:val="fr-FR"/>
        </w:rPr>
        <w:t>E2_Entité_temporelle</w:t>
      </w:r>
      <w:r w:rsidRPr="1B9E7434">
        <w:rPr>
          <w:lang w:val="fr-FR"/>
        </w:rPr>
        <w:t xml:space="preserve"> </w:t>
      </w:r>
    </w:p>
    <w:p w14:paraId="1C94F237" w14:textId="77777777" w:rsidR="0084489F" w:rsidRDefault="00110FE6">
      <w:pPr>
        <w:pStyle w:val="BodyText"/>
      </w:pPr>
      <w:r>
        <w:rPr>
          <w:b/>
          <w:bCs/>
        </w:rPr>
        <w:t>Quantification</w:t>
      </w:r>
    </w:p>
    <w:p w14:paraId="191CF742" w14:textId="77777777" w:rsidR="0084489F" w:rsidRDefault="00110FE6">
      <w:pPr>
        <w:pStyle w:val="BodyText"/>
      </w:pPr>
      <w:r w:rsidRPr="1B9E7434">
        <w:rPr>
          <w:lang w:val="fr-FR"/>
        </w:rPr>
        <w:t>plusieurs à plusieurs (0,n:0,n)</w:t>
      </w:r>
    </w:p>
    <w:p w14:paraId="07465933" w14:textId="77777777" w:rsidR="0084489F" w:rsidRDefault="00110FE6">
      <w:pPr>
        <w:pStyle w:val="BodyText"/>
      </w:pPr>
      <w:r>
        <w:rPr>
          <w:b/>
          <w:bCs/>
        </w:rPr>
        <w:t>Note d’application</w:t>
      </w:r>
    </w:p>
    <w:p w14:paraId="30D8B22D" w14:textId="77777777" w:rsidR="0084489F" w:rsidRDefault="00110FE6">
      <w:pPr>
        <w:pStyle w:val="BodyText"/>
      </w:pPr>
      <w:r>
        <w:t xml:space="preserve">Cette propriété spécifie que l’étendue temporelle de l'instance du domaine (A) de </w:t>
      </w:r>
      <w:r>
        <w:rPr>
          <w:rStyle w:val="VerbatimChar"/>
        </w:rPr>
        <w:t>E2_Entité_temporelle</w:t>
      </w:r>
      <w:r>
        <w:t xml:space="preserve">, commence de manière certaine avant le début de l’étendue temporelle de l'instance de la portée (B) de </w:t>
      </w:r>
      <w:r>
        <w:rPr>
          <w:rStyle w:val="VerbatimChar"/>
        </w:rPr>
        <w:t>E2_Entité_temporelle</w:t>
      </w:r>
      <w:r>
        <w:t>.</w:t>
      </w:r>
    </w:p>
    <w:p w14:paraId="0438281E" w14:textId="77777777" w:rsidR="0084489F" w:rsidRDefault="00110FE6">
      <w:pPr>
        <w:pStyle w:val="BodyText"/>
      </w:pPr>
      <w:r w:rsidRPr="1B9E7434">
        <w:rPr>
          <w:lang w:val="fr-FR"/>
        </w:rPr>
        <w:lastRenderedPageBreak/>
        <w:t>En d’autres termes, si A =[A</w:t>
      </w:r>
      <w:r w:rsidRPr="1B9E7434">
        <w:rPr>
          <w:vertAlign w:val="superscript"/>
          <w:lang w:val="fr-FR"/>
        </w:rPr>
        <w:t>début</w:t>
      </w:r>
      <w:r w:rsidRPr="1B9E7434">
        <w:rPr>
          <w:lang w:val="fr-FR"/>
        </w:rPr>
        <w:t>, A</w:t>
      </w:r>
      <w:r w:rsidRPr="1B9E7434">
        <w:rPr>
          <w:vertAlign w:val="superscript"/>
          <w:lang w:val="fr-FR"/>
        </w:rPr>
        <w:t>fin</w:t>
      </w:r>
      <w:r w:rsidRPr="1B9E7434">
        <w:rPr>
          <w:lang w:val="fr-FR"/>
        </w:rPr>
        <w:t>] et B = [B</w:t>
      </w:r>
      <w:r w:rsidRPr="1B9E7434">
        <w:rPr>
          <w:vertAlign w:val="superscript"/>
          <w:lang w:val="fr-FR"/>
        </w:rPr>
        <w:t>début</w:t>
      </w:r>
      <w:r w:rsidRPr="1B9E7434">
        <w:rPr>
          <w:lang w:val="fr-FR"/>
        </w:rPr>
        <w:t>, B</w:t>
      </w:r>
      <w:r w:rsidRPr="1B9E7434">
        <w:rPr>
          <w:vertAlign w:val="superscript"/>
          <w:lang w:val="fr-FR"/>
        </w:rPr>
        <w:t>fin</w:t>
      </w:r>
      <w:r w:rsidRPr="1B9E7434">
        <w:rPr>
          <w:lang w:val="fr-FR"/>
        </w:rPr>
        <w:t>], alors A</w:t>
      </w:r>
      <w:r w:rsidRPr="1B9E7434">
        <w:rPr>
          <w:vertAlign w:val="superscript"/>
          <w:lang w:val="fr-FR"/>
        </w:rPr>
        <w:t>début</w:t>
      </w:r>
      <w:r w:rsidRPr="1B9E7434">
        <w:rPr>
          <w:lang w:val="fr-FR"/>
        </w:rPr>
        <w:t xml:space="preserve"> &lt; B</w:t>
      </w:r>
      <w:r w:rsidRPr="1B9E7434">
        <w:rPr>
          <w:vertAlign w:val="superscript"/>
          <w:lang w:val="fr-FR"/>
        </w:rPr>
        <w:t>début</w:t>
      </w:r>
      <w:r w:rsidRPr="1B9E7434">
        <w:rPr>
          <w:lang w:val="fr-FR"/>
        </w:rPr>
        <w:t xml:space="preserve"> est vrai.</w:t>
      </w:r>
    </w:p>
    <w:p w14:paraId="7967AA1D" w14:textId="77777777" w:rsidR="0084489F" w:rsidRDefault="00110FE6">
      <w:pPr>
        <w:pStyle w:val="BodyText"/>
      </w:pPr>
      <w:r>
        <w:t>Cette propriété fait partie de l’ensemble des propriétés temporelles P173 à P176 et P182 à P185.</w:t>
      </w:r>
    </w:p>
    <w:p w14:paraId="18F6029D" w14:textId="77777777" w:rsidR="0084489F" w:rsidRDefault="00110FE6">
      <w:pPr>
        <w:pStyle w:val="BodyText"/>
      </w:pPr>
      <w:r>
        <w:t>Cette propriété correspond à une disjonction (OU logique) des relations définies par l’algèbre des intervalles d’Allen suivantes [Allen, 1983] : {se déroule avant, rencontre, chevauche, contient, fini par}.</w:t>
      </w:r>
    </w:p>
    <w:p w14:paraId="30CF000D" w14:textId="77777777" w:rsidR="0084489F" w:rsidRDefault="00110FE6">
      <w:pPr>
        <w:pStyle w:val="BodyText"/>
      </w:pPr>
      <w:r>
        <w:t>Cette propriété est transitive et asymétrique.</w:t>
      </w:r>
    </w:p>
    <w:p w14:paraId="1041C359" w14:textId="77777777" w:rsidR="0084489F" w:rsidRDefault="00110FE6">
      <w:pPr>
        <w:pStyle w:val="BodyText"/>
      </w:pPr>
      <w:r>
        <w:rPr>
          <w:noProof/>
        </w:rPr>
        <w:drawing>
          <wp:inline distT="0" distB="0" distL="0" distR="0" wp14:anchorId="38788B71" wp14:editId="038A51C9">
            <wp:extent cx="6858000" cy="3349540"/>
            <wp:effectExtent l="0" t="0" r="0" b="0"/>
            <wp:docPr id="440" name="Picture" descr="Un diagramme illustre le fonctionnement de la propriété P176_commence_avant_le_début_de (commenc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41" name="Picture" descr="/Users/trangdang/Documents/CHIN/Work/documentation/cidoc_crm_fr-ca/docs/v7.1.3/figures/Fig_14_FR.png"/>
                    <pic:cNvPicPr>
                      <a:picLocks noChangeAspect="1" noChangeArrowheads="1"/>
                    </pic:cNvPicPr>
                  </pic:nvPicPr>
                  <pic:blipFill>
                    <a:blip r:embed="rId299"/>
                    <a:stretch>
                      <a:fillRect/>
                    </a:stretch>
                  </pic:blipFill>
                  <pic:spPr bwMode="auto">
                    <a:xfrm>
                      <a:off x="0" y="0"/>
                      <a:ext cx="6858000" cy="3349540"/>
                    </a:xfrm>
                    <a:prstGeom prst="rect">
                      <a:avLst/>
                    </a:prstGeom>
                    <a:noFill/>
                    <a:ln w="9525">
                      <a:noFill/>
                      <a:headEnd/>
                      <a:tailEnd/>
                    </a:ln>
                  </pic:spPr>
                </pic:pic>
              </a:graphicData>
            </a:graphic>
          </wp:inline>
        </w:drawing>
      </w:r>
    </w:p>
    <w:p w14:paraId="45EFF1E4" w14:textId="77777777" w:rsidR="0084489F" w:rsidRDefault="00110FE6">
      <w:pPr>
        <w:pStyle w:val="BodyText"/>
      </w:pPr>
      <w:commentRangeStart w:id="566"/>
      <w:r w:rsidRPr="1B9E7434">
        <w:rPr>
          <w:i/>
          <w:iCs/>
          <w:sz w:val="20"/>
          <w:szCs w:val="20"/>
          <w:lang w:val="fr-FR"/>
        </w:rPr>
        <w:t>Figure 14 : L'entité temporelle A commence avant le début de l'entité temporelle B. Ici, A est plus long que B.</w:t>
      </w:r>
      <w:commentRangeEnd w:id="566"/>
      <w:r>
        <w:rPr>
          <w:rStyle w:val="CommentReference"/>
        </w:rPr>
        <w:commentReference w:id="566"/>
      </w:r>
    </w:p>
    <w:p w14:paraId="211F9963" w14:textId="77777777" w:rsidR="0084489F" w:rsidRDefault="0084489F">
      <w:pPr>
        <w:pStyle w:val="BodyText"/>
      </w:pPr>
    </w:p>
    <w:p w14:paraId="544C3179" w14:textId="77777777" w:rsidR="0084489F" w:rsidRDefault="00110FE6">
      <w:pPr>
        <w:pStyle w:val="BodyText"/>
      </w:pPr>
      <w:r>
        <w:rPr>
          <w:noProof/>
        </w:rPr>
        <w:drawing>
          <wp:inline distT="0" distB="0" distL="0" distR="0" wp14:anchorId="6C70366D" wp14:editId="27E4EC75">
            <wp:extent cx="6858000" cy="3234237"/>
            <wp:effectExtent l="0" t="0" r="0" b="0"/>
            <wp:docPr id="443" name="Picture" descr="Un diagramme illustre le fonctionnement de la propriété P176_commence_avant_le_début_de (commenc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44" name="Picture" descr="/Users/trangdang/Documents/CHIN/Work/documentation/cidoc_crm_fr-ca/docs/v7.1.3/figures/Fig_15_FR.png"/>
                    <pic:cNvPicPr>
                      <a:picLocks noChangeAspect="1" noChangeArrowheads="1"/>
                    </pic:cNvPicPr>
                  </pic:nvPicPr>
                  <pic:blipFill>
                    <a:blip r:embed="rId300"/>
                    <a:stretch>
                      <a:fillRect/>
                    </a:stretch>
                  </pic:blipFill>
                  <pic:spPr bwMode="auto">
                    <a:xfrm>
                      <a:off x="0" y="0"/>
                      <a:ext cx="6858000" cy="3234237"/>
                    </a:xfrm>
                    <a:prstGeom prst="rect">
                      <a:avLst/>
                    </a:prstGeom>
                    <a:noFill/>
                    <a:ln w="9525">
                      <a:noFill/>
                      <a:headEnd/>
                      <a:tailEnd/>
                    </a:ln>
                  </pic:spPr>
                </pic:pic>
              </a:graphicData>
            </a:graphic>
          </wp:inline>
        </w:drawing>
      </w:r>
    </w:p>
    <w:p w14:paraId="0A12C5E1" w14:textId="77777777" w:rsidR="0084489F" w:rsidRPr="0002044A" w:rsidRDefault="00110FE6" w:rsidP="1B9E7434">
      <w:pPr>
        <w:pStyle w:val="BodyText"/>
        <w:rPr>
          <w:sz w:val="20"/>
          <w:szCs w:val="20"/>
          <w:lang w:val="fr-FR"/>
        </w:rPr>
      </w:pPr>
      <w:commentRangeStart w:id="567"/>
      <w:r w:rsidRPr="1B9E7434">
        <w:rPr>
          <w:i/>
          <w:iCs/>
          <w:sz w:val="20"/>
          <w:szCs w:val="20"/>
          <w:lang w:val="fr-FR"/>
        </w:rPr>
        <w:t>Figure 15 : L'entité temporelle A commence avant le début de l'entité temporelle B. Ici, A est plus court que B.</w:t>
      </w:r>
      <w:commentRangeEnd w:id="567"/>
      <w:r>
        <w:rPr>
          <w:rStyle w:val="CommentReference"/>
        </w:rPr>
        <w:commentReference w:id="567"/>
      </w:r>
    </w:p>
    <w:p w14:paraId="0D3DF0D4" w14:textId="77777777" w:rsidR="0084489F" w:rsidRDefault="00110FE6">
      <w:pPr>
        <w:pStyle w:val="BodyText"/>
      </w:pPr>
      <w:r>
        <w:rPr>
          <w:b/>
          <w:bCs/>
        </w:rPr>
        <w:lastRenderedPageBreak/>
        <w:t>Exemples</w:t>
      </w:r>
    </w:p>
    <w:p w14:paraId="1C4CAF50" w14:textId="77777777" w:rsidR="0084489F" w:rsidRDefault="00110FE6" w:rsidP="00806324">
      <w:pPr>
        <w:numPr>
          <w:ilvl w:val="0"/>
          <w:numId w:val="281"/>
        </w:numPr>
      </w:pPr>
      <w:r>
        <w:t>Le règne du roi Harold II (</w:t>
      </w:r>
      <w:r>
        <w:rPr>
          <w:rStyle w:val="VerbatimChar"/>
        </w:rPr>
        <w:t>E4_Période</w:t>
      </w:r>
      <w:r>
        <w:t>) commence avant le début de (</w:t>
      </w:r>
      <w:r>
        <w:rPr>
          <w:rStyle w:val="VerbatimChar"/>
        </w:rPr>
        <w:t>P176_commence_avant_le_début_de</w:t>
      </w:r>
      <w:r>
        <w:t>) la bataille de Hastings (</w:t>
      </w:r>
      <w:r>
        <w:rPr>
          <w:rStyle w:val="VerbatimChar"/>
        </w:rPr>
        <w:t>E7_Activité</w:t>
      </w:r>
      <w:r>
        <w:t>) (Wikipédia 2022a)</w:t>
      </w:r>
    </w:p>
    <w:p w14:paraId="44EE4FAD" w14:textId="577643DD" w:rsidR="0084489F" w:rsidRDefault="00110FE6" w:rsidP="00806324">
      <w:pPr>
        <w:numPr>
          <w:ilvl w:val="0"/>
          <w:numId w:val="281"/>
        </w:numPr>
      </w:pPr>
      <w:r w:rsidRPr="1B9E7434">
        <w:rPr>
          <w:lang w:val="fr-FR"/>
        </w:rPr>
        <w:t>La vie de Attila le Hun (</w:t>
      </w:r>
      <w:r w:rsidRPr="1B9E7434">
        <w:rPr>
          <w:rStyle w:val="VerbatimChar"/>
          <w:lang w:val="fr-FR"/>
        </w:rPr>
        <w:t>E4_Période</w:t>
      </w:r>
      <w:r w:rsidRPr="1B9E7434">
        <w:rPr>
          <w:lang w:val="fr-FR"/>
        </w:rPr>
        <w:t>) commence avant le début de (</w:t>
      </w:r>
      <w:r w:rsidRPr="1B9E7434">
        <w:rPr>
          <w:rStyle w:val="VerbatimChar"/>
          <w:lang w:val="fr-FR"/>
        </w:rPr>
        <w:t>P176_commence_avant_le_début_de</w:t>
      </w:r>
      <w:r w:rsidRPr="1B9E7434">
        <w:rPr>
          <w:lang w:val="fr-FR"/>
        </w:rPr>
        <w:t>) la bataille des champs Catalauniques [20 juin 451 EC] (</w:t>
      </w:r>
      <w:r w:rsidRPr="1B9E7434">
        <w:rPr>
          <w:rStyle w:val="VerbatimChar"/>
          <w:lang w:val="fr-FR"/>
        </w:rPr>
        <w:t>E7_Activité</w:t>
      </w:r>
      <w:r w:rsidRPr="1B9E7434">
        <w:rPr>
          <w:lang w:val="fr-FR"/>
        </w:rPr>
        <w:t>) (Wikipédia 2022b)</w:t>
      </w:r>
    </w:p>
    <w:p w14:paraId="057381DC" w14:textId="77777777" w:rsidR="0084489F" w:rsidRDefault="00110FE6">
      <w:pPr>
        <w:pStyle w:val="FirstParagraph"/>
      </w:pPr>
      <w:r>
        <w:rPr>
          <w:b/>
          <w:bCs/>
        </w:rPr>
        <w:t>Logique</w:t>
      </w:r>
    </w:p>
    <w:p w14:paraId="3B497883" w14:textId="77777777" w:rsidR="0084489F" w:rsidRDefault="00110FE6">
      <w:pPr>
        <w:pStyle w:val="BodyText"/>
      </w:pPr>
      <w:r w:rsidRPr="1B9E7434">
        <w:rPr>
          <w:lang w:val="fr-FR"/>
        </w:rPr>
        <w:t>P176(x,y) ⇒ E2(x)</w:t>
      </w:r>
    </w:p>
    <w:p w14:paraId="0CA11E26" w14:textId="77777777" w:rsidR="0084489F" w:rsidRDefault="00110FE6">
      <w:pPr>
        <w:pStyle w:val="BodyText"/>
      </w:pPr>
      <w:r w:rsidRPr="1B9E7434">
        <w:rPr>
          <w:lang w:val="fr-FR"/>
        </w:rPr>
        <w:t>P176(x,y) ⇒ E2(y)</w:t>
      </w:r>
    </w:p>
    <w:p w14:paraId="1C0E4224" w14:textId="77777777" w:rsidR="0084489F" w:rsidRDefault="00110FE6">
      <w:pPr>
        <w:pStyle w:val="BodyText"/>
      </w:pPr>
      <w:r w:rsidRPr="1B9E7434">
        <w:rPr>
          <w:lang w:val="fr-FR"/>
        </w:rPr>
        <w:t>P176(x,y) ⇒ P175(x,y)</w:t>
      </w:r>
    </w:p>
    <w:p w14:paraId="6A0C2A9B" w14:textId="77777777" w:rsidR="0084489F" w:rsidRDefault="00110FE6">
      <w:pPr>
        <w:pStyle w:val="BodyText"/>
      </w:pPr>
      <w:r w:rsidRPr="1B9E7434">
        <w:rPr>
          <w:lang w:val="fr-FR"/>
        </w:rPr>
        <w:t>[P176(x,y) ∧ P176(y,z)] ⇒ P176(x,z)</w:t>
      </w:r>
    </w:p>
    <w:p w14:paraId="6FCB59BE" w14:textId="77777777" w:rsidR="0084489F" w:rsidRDefault="00110FE6">
      <w:pPr>
        <w:pStyle w:val="BodyText"/>
      </w:pPr>
      <w:r w:rsidRPr="1B9E7434">
        <w:rPr>
          <w:lang w:val="fr-FR"/>
        </w:rPr>
        <w:t>P176(x,y) ⇒ ¬P176(y,x)</w:t>
      </w:r>
    </w:p>
    <w:p w14:paraId="673EBB44" w14:textId="77777777" w:rsidR="0084489F" w:rsidRDefault="00110FE6">
      <w:pPr>
        <w:pStyle w:val="BodyText"/>
      </w:pPr>
      <w:r>
        <w:rPr>
          <w:b/>
          <w:bCs/>
        </w:rPr>
        <w:t>Propriétés</w:t>
      </w:r>
    </w:p>
    <w:p w14:paraId="6CA3199C" w14:textId="77777777" w:rsidR="0084489F" w:rsidRDefault="00110FE6">
      <w:pPr>
        <w:pStyle w:val="BlockText"/>
      </w:pPr>
      <w:r>
        <w:rPr>
          <w:b/>
          <w:bCs/>
          <w:i/>
          <w:iCs/>
        </w:rPr>
        <w:t>Note de traduction</w:t>
      </w:r>
    </w:p>
    <w:p w14:paraId="481A63D1" w14:textId="77777777" w:rsidR="0084489F" w:rsidRDefault="00110FE6">
      <w:pPr>
        <w:pStyle w:val="BlockText"/>
      </w:pPr>
      <w:r>
        <w:rPr>
          <w:b/>
          <w:bCs/>
          <w:i/>
          <w:iCs/>
        </w:rPr>
        <w:t>Références</w:t>
      </w:r>
    </w:p>
    <w:p w14:paraId="3774235D" w14:textId="77777777" w:rsidR="0084489F" w:rsidRDefault="00110FE6">
      <w:pPr>
        <w:pStyle w:val="BlockText"/>
      </w:pPr>
      <w:r>
        <w:t xml:space="preserve">Wikipédia. « Algèbre des intervalles d’Allen ». Dans </w:t>
      </w:r>
      <w:r>
        <w:rPr>
          <w:i/>
          <w:iCs/>
        </w:rPr>
        <w:t>Wikipédia</w:t>
      </w:r>
      <w:r>
        <w:t xml:space="preserve">. </w:t>
      </w:r>
      <w:r w:rsidRPr="008C0D99">
        <w:rPr>
          <w:lang w:val="en-CA"/>
        </w:rPr>
        <w:t>San Francisco, US-CA: Wikipédia, 14 janvier 2021.</w:t>
      </w:r>
      <w:hyperlink r:id="rId301">
        <w:r w:rsidRPr="008C0D99">
          <w:rPr>
            <w:rStyle w:val="Hyperlink"/>
            <w:lang w:val="en-CA"/>
          </w:rPr>
          <w:t xml:space="preserve"> </w:t>
        </w:r>
      </w:hyperlink>
      <w:hyperlink r:id="rId302">
        <w:r>
          <w:rPr>
            <w:rStyle w:val="Hyperlink"/>
          </w:rPr>
          <w:t>https://fr.wikipedia.org/wiki/Alg%C3%A8bre_des_intervalles_d%27Allen</w:t>
        </w:r>
      </w:hyperlink>
      <w:r>
        <w:t>.</w:t>
      </w:r>
    </w:p>
    <w:p w14:paraId="24BDB935" w14:textId="77777777" w:rsidR="00352698" w:rsidRPr="00352698" w:rsidRDefault="00352698" w:rsidP="00352698">
      <w:pPr>
        <w:pStyle w:val="BodyText"/>
      </w:pPr>
    </w:p>
    <w:p w14:paraId="7D7D89D6" w14:textId="77777777" w:rsidR="0084489F" w:rsidRDefault="00110FE6" w:rsidP="00352698">
      <w:pPr>
        <w:pStyle w:val="Heading2"/>
      </w:pPr>
      <w:bookmarkStart w:id="568" w:name="_Toc176864660"/>
      <w:bookmarkStart w:id="569" w:name="X8ce7bfc6aa49531bf039de9a3c1899c202f6092"/>
      <w:bookmarkEnd w:id="565"/>
      <w:r>
        <w:t>P177 a assigné le type de propriété (est le type de propriété assigné)</w:t>
      </w:r>
      <w:bookmarkEnd w:id="568"/>
    </w:p>
    <w:p w14:paraId="541DDBE4" w14:textId="77777777" w:rsidR="0084489F" w:rsidRDefault="00110FE6" w:rsidP="00352698">
      <w:pPr>
        <w:pStyle w:val="FirstParagraph"/>
        <w:keepNext/>
        <w:keepLines/>
      </w:pPr>
      <w:r>
        <w:rPr>
          <w:b/>
          <w:bCs/>
        </w:rPr>
        <w:t>Domaine</w:t>
      </w:r>
    </w:p>
    <w:p w14:paraId="18898B21" w14:textId="77777777" w:rsidR="0084489F" w:rsidRDefault="00110FE6" w:rsidP="00352698">
      <w:pPr>
        <w:pStyle w:val="BodyText"/>
        <w:keepNext/>
        <w:keepLines/>
      </w:pPr>
      <w:r>
        <w:rPr>
          <w:rStyle w:val="VerbatimChar"/>
        </w:rPr>
        <w:t>E13_Assignation_d'attribut</w:t>
      </w:r>
    </w:p>
    <w:p w14:paraId="6FAB2789" w14:textId="77777777" w:rsidR="0084489F" w:rsidRDefault="00110FE6">
      <w:pPr>
        <w:pStyle w:val="BodyText"/>
      </w:pPr>
      <w:r>
        <w:rPr>
          <w:b/>
          <w:bCs/>
        </w:rPr>
        <w:t>Portée</w:t>
      </w:r>
    </w:p>
    <w:p w14:paraId="1418959A" w14:textId="77777777" w:rsidR="0084489F" w:rsidRDefault="00110FE6">
      <w:pPr>
        <w:pStyle w:val="BodyText"/>
      </w:pPr>
      <w:r>
        <w:rPr>
          <w:rStyle w:val="VerbatimChar"/>
        </w:rPr>
        <w:t>E55_Type</w:t>
      </w:r>
    </w:p>
    <w:p w14:paraId="0E2FFEE7" w14:textId="77777777" w:rsidR="0084489F" w:rsidRDefault="00110FE6">
      <w:pPr>
        <w:pStyle w:val="BodyText"/>
      </w:pPr>
      <w:r>
        <w:rPr>
          <w:b/>
          <w:bCs/>
        </w:rPr>
        <w:t>Sous-propriété de</w:t>
      </w:r>
    </w:p>
    <w:p w14:paraId="6252A21B" w14:textId="77777777" w:rsidR="0084489F" w:rsidRDefault="00110FE6">
      <w:pPr>
        <w:pStyle w:val="BodyText"/>
      </w:pPr>
      <w:r w:rsidRPr="1B9E7434">
        <w:rPr>
          <w:rStyle w:val="VerbatimChar"/>
          <w:lang w:val="fr-FR"/>
        </w:rPr>
        <w:t>E1_Entité_CRM</w:t>
      </w:r>
      <w:r w:rsidRPr="1B9E7434">
        <w:rPr>
          <w:lang w:val="fr-FR"/>
        </w:rPr>
        <w:t xml:space="preserve">. </w:t>
      </w:r>
      <w:r w:rsidRPr="1B9E7434">
        <w:rPr>
          <w:rStyle w:val="VerbatimChar"/>
          <w:lang w:val="fr-FR"/>
        </w:rPr>
        <w:t>P2_a_pour_type (est_le_type_de)</w:t>
      </w:r>
      <w:r w:rsidRPr="1B9E7434">
        <w:rPr>
          <w:lang w:val="fr-FR"/>
        </w:rPr>
        <w:t xml:space="preserve"> : </w:t>
      </w:r>
      <w:r w:rsidRPr="1B9E7434">
        <w:rPr>
          <w:rStyle w:val="VerbatimChar"/>
          <w:lang w:val="fr-FR"/>
        </w:rPr>
        <w:t>E55_Type</w:t>
      </w:r>
    </w:p>
    <w:p w14:paraId="1721DCDF" w14:textId="77777777" w:rsidR="0084489F" w:rsidRDefault="00110FE6">
      <w:pPr>
        <w:pStyle w:val="BodyText"/>
      </w:pPr>
      <w:r>
        <w:rPr>
          <w:b/>
          <w:bCs/>
        </w:rPr>
        <w:t>Super-propriété de</w:t>
      </w:r>
    </w:p>
    <w:p w14:paraId="0923228B" w14:textId="77777777" w:rsidR="0084489F" w:rsidRDefault="00110FE6">
      <w:pPr>
        <w:pStyle w:val="BodyText"/>
      </w:pPr>
      <w:r>
        <w:rPr>
          <w:b/>
          <w:bCs/>
        </w:rPr>
        <w:t>Quantification</w:t>
      </w:r>
    </w:p>
    <w:p w14:paraId="23F0E592" w14:textId="77777777" w:rsidR="0084489F" w:rsidRDefault="00110FE6">
      <w:pPr>
        <w:pStyle w:val="BodyText"/>
      </w:pPr>
      <w:r w:rsidRPr="1B9E7434">
        <w:rPr>
          <w:lang w:val="fr-FR"/>
        </w:rPr>
        <w:t>plusieurs à plusieurs, nécessaire (1,n:0,n)</w:t>
      </w:r>
    </w:p>
    <w:p w14:paraId="6BA3D8EB" w14:textId="77777777" w:rsidR="0084489F" w:rsidRDefault="00110FE6">
      <w:pPr>
        <w:pStyle w:val="BodyText"/>
      </w:pPr>
      <w:r>
        <w:rPr>
          <w:b/>
          <w:bCs/>
        </w:rPr>
        <w:t>Note d’application</w:t>
      </w:r>
    </w:p>
    <w:p w14:paraId="07C5A922" w14:textId="77777777" w:rsidR="0084489F" w:rsidRDefault="00110FE6">
      <w:pPr>
        <w:pStyle w:val="BodyText"/>
      </w:pPr>
      <w:r>
        <w:t xml:space="preserve">Cette propriété associe une instance de </w:t>
      </w:r>
      <w:r>
        <w:rPr>
          <w:rStyle w:val="VerbatimChar"/>
        </w:rPr>
        <w:t>E13_Assignation_d'attribut</w:t>
      </w:r>
      <w:r>
        <w:t xml:space="preserve"> au type de propriété ou à la relation que cette attribution établit entre l'élément auquel elle assigne un attribut et l'attribut lui-même. Il est à souligner que les propriétés définies par le CIDOC CRM constituent elles-mêmes des instances de </w:t>
      </w:r>
      <w:r>
        <w:rPr>
          <w:rStyle w:val="VerbatimChar"/>
        </w:rPr>
        <w:t>E55_Type</w:t>
      </w:r>
      <w:r>
        <w:t xml:space="preserve">. La direction de la propriété </w:t>
      </w:r>
      <w:r>
        <w:rPr>
          <w:rStyle w:val="VerbatimChar"/>
        </w:rPr>
        <w:t>P177_a_assigné_le_type_de_propriété</w:t>
      </w:r>
      <w:r>
        <w:t xml:space="preserve"> doit être comprise comme allant de l'élément qui a reçu l'attribut (la portée de la propriété </w:t>
      </w:r>
      <w:r>
        <w:rPr>
          <w:rStyle w:val="VerbatimChar"/>
        </w:rPr>
        <w:t>P140_a_assigné_l’attribut_à</w:t>
      </w:r>
      <w:r>
        <w:t xml:space="preserve">) </w:t>
      </w:r>
      <w:r>
        <w:lastRenderedPageBreak/>
        <w:t xml:space="preserve">vers l'attribut lui-même (la portée de la propriété </w:t>
      </w:r>
      <w:r>
        <w:rPr>
          <w:rStyle w:val="VerbatimChar"/>
        </w:rPr>
        <w:t>P141_a_assigné</w:t>
      </w:r>
      <w:r>
        <w:t>). Plus d'un type de propriété peut être attribué entre deux éléments.</w:t>
      </w:r>
    </w:p>
    <w:p w14:paraId="44F63745" w14:textId="77777777" w:rsidR="0084489F" w:rsidRDefault="00110FE6">
      <w:pPr>
        <w:pStyle w:val="BodyText"/>
      </w:pPr>
      <w:r>
        <w:t xml:space="preserve">Une explication complète sur le raffinement des concepts du CIDOC CRM par l'utilisation de la classe </w:t>
      </w:r>
      <w:r>
        <w:rPr>
          <w:rStyle w:val="VerbatimChar"/>
        </w:rPr>
        <w:t>E55_Type</w:t>
      </w:r>
      <w:r>
        <w:t xml:space="preserve"> est disponible dans la section « </w:t>
      </w:r>
      <w:hyperlink w:anchor="des-types">
        <w:r>
          <w:rPr>
            <w:rStyle w:val="Hyperlink"/>
          </w:rPr>
          <w:t>Des types</w:t>
        </w:r>
      </w:hyperlink>
      <w:r>
        <w:t> » sous « </w:t>
      </w:r>
      <w:hyperlink w:anchor="construits-specifiques-de-modelisation">
        <w:r>
          <w:rPr>
            <w:rStyle w:val="Hyperlink"/>
          </w:rPr>
          <w:t>Construits spécifiques de modélisation</w:t>
        </w:r>
      </w:hyperlink>
      <w:r>
        <w:t> ».</w:t>
      </w:r>
    </w:p>
    <w:p w14:paraId="34B33B91" w14:textId="77777777" w:rsidR="0084489F" w:rsidRDefault="00110FE6">
      <w:pPr>
        <w:pStyle w:val="BodyText"/>
      </w:pPr>
      <w:r>
        <w:rPr>
          <w:b/>
          <w:bCs/>
        </w:rPr>
        <w:t>Exemples</w:t>
      </w:r>
    </w:p>
    <w:p w14:paraId="5B00F9EC" w14:textId="2F1AF6A3" w:rsidR="0084489F" w:rsidRDefault="00110FE6" w:rsidP="00806324">
      <w:pPr>
        <w:numPr>
          <w:ilvl w:val="0"/>
          <w:numId w:val="282"/>
        </w:numPr>
      </w:pPr>
      <w:r w:rsidRPr="1B9E7434">
        <w:rPr>
          <w:lang w:val="fr-FR"/>
        </w:rPr>
        <w:t>L'évaluation de la propriété actuelle de la coupe en argent de Martin Doerr en février 1997 (</w:t>
      </w:r>
      <w:r w:rsidRPr="1B9E7434">
        <w:rPr>
          <w:rStyle w:val="VerbatimChar"/>
          <w:lang w:val="fr-FR"/>
        </w:rPr>
        <w:t>E13_Assignation_d'attribution</w:t>
      </w:r>
      <w:r w:rsidRPr="1B9E7434">
        <w:rPr>
          <w:lang w:val="fr-FR"/>
        </w:rPr>
        <w:t>) a assigné le type de propriété (</w:t>
      </w:r>
      <w:r w:rsidRPr="1B9E7434">
        <w:rPr>
          <w:rStyle w:val="VerbatimChar"/>
          <w:lang w:val="fr-FR"/>
        </w:rPr>
        <w:t>P177_a_assigné_le_type_de_propriété</w:t>
      </w:r>
      <w:r w:rsidRPr="1B9E7434">
        <w:rPr>
          <w:lang w:val="fr-FR"/>
        </w:rPr>
        <w:t xml:space="preserve">) </w:t>
      </w:r>
      <w:r w:rsidRPr="1B9E7434">
        <w:rPr>
          <w:rStyle w:val="VerbatimChar"/>
          <w:lang w:val="fr-FR"/>
        </w:rPr>
        <w:t>P52_a_pour_propriétaire_actuel (est_l’actant_propriétaire_actuel_de)</w:t>
      </w:r>
      <w:r w:rsidRPr="1B9E7434">
        <w:rPr>
          <w:lang w:val="fr-FR"/>
        </w:rPr>
        <w:t xml:space="preserve"> (</w:t>
      </w:r>
      <w:r w:rsidRPr="1B9E7434">
        <w:rPr>
          <w:rStyle w:val="VerbatimChar"/>
          <w:lang w:val="fr-FR"/>
        </w:rPr>
        <w:t>E55_Type</w:t>
      </w:r>
      <w:r w:rsidRPr="1B9E7434">
        <w:rPr>
          <w:lang w:val="fr-FR"/>
        </w:rPr>
        <w:t>) (fictif)</w:t>
      </w:r>
    </w:p>
    <w:p w14:paraId="4F80C12E" w14:textId="527E89D8" w:rsidR="0084489F" w:rsidRDefault="00110FE6" w:rsidP="00806324">
      <w:pPr>
        <w:numPr>
          <w:ilvl w:val="0"/>
          <w:numId w:val="282"/>
        </w:numPr>
      </w:pPr>
      <w:r w:rsidRPr="1B9E7434">
        <w:rPr>
          <w:lang w:val="fr-FR"/>
        </w:rPr>
        <w:t>L'attribution d'identifiant de la coupe en argent donnée par Martin Doerr (</w:t>
      </w:r>
      <w:r w:rsidRPr="1B9E7434">
        <w:rPr>
          <w:rStyle w:val="VerbatimChar"/>
          <w:lang w:val="fr-FR"/>
        </w:rPr>
        <w:t>E15_Assignation_d'identifiant</w:t>
      </w:r>
      <w:r w:rsidRPr="1B9E7434">
        <w:rPr>
          <w:lang w:val="fr-FR"/>
        </w:rPr>
        <w:t>) le 1</w:t>
      </w:r>
      <w:r w:rsidRPr="1B9E7434">
        <w:rPr>
          <w:vertAlign w:val="superscript"/>
          <w:lang w:val="fr-FR"/>
        </w:rPr>
        <w:t>er</w:t>
      </w:r>
      <w:r w:rsidRPr="1B9E7434">
        <w:rPr>
          <w:lang w:val="fr-FR"/>
        </w:rPr>
        <w:t xml:space="preserve"> juin 1997 a assigné le type de propriété (</w:t>
      </w:r>
      <w:r w:rsidRPr="1B9E7434">
        <w:rPr>
          <w:rStyle w:val="VerbatimChar"/>
          <w:lang w:val="fr-FR"/>
        </w:rPr>
        <w:t>P177_a_assigné_le_type_de_propriété</w:t>
      </w:r>
      <w:r w:rsidRPr="1B9E7434">
        <w:rPr>
          <w:lang w:val="fr-FR"/>
        </w:rPr>
        <w:t xml:space="preserve">) </w:t>
      </w:r>
      <w:r w:rsidRPr="1B9E7434">
        <w:rPr>
          <w:rStyle w:val="VerbatimChar"/>
          <w:lang w:val="fr-FR"/>
        </w:rPr>
        <w:t>P48_a_pour_identifiant_préférentiel (est_l'identifiant_préférentiel_de)</w:t>
      </w:r>
      <w:r w:rsidRPr="1B9E7434">
        <w:rPr>
          <w:lang w:val="fr-FR"/>
        </w:rPr>
        <w:t xml:space="preserve"> (</w:t>
      </w:r>
      <w:r w:rsidRPr="1B9E7434">
        <w:rPr>
          <w:rStyle w:val="VerbatimChar"/>
          <w:lang w:val="fr-FR"/>
        </w:rPr>
        <w:t>E55_Type</w:t>
      </w:r>
      <w:r w:rsidRPr="1B9E7434">
        <w:rPr>
          <w:lang w:val="fr-FR"/>
        </w:rPr>
        <w:t>) (fictif)</w:t>
      </w:r>
    </w:p>
    <w:p w14:paraId="197FD183" w14:textId="067C0C1B" w:rsidR="0084489F" w:rsidRDefault="00110FE6" w:rsidP="00806324">
      <w:pPr>
        <w:numPr>
          <w:ilvl w:val="0"/>
          <w:numId w:val="282"/>
        </w:numPr>
      </w:pPr>
      <w:r w:rsidRPr="1B9E7434">
        <w:rPr>
          <w:lang w:val="fr-FR"/>
        </w:rPr>
        <w:t xml:space="preserve">L’examen du manuscrit </w:t>
      </w:r>
      <w:r w:rsidRPr="1B9E7434">
        <w:rPr>
          <w:i/>
          <w:iCs/>
          <w:lang w:val="fr-FR"/>
        </w:rPr>
        <w:t>Mont Sinaï, MS gr. 418</w:t>
      </w:r>
      <w:r w:rsidRPr="1B9E7434">
        <w:rPr>
          <w:lang w:val="fr-FR"/>
        </w:rPr>
        <w:t xml:space="preserve"> (</w:t>
      </w:r>
      <w:r w:rsidRPr="1B9E7434">
        <w:rPr>
          <w:rStyle w:val="VerbatimChar"/>
          <w:lang w:val="fr-FR"/>
        </w:rPr>
        <w:t>E13_Assignation_d'attribution</w:t>
      </w:r>
      <w:r w:rsidRPr="1B9E7434">
        <w:rPr>
          <w:lang w:val="fr-FR"/>
        </w:rPr>
        <w:t>) a assigné le type de propriété (</w:t>
      </w:r>
      <w:r w:rsidRPr="1B9E7434">
        <w:rPr>
          <w:rStyle w:val="VerbatimChar"/>
          <w:lang w:val="fr-FR"/>
        </w:rPr>
        <w:t>P177_a_assigné_le_type_de_propriété</w:t>
      </w:r>
      <w:r w:rsidRPr="1B9E7434">
        <w:rPr>
          <w:lang w:val="fr-FR"/>
        </w:rPr>
        <w:t>) structure de reliure (</w:t>
      </w:r>
      <w:r w:rsidRPr="1B9E7434">
        <w:rPr>
          <w:rStyle w:val="VerbatimChar"/>
          <w:lang w:val="fr-FR"/>
        </w:rPr>
        <w:t>E55_Type</w:t>
      </w:r>
      <w:r w:rsidRPr="1B9E7434">
        <w:rPr>
          <w:lang w:val="fr-FR"/>
        </w:rPr>
        <w:t>) [« type de structure de reliure » réfère à une propriété, externe au CIDOC CRM, qui lie un livre (</w:t>
      </w:r>
      <w:r w:rsidRPr="1B9E7434">
        <w:rPr>
          <w:rStyle w:val="VerbatimChar"/>
          <w:lang w:val="fr-FR"/>
        </w:rPr>
        <w:t>E22_Objet_élaboré_par_l’humain</w:t>
      </w:r>
      <w:r w:rsidRPr="1B9E7434">
        <w:rPr>
          <w:lang w:val="fr-FR"/>
        </w:rPr>
        <w:t>) à un type de structure de reliure (</w:t>
      </w:r>
      <w:r w:rsidRPr="1B9E7434">
        <w:rPr>
          <w:rStyle w:val="VerbatimChar"/>
          <w:lang w:val="fr-FR"/>
        </w:rPr>
        <w:t>E55_Type</w:t>
      </w:r>
      <w:r w:rsidRPr="1B9E7434">
        <w:rPr>
          <w:lang w:val="fr-FR"/>
        </w:rPr>
        <w:t>)] (Honey &amp; Pickwoad, 2010)</w:t>
      </w:r>
    </w:p>
    <w:p w14:paraId="57955339" w14:textId="292BBA7D" w:rsidR="0084489F" w:rsidRDefault="00110FE6" w:rsidP="00806324">
      <w:pPr>
        <w:numPr>
          <w:ilvl w:val="0"/>
          <w:numId w:val="282"/>
        </w:numPr>
      </w:pPr>
      <w:r w:rsidRPr="1B9E7434">
        <w:rPr>
          <w:lang w:val="fr-FR"/>
        </w:rPr>
        <w:t xml:space="preserve">L’évaluation de l'état matériel des bâtonnets de la tranchefile du manuscrit </w:t>
      </w:r>
      <w:r w:rsidRPr="1B9E7434">
        <w:rPr>
          <w:i/>
          <w:iCs/>
          <w:lang w:val="fr-FR"/>
        </w:rPr>
        <w:t>Mont Sinaï, MS gr. 418</w:t>
      </w:r>
      <w:r w:rsidRPr="1B9E7434">
        <w:rPr>
          <w:lang w:val="fr-FR"/>
        </w:rPr>
        <w:t xml:space="preserve"> (</w:t>
      </w:r>
      <w:r w:rsidRPr="1B9E7434">
        <w:rPr>
          <w:rStyle w:val="VerbatimChar"/>
          <w:lang w:val="fr-FR"/>
        </w:rPr>
        <w:t>E14_Évaluation_d’état_matériel</w:t>
      </w:r>
      <w:r w:rsidRPr="1B9E7434">
        <w:rPr>
          <w:lang w:val="fr-FR"/>
        </w:rPr>
        <w:t>) a assigné le type de propriété (</w:t>
      </w:r>
      <w:r w:rsidRPr="1B9E7434">
        <w:rPr>
          <w:rStyle w:val="VerbatimChar"/>
          <w:lang w:val="fr-FR"/>
        </w:rPr>
        <w:t>P177_a_assigné_le_type_de_propriété</w:t>
      </w:r>
      <w:r w:rsidRPr="1B9E7434">
        <w:rPr>
          <w:lang w:val="fr-FR"/>
        </w:rPr>
        <w:t>) endommagement (</w:t>
      </w:r>
      <w:r w:rsidRPr="1B9E7434">
        <w:rPr>
          <w:rStyle w:val="VerbatimChar"/>
          <w:lang w:val="fr-FR"/>
        </w:rPr>
        <w:t>E55_Type</w:t>
      </w:r>
      <w:r w:rsidRPr="1B9E7434">
        <w:rPr>
          <w:lang w:val="fr-FR"/>
        </w:rPr>
        <w:t>) [« endommagement » réfère à une propriété, externe au CIDOC CRM, qui lie une instance de chose matérielle comme un noyau de tranchefile (</w:t>
      </w:r>
      <w:r w:rsidRPr="1B9E7434">
        <w:rPr>
          <w:rStyle w:val="VerbatimChar"/>
          <w:lang w:val="fr-FR"/>
        </w:rPr>
        <w:t>E22_Objet_élaboré_par_l’humain</w:t>
      </w:r>
      <w:r w:rsidRPr="1B9E7434">
        <w:rPr>
          <w:lang w:val="fr-FR"/>
        </w:rPr>
        <w:t>) à son type de niveau d'endommagement (</w:t>
      </w:r>
      <w:r w:rsidRPr="1B9E7434">
        <w:rPr>
          <w:rStyle w:val="VerbatimChar"/>
          <w:lang w:val="fr-FR"/>
        </w:rPr>
        <w:t>E55_Type</w:t>
      </w:r>
      <w:r w:rsidRPr="1B9E7434">
        <w:rPr>
          <w:lang w:val="fr-FR"/>
        </w:rPr>
        <w:t>)] (Honey &amp; Pickwoad, 2010)</w:t>
      </w:r>
    </w:p>
    <w:p w14:paraId="16A69A3C" w14:textId="70C87DE4" w:rsidR="0084489F" w:rsidRDefault="00110FE6" w:rsidP="00806324">
      <w:pPr>
        <w:numPr>
          <w:ilvl w:val="0"/>
          <w:numId w:val="282"/>
        </w:numPr>
      </w:pPr>
      <w:r w:rsidRPr="1B9E7434">
        <w:rPr>
          <w:lang w:val="fr-FR"/>
        </w:rPr>
        <w:t xml:space="preserve">L’évaluation de l'état matériel de la couverture du manuscrit </w:t>
      </w:r>
      <w:r w:rsidRPr="1B9E7434">
        <w:rPr>
          <w:i/>
          <w:iCs/>
          <w:lang w:val="fr-FR"/>
        </w:rPr>
        <w:t>Mont Sinaï, MS gr. 418</w:t>
      </w:r>
      <w:r w:rsidRPr="1B9E7434">
        <w:rPr>
          <w:lang w:val="fr-FR"/>
        </w:rPr>
        <w:t xml:space="preserve"> (</w:t>
      </w:r>
      <w:r w:rsidRPr="1B9E7434">
        <w:rPr>
          <w:rStyle w:val="VerbatimChar"/>
          <w:lang w:val="fr-FR"/>
        </w:rPr>
        <w:t>E14_Évaluation_d’état_matériel</w:t>
      </w:r>
      <w:r w:rsidRPr="1B9E7434">
        <w:rPr>
          <w:lang w:val="fr-FR"/>
        </w:rPr>
        <w:t>) a assigné le type de propriété (</w:t>
      </w:r>
      <w:r w:rsidRPr="1B9E7434">
        <w:rPr>
          <w:rStyle w:val="VerbatimChar"/>
          <w:lang w:val="fr-FR"/>
        </w:rPr>
        <w:t>P177_a_assigné_le_type_de_propriété</w:t>
      </w:r>
      <w:r w:rsidRPr="1B9E7434">
        <w:rPr>
          <w:lang w:val="fr-FR"/>
        </w:rPr>
        <w:t>) qualité (</w:t>
      </w:r>
      <w:r w:rsidRPr="1B9E7434">
        <w:rPr>
          <w:rStyle w:val="VerbatimChar"/>
          <w:lang w:val="fr-FR"/>
        </w:rPr>
        <w:t>E55_Type</w:t>
      </w:r>
      <w:r w:rsidRPr="1B9E7434">
        <w:rPr>
          <w:lang w:val="fr-FR"/>
        </w:rPr>
        <w:t>) [« qualité » réfère à une propriété, externe au CIDOC CRM, qui lie une instance de chose matérielle comme une couverture de livre (</w:t>
      </w:r>
      <w:r w:rsidRPr="1B9E7434">
        <w:rPr>
          <w:rStyle w:val="VerbatimChar"/>
          <w:lang w:val="fr-FR"/>
        </w:rPr>
        <w:t>E22_Objet_élaboré_par_l’humain</w:t>
      </w:r>
      <w:r w:rsidRPr="1B9E7434">
        <w:rPr>
          <w:lang w:val="fr-FR"/>
        </w:rPr>
        <w:t>) à sa qualité (</w:t>
      </w:r>
      <w:r w:rsidRPr="1B9E7434">
        <w:rPr>
          <w:rStyle w:val="VerbatimChar"/>
          <w:lang w:val="fr-FR"/>
        </w:rPr>
        <w:t>E55_Type</w:t>
      </w:r>
      <w:r w:rsidRPr="1B9E7434">
        <w:rPr>
          <w:lang w:val="fr-FR"/>
        </w:rPr>
        <w:t>)] (Honey &amp; Pickwoad, 2010)</w:t>
      </w:r>
    </w:p>
    <w:p w14:paraId="1077B230" w14:textId="77777777" w:rsidR="0084489F" w:rsidRDefault="00110FE6">
      <w:pPr>
        <w:pStyle w:val="FirstParagraph"/>
      </w:pPr>
      <w:r>
        <w:rPr>
          <w:b/>
          <w:bCs/>
        </w:rPr>
        <w:t>Logique</w:t>
      </w:r>
    </w:p>
    <w:p w14:paraId="5AFB8C5D" w14:textId="77777777" w:rsidR="0084489F" w:rsidRDefault="00110FE6">
      <w:pPr>
        <w:pStyle w:val="BodyText"/>
      </w:pPr>
      <w:r w:rsidRPr="1B9E7434">
        <w:rPr>
          <w:lang w:val="fr-FR"/>
        </w:rPr>
        <w:t>P177(x,y) ⇒ E13(x)</w:t>
      </w:r>
    </w:p>
    <w:p w14:paraId="7F44BD13" w14:textId="77777777" w:rsidR="0084489F" w:rsidRDefault="00110FE6">
      <w:pPr>
        <w:pStyle w:val="BodyText"/>
      </w:pPr>
      <w:r w:rsidRPr="1B9E7434">
        <w:rPr>
          <w:lang w:val="fr-FR"/>
        </w:rPr>
        <w:t>P177(x,y) ⇒ E55(y)</w:t>
      </w:r>
    </w:p>
    <w:p w14:paraId="0B167452" w14:textId="77777777" w:rsidR="0084489F" w:rsidRDefault="00110FE6">
      <w:pPr>
        <w:pStyle w:val="BodyText"/>
      </w:pPr>
      <w:r>
        <w:rPr>
          <w:b/>
          <w:bCs/>
        </w:rPr>
        <w:t>Propriétés</w:t>
      </w:r>
    </w:p>
    <w:p w14:paraId="77792F59" w14:textId="77777777" w:rsidR="0084489F" w:rsidRDefault="00110FE6">
      <w:pPr>
        <w:pStyle w:val="BlockText"/>
      </w:pPr>
      <w:r>
        <w:rPr>
          <w:b/>
          <w:bCs/>
          <w:i/>
          <w:iCs/>
        </w:rPr>
        <w:t>Note de traduction</w:t>
      </w:r>
    </w:p>
    <w:p w14:paraId="7F1A670F" w14:textId="77777777" w:rsidR="0084489F" w:rsidRDefault="00110FE6">
      <w:pPr>
        <w:pStyle w:val="BlockText"/>
      </w:pPr>
      <w:r w:rsidRPr="1B9E7434">
        <w:rPr>
          <w:lang w:val="fr-FR"/>
        </w:rP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sidRPr="1B9E7434">
        <w:rPr>
          <w:b/>
          <w:bCs/>
          <w:lang w:val="fr-FR"/>
        </w:rPr>
        <w:t> </w:t>
      </w:r>
      <w:r w:rsidRPr="1B9E7434">
        <w:rPr>
          <w:lang w:val="fr-FR"/>
        </w:rPr>
        <w:t>bâtonnets », mais afin d'éviter toute ambiguïté, l'équipe de traduction a décidé d'ajouter « de la tranchefile ».</w:t>
      </w:r>
    </w:p>
    <w:p w14:paraId="32F0A2DC" w14:textId="77777777" w:rsidR="0084489F" w:rsidRDefault="00110FE6" w:rsidP="0002044A">
      <w:pPr>
        <w:pStyle w:val="BlockText"/>
        <w:keepNext/>
        <w:keepLines/>
        <w:ind w:left="475" w:right="475"/>
      </w:pPr>
      <w:r>
        <w:rPr>
          <w:b/>
          <w:bCs/>
          <w:i/>
          <w:iCs/>
        </w:rPr>
        <w:lastRenderedPageBreak/>
        <w:t>Références</w:t>
      </w:r>
    </w:p>
    <w:p w14:paraId="54A4A7DD" w14:textId="131418C7" w:rsidR="0084489F" w:rsidRDefault="00110FE6" w:rsidP="0002044A">
      <w:pPr>
        <w:pStyle w:val="BlockText"/>
        <w:keepNext/>
        <w:keepLines/>
        <w:ind w:left="475" w:right="475"/>
      </w:pPr>
      <w:r w:rsidRPr="1B9E7434">
        <w:rPr>
          <w:lang w:val="fr-FR"/>
        </w:rPr>
        <w:t xml:space="preserve">Lenormand, Louis Sébastien, et W. Maigne. « Tranchefile ». Dans </w:t>
      </w:r>
      <w:r w:rsidRPr="1B9E7434">
        <w:rPr>
          <w:i/>
          <w:iCs/>
          <w:lang w:val="fr-FR"/>
        </w:rPr>
        <w:t>Nouveau manuel complet du relieur en tous genres contenant les arts de l’assembleur, du satineur, du cartonneur, du marbreur sur tranches et du doreur sur tranches et sur cuir</w:t>
      </w:r>
      <w:r w:rsidRPr="1B9E7434">
        <w:rPr>
          <w:lang w:val="fr-FR"/>
        </w:rPr>
        <w:t xml:space="preserve">, édité par L. Mulo, 171‑75. Manuels Roret. 1900. </w:t>
      </w:r>
      <w:r w:rsidR="009D0EAD" w:rsidRPr="1B9E7434">
        <w:rPr>
          <w:lang w:val="fr-FR"/>
        </w:rPr>
        <w:t>Réimpression</w:t>
      </w:r>
      <w:r w:rsidRPr="1B9E7434">
        <w:rPr>
          <w:lang w:val="fr-FR"/>
        </w:rPr>
        <w:t>, Paris, FR-IDF: Encyclopédie-Roret, 2006.</w:t>
      </w:r>
      <w:hyperlink r:id="rId303">
        <w:r w:rsidRPr="1B9E7434">
          <w:rPr>
            <w:rStyle w:val="Hyperlink"/>
            <w:lang w:val="fr-FR"/>
          </w:rPr>
          <w:t xml:space="preserve"> </w:t>
        </w:r>
      </w:hyperlink>
      <w:hyperlink r:id="rId304">
        <w:r w:rsidRPr="1B9E7434">
          <w:rPr>
            <w:rStyle w:val="Hyperlink"/>
            <w:lang w:val="fr-FR"/>
          </w:rPr>
          <w:t>https://www.moulinduverger.com/reliure-manuelle/roret-69.php</w:t>
        </w:r>
      </w:hyperlink>
      <w:r w:rsidRPr="1B9E7434">
        <w:rPr>
          <w:lang w:val="fr-FR"/>
        </w:rPr>
        <w:t>.</w:t>
      </w:r>
    </w:p>
    <w:p w14:paraId="4BC8B03C" w14:textId="77777777" w:rsidR="0084489F" w:rsidRDefault="00110FE6">
      <w:pPr>
        <w:pStyle w:val="BlockText"/>
      </w:pPr>
      <w:r w:rsidRPr="1B9E7434">
        <w:rPr>
          <w:lang w:val="fr-FR"/>
        </w:rPr>
        <w:t xml:space="preserve">Louis, Olivier. « Bâtonnets de tranchefile, fabrication, matériel utilisé et dimensions. » Blog. </w:t>
      </w:r>
      <w:r w:rsidRPr="1B9E7434">
        <w:rPr>
          <w:i/>
          <w:iCs/>
          <w:lang w:val="fr-FR"/>
        </w:rPr>
        <w:t>Reliure d’art dare</w:t>
      </w:r>
      <w:r w:rsidRPr="1B9E7434">
        <w:rPr>
          <w:lang w:val="fr-FR"/>
        </w:rPr>
        <w:t xml:space="preserve"> (blog), 28 septembre 2021.</w:t>
      </w:r>
      <w:hyperlink r:id="rId305">
        <w:r w:rsidRPr="1B9E7434">
          <w:rPr>
            <w:rStyle w:val="Hyperlink"/>
            <w:lang w:val="fr-FR"/>
          </w:rPr>
          <w:t xml:space="preserve"> </w:t>
        </w:r>
      </w:hyperlink>
      <w:hyperlink r:id="rId306">
        <w:r w:rsidRPr="1B9E7434">
          <w:rPr>
            <w:rStyle w:val="Hyperlink"/>
            <w:lang w:val="fr-FR"/>
          </w:rPr>
          <w:t>https://reliuredartdare.com/2021/09/batonnets-tranchefile-fabrication/</w:t>
        </w:r>
      </w:hyperlink>
      <w:r w:rsidRPr="1B9E7434">
        <w:rPr>
          <w:lang w:val="fr-FR"/>
        </w:rPr>
        <w:t>.</w:t>
      </w:r>
    </w:p>
    <w:p w14:paraId="6D1DDDAA" w14:textId="77777777" w:rsidR="0084489F" w:rsidRDefault="00110FE6">
      <w:pPr>
        <w:pStyle w:val="BlockText"/>
        <w:rPr>
          <w:lang w:val="en-CA"/>
        </w:rPr>
      </w:pPr>
      <w:r>
        <w:t xml:space="preserve">Smith, Shelagh, et Hélène Francœur. </w:t>
      </w:r>
      <w:r w:rsidRPr="008C0D99">
        <w:rPr>
          <w:i/>
          <w:iCs/>
          <w:lang w:val="en-CA"/>
        </w:rPr>
        <w:t>English to French Book Arts Terms</w:t>
      </w:r>
      <w:r w:rsidRPr="008C0D99">
        <w:rPr>
          <w:lang w:val="en-CA"/>
        </w:rPr>
        <w:t>. Toronto, CA-ON: Canadian Bookbinders and Book Artists Guild, 2021.</w:t>
      </w:r>
      <w:hyperlink r:id="rId307">
        <w:r w:rsidRPr="008C0D99">
          <w:rPr>
            <w:rStyle w:val="Hyperlink"/>
            <w:lang w:val="en-CA"/>
          </w:rPr>
          <w:t xml:space="preserve"> </w:t>
        </w:r>
      </w:hyperlink>
      <w:hyperlink r:id="rId308">
        <w:r w:rsidRPr="008C0D99">
          <w:rPr>
            <w:rStyle w:val="Hyperlink"/>
            <w:lang w:val="en-CA"/>
          </w:rPr>
          <w:t>https://www.cbbag.ca/resources/Public/Book%20Arts%20ENG%20FRE%20Translation.pdf</w:t>
        </w:r>
      </w:hyperlink>
      <w:r w:rsidRPr="008C0D99">
        <w:rPr>
          <w:lang w:val="en-CA"/>
        </w:rPr>
        <w:t>.</w:t>
      </w:r>
    </w:p>
    <w:p w14:paraId="248BDAAF" w14:textId="77777777" w:rsidR="000B7F5F" w:rsidRPr="000B7F5F" w:rsidRDefault="000B7F5F" w:rsidP="000B7F5F">
      <w:pPr>
        <w:pStyle w:val="BodyText"/>
        <w:rPr>
          <w:lang w:val="en-CA"/>
        </w:rPr>
      </w:pPr>
    </w:p>
    <w:p w14:paraId="2DCDA3DE" w14:textId="77777777" w:rsidR="0084489F" w:rsidRDefault="00110FE6">
      <w:pPr>
        <w:pStyle w:val="Heading2"/>
      </w:pPr>
      <w:bookmarkStart w:id="570" w:name="_Toc176864661"/>
      <w:bookmarkStart w:id="571" w:name="Xaf3a79271c8b466ce99f8e009e33a5442e80580"/>
      <w:bookmarkEnd w:id="569"/>
      <w:r>
        <w:t>P179 a eu pour prix de vente (a été le prix de vente de)</w:t>
      </w:r>
      <w:bookmarkEnd w:id="570"/>
    </w:p>
    <w:p w14:paraId="45143EB6" w14:textId="77777777" w:rsidR="0084489F" w:rsidRDefault="00110FE6">
      <w:pPr>
        <w:pStyle w:val="FirstParagraph"/>
      </w:pPr>
      <w:r>
        <w:rPr>
          <w:b/>
          <w:bCs/>
        </w:rPr>
        <w:t>Domaine</w:t>
      </w:r>
    </w:p>
    <w:p w14:paraId="34B69566" w14:textId="77777777" w:rsidR="0084489F" w:rsidRDefault="00110FE6">
      <w:pPr>
        <w:pStyle w:val="BodyText"/>
      </w:pPr>
      <w:r>
        <w:rPr>
          <w:rStyle w:val="VerbatimChar"/>
        </w:rPr>
        <w:t>E96_Achat</w:t>
      </w:r>
    </w:p>
    <w:p w14:paraId="5B8E3641" w14:textId="77777777" w:rsidR="0084489F" w:rsidRDefault="00110FE6">
      <w:pPr>
        <w:pStyle w:val="BodyText"/>
      </w:pPr>
      <w:r>
        <w:rPr>
          <w:b/>
          <w:bCs/>
        </w:rPr>
        <w:t>Portée</w:t>
      </w:r>
    </w:p>
    <w:p w14:paraId="79C45166" w14:textId="77777777" w:rsidR="0084489F" w:rsidRDefault="00110FE6">
      <w:pPr>
        <w:pStyle w:val="BodyText"/>
      </w:pPr>
      <w:r>
        <w:rPr>
          <w:rStyle w:val="VerbatimChar"/>
        </w:rPr>
        <w:t>E97_Valeur_monétaire</w:t>
      </w:r>
    </w:p>
    <w:p w14:paraId="7B73A492" w14:textId="77777777" w:rsidR="0084489F" w:rsidRDefault="00110FE6">
      <w:pPr>
        <w:pStyle w:val="BodyText"/>
      </w:pPr>
      <w:r>
        <w:rPr>
          <w:b/>
          <w:bCs/>
        </w:rPr>
        <w:t>Sous-propriété de</w:t>
      </w:r>
    </w:p>
    <w:p w14:paraId="1E7D723F" w14:textId="77777777" w:rsidR="0084489F" w:rsidRDefault="00110FE6">
      <w:pPr>
        <w:pStyle w:val="BodyText"/>
      </w:pPr>
      <w:r>
        <w:rPr>
          <w:b/>
          <w:bCs/>
        </w:rPr>
        <w:t>Super-propriété de</w:t>
      </w:r>
    </w:p>
    <w:p w14:paraId="4D94A271" w14:textId="77777777" w:rsidR="0084489F" w:rsidRDefault="00110FE6">
      <w:pPr>
        <w:pStyle w:val="BodyText"/>
      </w:pPr>
      <w:r>
        <w:rPr>
          <w:b/>
          <w:bCs/>
        </w:rPr>
        <w:t>Quantification</w:t>
      </w:r>
    </w:p>
    <w:p w14:paraId="5A28B4CC" w14:textId="77777777" w:rsidR="0084489F" w:rsidRDefault="00110FE6">
      <w:pPr>
        <w:pStyle w:val="BodyText"/>
      </w:pPr>
      <w:r w:rsidRPr="1B9E7434">
        <w:rPr>
          <w:lang w:val="fr-FR"/>
        </w:rPr>
        <w:t>plusieurs à plusieurs, nécessaire (1,n:0,n)</w:t>
      </w:r>
    </w:p>
    <w:p w14:paraId="66ACD797" w14:textId="77777777" w:rsidR="0084489F" w:rsidRDefault="00110FE6" w:rsidP="000B7F5F">
      <w:pPr>
        <w:pStyle w:val="BodyText"/>
        <w:keepNext/>
      </w:pPr>
      <w:r>
        <w:rPr>
          <w:b/>
          <w:bCs/>
        </w:rPr>
        <w:t>Note d’application</w:t>
      </w:r>
    </w:p>
    <w:p w14:paraId="0FD7A1C3" w14:textId="77777777" w:rsidR="0084489F" w:rsidRDefault="00110FE6" w:rsidP="000B7F5F">
      <w:pPr>
        <w:pStyle w:val="BodyText"/>
        <w:keepNext/>
      </w:pPr>
      <w:r>
        <w:t xml:space="preserve">Cette propriété établit la relation entre une instance de </w:t>
      </w:r>
      <w:r>
        <w:rPr>
          <w:rStyle w:val="VerbatimChar"/>
        </w:rPr>
        <w:t>E96_Achat</w:t>
      </w:r>
      <w:r>
        <w:t xml:space="preserve"> et une instance de </w:t>
      </w:r>
      <w:r>
        <w:rPr>
          <w:rStyle w:val="VerbatimChar"/>
        </w:rPr>
        <w:t>E97_Valeur_monétaire</w:t>
      </w:r>
      <w:r>
        <w:t xml:space="preserve"> qui forme une contrepartie pour la transaction. La valeur monétaire qui a été convenue peut changer au cours de l'activité d’achat.</w:t>
      </w:r>
    </w:p>
    <w:p w14:paraId="5E656A83" w14:textId="77777777" w:rsidR="0084489F" w:rsidRDefault="00110FE6">
      <w:pPr>
        <w:pStyle w:val="BodyText"/>
      </w:pPr>
      <w:r>
        <w:rPr>
          <w:b/>
          <w:bCs/>
        </w:rPr>
        <w:t>Exemples</w:t>
      </w:r>
    </w:p>
    <w:p w14:paraId="73B41807" w14:textId="77777777" w:rsidR="0084489F" w:rsidRDefault="00110FE6" w:rsidP="00806324">
      <w:pPr>
        <w:numPr>
          <w:ilvl w:val="0"/>
          <w:numId w:val="283"/>
        </w:numPr>
      </w:pPr>
      <w:r>
        <w:t xml:space="preserve">La vente de l’œuvre de Vincent Van Gogh </w:t>
      </w:r>
      <w:r>
        <w:rPr>
          <w:i/>
          <w:iCs/>
        </w:rPr>
        <w:t>Nature morte : Vase avec quinze tournesols</w:t>
      </w:r>
      <w:r>
        <w:t xml:space="preserve"> le 30 mars 1987 (</w:t>
      </w:r>
      <w:r>
        <w:rPr>
          <w:rStyle w:val="VerbatimChar"/>
        </w:rPr>
        <w:t>E96_Achat</w:t>
      </w:r>
      <w:r>
        <w:t>) a eu pour prix de vente (</w:t>
      </w:r>
      <w:r>
        <w:rPr>
          <w:rStyle w:val="VerbatimChar"/>
        </w:rPr>
        <w:t>P179_a_eu_pour_prix_de_vente</w:t>
      </w:r>
      <w:r>
        <w:t xml:space="preserve">) le prix d’adjudication par Christie's pour </w:t>
      </w:r>
      <w:r>
        <w:rPr>
          <w:i/>
          <w:iCs/>
        </w:rPr>
        <w:t>Nature morte : Vase avec quinze tournesols</w:t>
      </w:r>
      <w:r>
        <w:t xml:space="preserve"> (</w:t>
      </w:r>
      <w:r>
        <w:rPr>
          <w:rStyle w:val="VerbatimChar"/>
        </w:rPr>
        <w:t>E97_Valeur_monétaire</w:t>
      </w:r>
      <w:r>
        <w:t>)</w:t>
      </w:r>
    </w:p>
    <w:p w14:paraId="5F0AA8B8" w14:textId="18CEF1A8" w:rsidR="0084489F" w:rsidRDefault="00110FE6" w:rsidP="00806324">
      <w:pPr>
        <w:numPr>
          <w:ilvl w:val="0"/>
          <w:numId w:val="283"/>
        </w:numPr>
      </w:pPr>
      <w:r w:rsidRPr="1B9E7434">
        <w:rPr>
          <w:lang w:val="fr-FR"/>
        </w:rPr>
        <w:t>La vente de 10 okkas de clous par le capitaine A. Syrmas le 18 septembre 1895 (</w:t>
      </w:r>
      <w:r w:rsidRPr="1B9E7434">
        <w:rPr>
          <w:rStyle w:val="VerbatimChar"/>
          <w:lang w:val="fr-FR"/>
        </w:rPr>
        <w:t>E96_Achat</w:t>
      </w:r>
      <w:r w:rsidRPr="1B9E7434">
        <w:rPr>
          <w:lang w:val="fr-FR"/>
        </w:rPr>
        <w:t>) a eu pour prix de vente (</w:t>
      </w:r>
      <w:r w:rsidRPr="1B9E7434">
        <w:rPr>
          <w:rStyle w:val="VerbatimChar"/>
          <w:lang w:val="fr-FR"/>
        </w:rPr>
        <w:t>P179_a_eu_pour_prix_de_vente</w:t>
      </w:r>
      <w:r w:rsidRPr="1B9E7434">
        <w:rPr>
          <w:lang w:val="fr-FR"/>
        </w:rPr>
        <w:t>) 20 piastres (grosi) (</w:t>
      </w:r>
      <w:r w:rsidRPr="1B9E7434">
        <w:rPr>
          <w:rStyle w:val="VerbatimChar"/>
          <w:lang w:val="fr-FR"/>
        </w:rPr>
        <w:t>E97_Valeur_monétaire</w:t>
      </w:r>
      <w:r w:rsidRPr="1B9E7434">
        <w:rPr>
          <w:lang w:val="fr-FR"/>
        </w:rPr>
        <w:t>) (Syrmas, 1896)</w:t>
      </w:r>
    </w:p>
    <w:p w14:paraId="36F79581" w14:textId="77777777" w:rsidR="0084489F" w:rsidRDefault="00110FE6">
      <w:pPr>
        <w:pStyle w:val="FirstParagraph"/>
      </w:pPr>
      <w:r>
        <w:rPr>
          <w:b/>
          <w:bCs/>
        </w:rPr>
        <w:t>Logique</w:t>
      </w:r>
    </w:p>
    <w:p w14:paraId="532F369A" w14:textId="77777777" w:rsidR="0084489F" w:rsidRDefault="00110FE6">
      <w:pPr>
        <w:pStyle w:val="BodyText"/>
      </w:pPr>
      <w:r w:rsidRPr="1B9E7434">
        <w:rPr>
          <w:lang w:val="fr-FR"/>
        </w:rPr>
        <w:t>P179(x,y) ⇒ E96(x)</w:t>
      </w:r>
    </w:p>
    <w:p w14:paraId="554E8963" w14:textId="77777777" w:rsidR="0084489F" w:rsidRDefault="00110FE6">
      <w:pPr>
        <w:pStyle w:val="BodyText"/>
      </w:pPr>
      <w:r w:rsidRPr="1B9E7434">
        <w:rPr>
          <w:lang w:val="fr-FR"/>
        </w:rPr>
        <w:t>P179(x,y) ⇒ E97(y)</w:t>
      </w:r>
    </w:p>
    <w:p w14:paraId="40F973D4" w14:textId="77777777" w:rsidR="0084489F" w:rsidRDefault="00110FE6">
      <w:pPr>
        <w:pStyle w:val="BodyText"/>
      </w:pPr>
      <w:r>
        <w:rPr>
          <w:b/>
          <w:bCs/>
        </w:rPr>
        <w:t>Propriétés</w:t>
      </w:r>
    </w:p>
    <w:p w14:paraId="3CDD7631" w14:textId="77777777" w:rsidR="0084489F" w:rsidRDefault="00110FE6">
      <w:pPr>
        <w:pStyle w:val="BlockText"/>
      </w:pPr>
      <w:r>
        <w:rPr>
          <w:b/>
          <w:bCs/>
          <w:i/>
          <w:iCs/>
        </w:rPr>
        <w:lastRenderedPageBreak/>
        <w:t>Note de traduction</w:t>
      </w:r>
    </w:p>
    <w:p w14:paraId="170BF80A" w14:textId="77777777" w:rsidR="0084489F" w:rsidRDefault="00110FE6">
      <w:pPr>
        <w:pStyle w:val="BlockText"/>
      </w:pPr>
      <w:r w:rsidRPr="1B9E7434">
        <w:rPr>
          <w:lang w:val="fr-FR"/>
        </w:rPr>
        <w:t>Le terme « okka » est une ancienne unité de mesure de poids, utilisé autrefois dans les régions de Turquie, Égypte, Hongrie et Roumanie.</w:t>
      </w:r>
    </w:p>
    <w:p w14:paraId="413760FD" w14:textId="77777777" w:rsidR="0084489F" w:rsidRDefault="00110FE6">
      <w:pPr>
        <w:pStyle w:val="BlockText"/>
      </w:pPr>
      <w:r w:rsidRPr="1B9E7434">
        <w:rPr>
          <w:lang w:val="fr-FR"/>
        </w:rPr>
        <w:t>Le terme « grosi » est le nom grec d’une monnaie de l’empire ottoman équivalente au « gros »</w:t>
      </w:r>
    </w:p>
    <w:p w14:paraId="04909D16" w14:textId="77777777" w:rsidR="0084489F" w:rsidRDefault="00110FE6">
      <w:pPr>
        <w:pStyle w:val="BlockText"/>
      </w:pPr>
      <w:r>
        <w:rPr>
          <w:b/>
          <w:bCs/>
          <w:i/>
          <w:iCs/>
        </w:rPr>
        <w:t>Références</w:t>
      </w:r>
    </w:p>
    <w:p w14:paraId="3AE6F9EF" w14:textId="77777777" w:rsidR="0084489F" w:rsidRDefault="00110FE6">
      <w:pPr>
        <w:pStyle w:val="BlockText"/>
      </w:pPr>
      <w:r>
        <w:t xml:space="preserve">Wikipédia. « Groschen ». Dans </w:t>
      </w:r>
      <w:r>
        <w:rPr>
          <w:i/>
          <w:iCs/>
        </w:rPr>
        <w:t>Wikipédia</w:t>
      </w:r>
      <w:r>
        <w:t xml:space="preserve">. </w:t>
      </w:r>
      <w:r w:rsidRPr="008C0D99">
        <w:rPr>
          <w:lang w:val="en-CA"/>
        </w:rPr>
        <w:t>San Francisco, US-CA: Wikipédia, 6 mai 2023.</w:t>
      </w:r>
      <w:hyperlink r:id="rId309">
        <w:r w:rsidRPr="008C0D99">
          <w:rPr>
            <w:rStyle w:val="Hyperlink"/>
            <w:lang w:val="en-CA"/>
          </w:rPr>
          <w:t xml:space="preserve"> </w:t>
        </w:r>
      </w:hyperlink>
      <w:hyperlink r:id="rId310">
        <w:r>
          <w:rPr>
            <w:rStyle w:val="Hyperlink"/>
          </w:rPr>
          <w:t>https://en.wikipedia.org/w/index.php?title=Groschen&amp;oldid=1153418826</w:t>
        </w:r>
      </w:hyperlink>
      <w:r>
        <w:t>.</w:t>
      </w:r>
    </w:p>
    <w:p w14:paraId="4A0F0E5B" w14:textId="77777777" w:rsidR="0084489F" w:rsidRDefault="00110FE6">
      <w:pPr>
        <w:pStyle w:val="BlockText"/>
      </w:pPr>
      <w:r w:rsidRPr="008C0D99">
        <w:rPr>
          <w:lang w:val="en-CA"/>
        </w:rPr>
        <w:t xml:space="preserve">———. « Oka ». Dans </w:t>
      </w:r>
      <w:r w:rsidRPr="008C0D99">
        <w:rPr>
          <w:i/>
          <w:iCs/>
          <w:lang w:val="en-CA"/>
        </w:rPr>
        <w:t>Wiktionary</w:t>
      </w:r>
      <w:r w:rsidRPr="008C0D99">
        <w:rPr>
          <w:lang w:val="en-CA"/>
        </w:rPr>
        <w:t>. San Francisco, US-CA: Wikipédia, 8 avril 2023.</w:t>
      </w:r>
      <w:hyperlink r:id="rId311">
        <w:r w:rsidRPr="008C0D99">
          <w:rPr>
            <w:rStyle w:val="Hyperlink"/>
            <w:lang w:val="en-CA"/>
          </w:rPr>
          <w:t xml:space="preserve"> </w:t>
        </w:r>
      </w:hyperlink>
      <w:hyperlink r:id="rId312">
        <w:r>
          <w:rPr>
            <w:rStyle w:val="Hyperlink"/>
          </w:rPr>
          <w:t>https://en.wiktionary.org/w/index.php?title=oka&amp;oldid=72628696</w:t>
        </w:r>
      </w:hyperlink>
      <w:r>
        <w:t>.</w:t>
      </w:r>
    </w:p>
    <w:p w14:paraId="0CF33062" w14:textId="77777777" w:rsidR="000B7F5F" w:rsidRPr="000B7F5F" w:rsidRDefault="000B7F5F" w:rsidP="000B7F5F">
      <w:pPr>
        <w:pStyle w:val="BodyText"/>
      </w:pPr>
    </w:p>
    <w:p w14:paraId="3EA68C4E" w14:textId="77777777" w:rsidR="0084489F" w:rsidRDefault="00110FE6">
      <w:pPr>
        <w:pStyle w:val="Heading2"/>
      </w:pPr>
      <w:bookmarkStart w:id="572" w:name="_Toc176864662"/>
      <w:bookmarkStart w:id="573" w:name="X5a2a25f1f37adf872c7ba9edbb6a8a5b8067843"/>
      <w:bookmarkEnd w:id="571"/>
      <w:r>
        <w:t>P180 a pour unité monétaire (était l’unité monétaire de)</w:t>
      </w:r>
      <w:bookmarkEnd w:id="572"/>
    </w:p>
    <w:p w14:paraId="16615E9C" w14:textId="77777777" w:rsidR="0084489F" w:rsidRDefault="00110FE6">
      <w:pPr>
        <w:pStyle w:val="FirstParagraph"/>
      </w:pPr>
      <w:r>
        <w:rPr>
          <w:b/>
          <w:bCs/>
        </w:rPr>
        <w:t>Domaine</w:t>
      </w:r>
    </w:p>
    <w:p w14:paraId="30774B15" w14:textId="77777777" w:rsidR="0084489F" w:rsidRDefault="00110FE6">
      <w:pPr>
        <w:pStyle w:val="BodyText"/>
      </w:pPr>
      <w:r>
        <w:rPr>
          <w:rStyle w:val="VerbatimChar"/>
        </w:rPr>
        <w:t>E97_Valeur_monétaire</w:t>
      </w:r>
    </w:p>
    <w:p w14:paraId="6B88383F" w14:textId="77777777" w:rsidR="0084489F" w:rsidRDefault="00110FE6">
      <w:pPr>
        <w:pStyle w:val="BodyText"/>
      </w:pPr>
      <w:r>
        <w:rPr>
          <w:b/>
          <w:bCs/>
        </w:rPr>
        <w:t>Portée</w:t>
      </w:r>
    </w:p>
    <w:p w14:paraId="63E2BDFF" w14:textId="77777777" w:rsidR="0084489F" w:rsidRDefault="00110FE6">
      <w:pPr>
        <w:pStyle w:val="BodyText"/>
      </w:pPr>
      <w:r>
        <w:rPr>
          <w:rStyle w:val="VerbatimChar"/>
        </w:rPr>
        <w:t>E98_Unité_monétaire</w:t>
      </w:r>
    </w:p>
    <w:p w14:paraId="0C9FDC3F" w14:textId="77777777" w:rsidR="0084489F" w:rsidRDefault="00110FE6">
      <w:pPr>
        <w:pStyle w:val="BodyText"/>
      </w:pPr>
      <w:r>
        <w:rPr>
          <w:b/>
          <w:bCs/>
        </w:rPr>
        <w:t>Sous-propriété de</w:t>
      </w:r>
    </w:p>
    <w:p w14:paraId="6BD112FC" w14:textId="77777777" w:rsidR="0084489F" w:rsidRDefault="00110FE6">
      <w:pPr>
        <w:pStyle w:val="BodyText"/>
      </w:pPr>
      <w:r w:rsidRPr="1B9E7434">
        <w:rPr>
          <w:rStyle w:val="VerbatimChar"/>
          <w:lang w:val="fr-FR"/>
        </w:rPr>
        <w:t>E54_Dimension</w:t>
      </w:r>
      <w:r w:rsidRPr="1B9E7434">
        <w:rPr>
          <w:lang w:val="fr-FR"/>
        </w:rPr>
        <w:t xml:space="preserve">. </w:t>
      </w:r>
      <w:r w:rsidRPr="1B9E7434">
        <w:rPr>
          <w:rStyle w:val="VerbatimChar"/>
          <w:lang w:val="fr-FR"/>
        </w:rPr>
        <w:t>P91_a_pour_unité_de_mesure (est_l’unité_de_mesure_de)</w:t>
      </w:r>
      <w:r w:rsidRPr="1B9E7434">
        <w:rPr>
          <w:lang w:val="fr-FR"/>
        </w:rPr>
        <w:t xml:space="preserve"> : </w:t>
      </w:r>
      <w:r w:rsidRPr="1B9E7434">
        <w:rPr>
          <w:rStyle w:val="VerbatimChar"/>
          <w:lang w:val="fr-FR"/>
        </w:rPr>
        <w:t>E58_Unité_de_mesure</w:t>
      </w:r>
    </w:p>
    <w:p w14:paraId="4ED22CEE" w14:textId="77777777" w:rsidR="0084489F" w:rsidRDefault="00110FE6">
      <w:pPr>
        <w:pStyle w:val="BodyText"/>
      </w:pPr>
      <w:r>
        <w:rPr>
          <w:b/>
          <w:bCs/>
        </w:rPr>
        <w:t>Super-propriété de</w:t>
      </w:r>
    </w:p>
    <w:p w14:paraId="70128924" w14:textId="77777777" w:rsidR="0084489F" w:rsidRDefault="00110FE6">
      <w:pPr>
        <w:pStyle w:val="BodyText"/>
      </w:pPr>
      <w:r>
        <w:rPr>
          <w:b/>
          <w:bCs/>
        </w:rPr>
        <w:t>Quantification</w:t>
      </w:r>
    </w:p>
    <w:p w14:paraId="12240C63" w14:textId="77777777" w:rsidR="0084489F" w:rsidRDefault="00110FE6">
      <w:pPr>
        <w:pStyle w:val="BodyText"/>
      </w:pPr>
      <w:r w:rsidRPr="1B9E7434">
        <w:rPr>
          <w:lang w:val="fr-FR"/>
        </w:rPr>
        <w:t>plusieurs à un, nécessaire (1,1:0,n)</w:t>
      </w:r>
    </w:p>
    <w:p w14:paraId="0BFBF16F" w14:textId="77777777" w:rsidR="0084489F" w:rsidRDefault="00110FE6">
      <w:pPr>
        <w:pStyle w:val="BodyText"/>
      </w:pPr>
      <w:r>
        <w:rPr>
          <w:b/>
          <w:bCs/>
        </w:rPr>
        <w:t>Note d’application</w:t>
      </w:r>
    </w:p>
    <w:p w14:paraId="5B69DD07" w14:textId="77777777" w:rsidR="0084489F" w:rsidRDefault="00110FE6">
      <w:pPr>
        <w:pStyle w:val="BodyText"/>
      </w:pPr>
      <w:r>
        <w:t xml:space="preserve">Cette propriété établit la relation entre une instance de </w:t>
      </w:r>
      <w:r>
        <w:rPr>
          <w:rStyle w:val="VerbatimChar"/>
        </w:rPr>
        <w:t>E97_Valeur_monétaire</w:t>
      </w:r>
      <w:r>
        <w:t xml:space="preserve"> et l’instance de </w:t>
      </w:r>
      <w:r>
        <w:rPr>
          <w:rStyle w:val="VerbatimChar"/>
        </w:rPr>
        <w:t>E98_Unité_monétaire</w:t>
      </w:r>
      <w:r>
        <w:t xml:space="preserve"> dans laquelle elle est mesurée.</w:t>
      </w:r>
    </w:p>
    <w:p w14:paraId="07514E1B" w14:textId="77777777" w:rsidR="0084489F" w:rsidRDefault="00110FE6">
      <w:pPr>
        <w:pStyle w:val="BodyText"/>
      </w:pPr>
      <w:r>
        <w:rPr>
          <w:b/>
          <w:bCs/>
        </w:rPr>
        <w:t>Exemples</w:t>
      </w:r>
    </w:p>
    <w:p w14:paraId="552E1F40" w14:textId="77777777" w:rsidR="0084489F" w:rsidRDefault="00110FE6" w:rsidP="00806324">
      <w:pPr>
        <w:numPr>
          <w:ilvl w:val="0"/>
          <w:numId w:val="284"/>
        </w:numPr>
      </w:pPr>
      <w:r>
        <w:t xml:space="preserve">Le prix d’adjudication par Christie's de l’œuvre peinte </w:t>
      </w:r>
      <w:r>
        <w:rPr>
          <w:i/>
          <w:iCs/>
        </w:rPr>
        <w:t>Vase avec quinze tournesols</w:t>
      </w:r>
      <w:r>
        <w:t xml:space="preserve"> (</w:t>
      </w:r>
      <w:r>
        <w:rPr>
          <w:rStyle w:val="VerbatimChar"/>
        </w:rPr>
        <w:t>E97_Valeur_monétaire</w:t>
      </w:r>
      <w:r>
        <w:t>) a pour unité monétaire (</w:t>
      </w:r>
      <w:r>
        <w:rPr>
          <w:rStyle w:val="VerbatimChar"/>
        </w:rPr>
        <w:t>P180_a_pour_unité_monétaire</w:t>
      </w:r>
      <w:r>
        <w:t>) livre sterling (</w:t>
      </w:r>
      <w:r>
        <w:rPr>
          <w:rStyle w:val="VerbatimChar"/>
        </w:rPr>
        <w:t>E98_Unité_monétaire</w:t>
      </w:r>
      <w:r>
        <w:t>)</w:t>
      </w:r>
    </w:p>
    <w:p w14:paraId="6571B1FD" w14:textId="77777777" w:rsidR="0084489F" w:rsidRDefault="00110FE6">
      <w:pPr>
        <w:pStyle w:val="FirstParagraph"/>
      </w:pPr>
      <w:r>
        <w:rPr>
          <w:b/>
          <w:bCs/>
        </w:rPr>
        <w:t>Logique</w:t>
      </w:r>
    </w:p>
    <w:p w14:paraId="55C62BA6" w14:textId="77777777" w:rsidR="0084489F" w:rsidRDefault="00110FE6">
      <w:pPr>
        <w:pStyle w:val="BodyText"/>
      </w:pPr>
      <w:r w:rsidRPr="1B9E7434">
        <w:rPr>
          <w:lang w:val="fr-FR"/>
        </w:rPr>
        <w:t>P180(x,y) ⇒ E97(x)</w:t>
      </w:r>
    </w:p>
    <w:p w14:paraId="2E8558FF" w14:textId="77777777" w:rsidR="0084489F" w:rsidRDefault="00110FE6">
      <w:pPr>
        <w:pStyle w:val="BodyText"/>
      </w:pPr>
      <w:r w:rsidRPr="1B9E7434">
        <w:rPr>
          <w:lang w:val="fr-FR"/>
        </w:rPr>
        <w:t>P180(x,y) ⇒ E98(y)</w:t>
      </w:r>
    </w:p>
    <w:p w14:paraId="4CB3F25F" w14:textId="77777777" w:rsidR="0084489F" w:rsidRDefault="00110FE6">
      <w:pPr>
        <w:pStyle w:val="BodyText"/>
      </w:pPr>
      <w:r w:rsidRPr="1B9E7434">
        <w:rPr>
          <w:lang w:val="fr-FR"/>
        </w:rPr>
        <w:t>P180(x,y) ⇒ P91(x,y)</w:t>
      </w:r>
    </w:p>
    <w:p w14:paraId="2E660825" w14:textId="77777777" w:rsidR="0084489F" w:rsidRDefault="00110FE6">
      <w:pPr>
        <w:pStyle w:val="BodyText"/>
      </w:pPr>
      <w:r>
        <w:rPr>
          <w:b/>
          <w:bCs/>
        </w:rPr>
        <w:t>Propriétés</w:t>
      </w:r>
    </w:p>
    <w:p w14:paraId="1B5340EB" w14:textId="77777777" w:rsidR="0084489F" w:rsidRDefault="00110FE6">
      <w:pPr>
        <w:pStyle w:val="BlockText"/>
      </w:pPr>
      <w:r>
        <w:rPr>
          <w:b/>
          <w:bCs/>
          <w:i/>
          <w:iCs/>
        </w:rPr>
        <w:t>Note de traduction</w:t>
      </w:r>
    </w:p>
    <w:p w14:paraId="63EE4A2A" w14:textId="77777777" w:rsidR="0084489F" w:rsidRDefault="00110FE6">
      <w:pPr>
        <w:pStyle w:val="BlockText"/>
      </w:pPr>
      <w:r>
        <w:rPr>
          <w:b/>
          <w:bCs/>
          <w:i/>
          <w:iCs/>
        </w:rPr>
        <w:t>Références</w:t>
      </w:r>
    </w:p>
    <w:p w14:paraId="47A02272" w14:textId="77777777" w:rsidR="0084489F" w:rsidRDefault="0084489F">
      <w:pPr>
        <w:pStyle w:val="BlockText"/>
      </w:pPr>
    </w:p>
    <w:p w14:paraId="65564C8C" w14:textId="77777777" w:rsidR="0084489F" w:rsidRDefault="00110FE6">
      <w:pPr>
        <w:pStyle w:val="Heading2"/>
      </w:pPr>
      <w:bookmarkStart w:id="574" w:name="_Toc176864663"/>
      <w:bookmarkStart w:id="575" w:name="Xb9d734bf600db01ff72e1c14026f540dd1e9568"/>
      <w:bookmarkEnd w:id="573"/>
      <w:r>
        <w:lastRenderedPageBreak/>
        <w:t>P182 se termine avant ou au moment du début de (commence après ou au moment de la fin de)</w:t>
      </w:r>
      <w:bookmarkEnd w:id="574"/>
    </w:p>
    <w:p w14:paraId="3AC38E98" w14:textId="77777777" w:rsidR="0084489F" w:rsidRDefault="00110FE6">
      <w:pPr>
        <w:pStyle w:val="FirstParagraph"/>
      </w:pPr>
      <w:r>
        <w:rPr>
          <w:b/>
          <w:bCs/>
        </w:rPr>
        <w:t>Domaine</w:t>
      </w:r>
    </w:p>
    <w:p w14:paraId="7B424118" w14:textId="77777777" w:rsidR="0084489F" w:rsidRDefault="00110FE6">
      <w:pPr>
        <w:pStyle w:val="BodyText"/>
      </w:pPr>
      <w:r>
        <w:rPr>
          <w:rStyle w:val="VerbatimChar"/>
        </w:rPr>
        <w:t>E2_Entité_temporelle</w:t>
      </w:r>
    </w:p>
    <w:p w14:paraId="37C83ACB" w14:textId="77777777" w:rsidR="0084489F" w:rsidRDefault="00110FE6">
      <w:pPr>
        <w:pStyle w:val="BodyText"/>
      </w:pPr>
      <w:r>
        <w:rPr>
          <w:b/>
          <w:bCs/>
        </w:rPr>
        <w:t>Portée</w:t>
      </w:r>
    </w:p>
    <w:p w14:paraId="17844801" w14:textId="77777777" w:rsidR="0084489F" w:rsidRDefault="00110FE6">
      <w:pPr>
        <w:pStyle w:val="BodyText"/>
      </w:pPr>
      <w:r>
        <w:rPr>
          <w:rStyle w:val="VerbatimChar"/>
        </w:rPr>
        <w:t>E2_Entité_temporelle</w:t>
      </w:r>
    </w:p>
    <w:p w14:paraId="48CB0210" w14:textId="77777777" w:rsidR="0084489F" w:rsidRDefault="00110FE6">
      <w:pPr>
        <w:pStyle w:val="BodyText"/>
      </w:pPr>
      <w:r>
        <w:rPr>
          <w:b/>
          <w:bCs/>
        </w:rPr>
        <w:t>Sous-propriété de</w:t>
      </w:r>
    </w:p>
    <w:p w14:paraId="2F1B0664"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P176_commence_avant_le_début_de (commence_après_le_début_de)</w:t>
      </w:r>
      <w:r w:rsidRPr="1B9E7434">
        <w:rPr>
          <w:lang w:val="fr-FR"/>
        </w:rPr>
        <w:t xml:space="preserve"> : </w:t>
      </w:r>
      <w:r w:rsidRPr="1B9E7434">
        <w:rPr>
          <w:rStyle w:val="VerbatimChar"/>
          <w:lang w:val="fr-FR"/>
        </w:rPr>
        <w:t>E2_Entité_temporelle</w:t>
      </w:r>
    </w:p>
    <w:p w14:paraId="3AD0F75B"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P185_se_termine_avant_la_fin_de (se_termine_après_la_fin_de)</w:t>
      </w:r>
      <w:r w:rsidRPr="1B9E7434">
        <w:rPr>
          <w:lang w:val="fr-FR"/>
        </w:rPr>
        <w:t xml:space="preserve"> : </w:t>
      </w:r>
      <w:r w:rsidRPr="1B9E7434">
        <w:rPr>
          <w:rStyle w:val="VerbatimChar"/>
          <w:lang w:val="fr-FR"/>
        </w:rPr>
        <w:t>E2_Entité_temporelle</w:t>
      </w:r>
    </w:p>
    <w:p w14:paraId="7DAE2D67" w14:textId="77777777" w:rsidR="0084489F" w:rsidRDefault="00110FE6">
      <w:pPr>
        <w:pStyle w:val="BodyText"/>
      </w:pPr>
      <w:r>
        <w:rPr>
          <w:b/>
          <w:bCs/>
        </w:rPr>
        <w:t>Super-propriété de</w:t>
      </w:r>
    </w:p>
    <w:p w14:paraId="1E10D656"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P183_se_termine_avant_le_début_de (commence_après_la_fin_de)</w:t>
      </w:r>
      <w:r w:rsidRPr="1B9E7434">
        <w:rPr>
          <w:lang w:val="fr-FR"/>
        </w:rPr>
        <w:t xml:space="preserve"> : </w:t>
      </w:r>
      <w:r w:rsidRPr="1B9E7434">
        <w:rPr>
          <w:rStyle w:val="VerbatimChar"/>
          <w:lang w:val="fr-FR"/>
        </w:rPr>
        <w:t>E2_Entité_temporelle</w:t>
      </w:r>
    </w:p>
    <w:p w14:paraId="06FB55EC" w14:textId="77777777" w:rsidR="0084489F" w:rsidRDefault="00110FE6">
      <w:pPr>
        <w:pStyle w:val="BodyText"/>
      </w:pPr>
      <w:r>
        <w:rPr>
          <w:b/>
          <w:bCs/>
        </w:rPr>
        <w:t>Quantification</w:t>
      </w:r>
    </w:p>
    <w:p w14:paraId="731BE672" w14:textId="77777777" w:rsidR="0084489F" w:rsidRDefault="00110FE6">
      <w:pPr>
        <w:pStyle w:val="BodyText"/>
      </w:pPr>
      <w:r w:rsidRPr="1B9E7434">
        <w:rPr>
          <w:lang w:val="fr-FR"/>
        </w:rPr>
        <w:t>plusieurs à plusieurs (0,n:0,n)</w:t>
      </w:r>
    </w:p>
    <w:p w14:paraId="10648799" w14:textId="77777777" w:rsidR="0084489F" w:rsidRDefault="00110FE6">
      <w:pPr>
        <w:pStyle w:val="BodyText"/>
      </w:pPr>
      <w:r>
        <w:rPr>
          <w:b/>
          <w:bCs/>
        </w:rPr>
        <w:t>Note d’application</w:t>
      </w:r>
    </w:p>
    <w:p w14:paraId="7BB2A682" w14:textId="77777777" w:rsidR="0084489F" w:rsidRDefault="00110FE6">
      <w:pPr>
        <w:pStyle w:val="BodyText"/>
      </w:pPr>
      <w:r>
        <w:t xml:space="preserve">Cette propriété spécifie que l'étendue temporelle de l'instance du domaine (A) de </w:t>
      </w:r>
      <w:r>
        <w:rPr>
          <w:rStyle w:val="VerbatimChar"/>
        </w:rPr>
        <w:t>E2_Entité_temporelle</w:t>
      </w:r>
      <w:r>
        <w:t xml:space="preserve"> se termine avant ou simultanément avec le début de l'étendue temporelle de l'instance de la portée (B) de </w:t>
      </w:r>
      <w:r>
        <w:rPr>
          <w:rStyle w:val="VerbatimChar"/>
        </w:rPr>
        <w:t>E2_Entité_temporelle</w:t>
      </w:r>
      <w:r>
        <w:t>.</w:t>
      </w:r>
    </w:p>
    <w:p w14:paraId="0FAAD6B2" w14:textId="77777777" w:rsidR="0084489F" w:rsidRDefault="00110FE6">
      <w:pPr>
        <w:pStyle w:val="BodyText"/>
      </w:pPr>
      <w:r w:rsidRPr="1B9E7434">
        <w:rPr>
          <w:lang w:val="fr-FR"/>
        </w:rPr>
        <w:t>En d'autres termes, si A = [A</w:t>
      </w:r>
      <w:r w:rsidRPr="1B9E7434">
        <w:rPr>
          <w:vertAlign w:val="superscript"/>
          <w:lang w:val="fr-FR"/>
        </w:rPr>
        <w:t>début</w:t>
      </w:r>
      <w:r w:rsidRPr="1B9E7434">
        <w:rPr>
          <w:lang w:val="fr-FR"/>
        </w:rPr>
        <w:t>, A</w:t>
      </w:r>
      <w:r w:rsidRPr="1B9E7434">
        <w:rPr>
          <w:vertAlign w:val="superscript"/>
          <w:lang w:val="fr-FR"/>
        </w:rPr>
        <w:t>fin</w:t>
      </w:r>
      <w:r w:rsidRPr="1B9E7434">
        <w:rPr>
          <w:lang w:val="fr-FR"/>
        </w:rPr>
        <w:t>] et B = [B</w:t>
      </w:r>
      <w:r w:rsidRPr="1B9E7434">
        <w:rPr>
          <w:vertAlign w:val="superscript"/>
          <w:lang w:val="fr-FR"/>
        </w:rPr>
        <w:t>début</w:t>
      </w:r>
      <w:r w:rsidRPr="1B9E7434">
        <w:rPr>
          <w:lang w:val="fr-FR"/>
        </w:rPr>
        <w:t>, B</w:t>
      </w:r>
      <w:r w:rsidRPr="1B9E7434">
        <w:rPr>
          <w:vertAlign w:val="superscript"/>
          <w:lang w:val="fr-FR"/>
        </w:rPr>
        <w:t>fin</w:t>
      </w:r>
      <w:r w:rsidRPr="1B9E7434">
        <w:rPr>
          <w:lang w:val="fr-FR"/>
        </w:rPr>
        <w:t>], alors A</w:t>
      </w:r>
      <w:r w:rsidRPr="1B9E7434">
        <w:rPr>
          <w:vertAlign w:val="superscript"/>
          <w:lang w:val="fr-FR"/>
        </w:rPr>
        <w:t>fin</w:t>
      </w:r>
      <w:r w:rsidRPr="1B9E7434">
        <w:rPr>
          <w:lang w:val="fr-FR"/>
        </w:rPr>
        <w:t xml:space="preserve"> ≤ B</w:t>
      </w:r>
      <w:r w:rsidRPr="1B9E7434">
        <w:rPr>
          <w:vertAlign w:val="superscript"/>
          <w:lang w:val="fr-FR"/>
        </w:rPr>
        <w:t>début</w:t>
      </w:r>
      <w:r w:rsidRPr="1B9E7434">
        <w:rPr>
          <w:lang w:val="fr-FR"/>
        </w:rPr>
        <w:t xml:space="preserve"> est vrai.</w:t>
      </w:r>
    </w:p>
    <w:p w14:paraId="27FB1BBE" w14:textId="77777777" w:rsidR="0084489F" w:rsidRDefault="00110FE6">
      <w:pPr>
        <w:pStyle w:val="BodyText"/>
      </w:pPr>
      <w:r>
        <w:t>Cette propriété fait partie de l'ensemble des propriétés temporelles P173 à P176 et P182 à P185.</w:t>
      </w:r>
    </w:p>
    <w:p w14:paraId="676420E3" w14:textId="77777777" w:rsidR="0084489F" w:rsidRDefault="00110FE6">
      <w:pPr>
        <w:pStyle w:val="BodyText"/>
      </w:pPr>
      <w:r>
        <w:t>Cette propriété correspond à une disjonction (OU logique) des relations définies par l’algèbre des intervalles d’Allen suivantes (Allen, 1983) : {avant, rencontre}</w:t>
      </w:r>
    </w:p>
    <w:p w14:paraId="074E8EA4" w14:textId="77777777" w:rsidR="0084489F" w:rsidRDefault="00110FE6">
      <w:pPr>
        <w:pStyle w:val="BodyText"/>
      </w:pPr>
      <w:r>
        <w:t>Cette propriété est transitive et asymétrique.</w:t>
      </w:r>
    </w:p>
    <w:p w14:paraId="6BC2EBD0" w14:textId="77777777" w:rsidR="0084489F" w:rsidRDefault="00110FE6">
      <w:pPr>
        <w:pStyle w:val="BodyText"/>
      </w:pPr>
      <w:r>
        <w:rPr>
          <w:noProof/>
        </w:rPr>
        <w:lastRenderedPageBreak/>
        <w:drawing>
          <wp:inline distT="0" distB="0" distL="0" distR="0" wp14:anchorId="14501DE5" wp14:editId="6097A86A">
            <wp:extent cx="6858000" cy="3025913"/>
            <wp:effectExtent l="0" t="0" r="0" b="0"/>
            <wp:docPr id="452" name="Picture" descr="Un diagramme illustre le fonctionnement de la propriété P182_se_termine_avant_ou_au_moment_du_début_de (commence_après_ou_au_moment_de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53" name="Picture" descr="/Users/trangdang/Documents/CHIN/Work/documentation/cidoc_crm_fr-ca/docs/v7.1.3/figures/Fig_16_FR.png"/>
                    <pic:cNvPicPr>
                      <a:picLocks noChangeAspect="1" noChangeArrowheads="1"/>
                    </pic:cNvPicPr>
                  </pic:nvPicPr>
                  <pic:blipFill>
                    <a:blip r:embed="rId313"/>
                    <a:stretch>
                      <a:fillRect/>
                    </a:stretch>
                  </pic:blipFill>
                  <pic:spPr bwMode="auto">
                    <a:xfrm>
                      <a:off x="0" y="0"/>
                      <a:ext cx="6858000" cy="3025913"/>
                    </a:xfrm>
                    <a:prstGeom prst="rect">
                      <a:avLst/>
                    </a:prstGeom>
                    <a:noFill/>
                    <a:ln w="9525">
                      <a:noFill/>
                      <a:headEnd/>
                      <a:tailEnd/>
                    </a:ln>
                  </pic:spPr>
                </pic:pic>
              </a:graphicData>
            </a:graphic>
          </wp:inline>
        </w:drawing>
      </w:r>
    </w:p>
    <w:p w14:paraId="2FDD7A48" w14:textId="77777777" w:rsidR="0084489F" w:rsidRPr="0002044A" w:rsidRDefault="00110FE6" w:rsidP="1B9E7434">
      <w:pPr>
        <w:pStyle w:val="BodyText"/>
        <w:rPr>
          <w:sz w:val="20"/>
          <w:szCs w:val="20"/>
          <w:lang w:val="fr-FR"/>
        </w:rPr>
      </w:pPr>
      <w:commentRangeStart w:id="576"/>
      <w:r w:rsidRPr="1B9E7434">
        <w:rPr>
          <w:i/>
          <w:iCs/>
          <w:sz w:val="20"/>
          <w:szCs w:val="20"/>
          <w:lang w:val="fr-FR"/>
        </w:rPr>
        <w:t>Figure 16 : L'entité temporelle A termine avant ou au moment du début de l'entité temporelle B. Ici, A est plus long que B.</w:t>
      </w:r>
      <w:commentRangeEnd w:id="576"/>
      <w:r>
        <w:rPr>
          <w:rStyle w:val="CommentReference"/>
        </w:rPr>
        <w:commentReference w:id="576"/>
      </w:r>
    </w:p>
    <w:p w14:paraId="5EA8EF66" w14:textId="77777777" w:rsidR="0084489F" w:rsidRDefault="0084489F">
      <w:pPr>
        <w:pStyle w:val="BodyText"/>
      </w:pPr>
    </w:p>
    <w:p w14:paraId="11F514B1" w14:textId="77777777" w:rsidR="0084489F" w:rsidRDefault="00110FE6">
      <w:pPr>
        <w:pStyle w:val="BodyText"/>
      </w:pPr>
      <w:r>
        <w:rPr>
          <w:noProof/>
        </w:rPr>
        <w:drawing>
          <wp:inline distT="0" distB="0" distL="0" distR="0" wp14:anchorId="3524DCA0" wp14:editId="6230B21A">
            <wp:extent cx="6858000" cy="3025913"/>
            <wp:effectExtent l="0" t="0" r="0" b="0"/>
            <wp:docPr id="455" name="Picture" descr="Un diagramme illustre le fonctionnement de la propriété P182_se_termine_avant_ou_au_moment_du_début_de (commence_après_ou_au_moment_de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56" name="Picture" descr="/Users/trangdang/Documents/CHIN/Work/documentation/cidoc_crm_fr-ca/docs/v7.1.3/figures/Fig_17_FR.png"/>
                    <pic:cNvPicPr>
                      <a:picLocks noChangeAspect="1" noChangeArrowheads="1"/>
                    </pic:cNvPicPr>
                  </pic:nvPicPr>
                  <pic:blipFill>
                    <a:blip r:embed="rId314"/>
                    <a:stretch>
                      <a:fillRect/>
                    </a:stretch>
                  </pic:blipFill>
                  <pic:spPr bwMode="auto">
                    <a:xfrm>
                      <a:off x="0" y="0"/>
                      <a:ext cx="6858000" cy="3025913"/>
                    </a:xfrm>
                    <a:prstGeom prst="rect">
                      <a:avLst/>
                    </a:prstGeom>
                    <a:noFill/>
                    <a:ln w="9525">
                      <a:noFill/>
                      <a:headEnd/>
                      <a:tailEnd/>
                    </a:ln>
                  </pic:spPr>
                </pic:pic>
              </a:graphicData>
            </a:graphic>
          </wp:inline>
        </w:drawing>
      </w:r>
    </w:p>
    <w:p w14:paraId="02278EB7" w14:textId="77777777" w:rsidR="0084489F" w:rsidRPr="0002044A" w:rsidRDefault="00110FE6" w:rsidP="1B9E7434">
      <w:pPr>
        <w:pStyle w:val="BodyText"/>
        <w:rPr>
          <w:sz w:val="20"/>
          <w:szCs w:val="20"/>
          <w:lang w:val="fr-FR"/>
        </w:rPr>
      </w:pPr>
      <w:commentRangeStart w:id="577"/>
      <w:r w:rsidRPr="1B9E7434">
        <w:rPr>
          <w:i/>
          <w:iCs/>
          <w:sz w:val="20"/>
          <w:szCs w:val="20"/>
          <w:lang w:val="fr-FR"/>
        </w:rPr>
        <w:t>Figure 17 : L'entité temporelle A termine avant ou au moment du début de l'entité temporelle B. Ici, A est plus court que B.</w:t>
      </w:r>
      <w:commentRangeEnd w:id="577"/>
      <w:r>
        <w:rPr>
          <w:rStyle w:val="CommentReference"/>
        </w:rPr>
        <w:commentReference w:id="577"/>
      </w:r>
    </w:p>
    <w:p w14:paraId="429AAFBD" w14:textId="77777777" w:rsidR="0084489F" w:rsidRDefault="00110FE6" w:rsidP="000B7F5F">
      <w:pPr>
        <w:pStyle w:val="BodyText"/>
        <w:keepNext/>
      </w:pPr>
      <w:r>
        <w:rPr>
          <w:b/>
          <w:bCs/>
        </w:rPr>
        <w:t>Exemples</w:t>
      </w:r>
    </w:p>
    <w:p w14:paraId="4354B46A" w14:textId="73E2C1CB" w:rsidR="0084489F" w:rsidRDefault="00110FE6" w:rsidP="00806324">
      <w:pPr>
        <w:keepNext/>
        <w:numPr>
          <w:ilvl w:val="0"/>
          <w:numId w:val="285"/>
        </w:numPr>
      </w:pPr>
      <w:r w:rsidRPr="1B9E7434">
        <w:rPr>
          <w:lang w:val="fr-FR"/>
        </w:rPr>
        <w:t>Lerne III (</w:t>
      </w:r>
      <w:r w:rsidRPr="1B9E7434">
        <w:rPr>
          <w:rStyle w:val="VerbatimChar"/>
          <w:lang w:val="fr-FR"/>
        </w:rPr>
        <w:t>E4_Période</w:t>
      </w:r>
      <w:r w:rsidRPr="1B9E7434">
        <w:rPr>
          <w:lang w:val="fr-FR"/>
        </w:rPr>
        <w:t>) se termine avant ou au moment du début de (</w:t>
      </w:r>
      <w:r w:rsidRPr="1B9E7434">
        <w:rPr>
          <w:rStyle w:val="VerbatimChar"/>
          <w:lang w:val="fr-FR"/>
        </w:rPr>
        <w:t>P182_se_termine_avant_ou_au_moment_du_début_de</w:t>
      </w:r>
      <w:r w:rsidRPr="1B9E7434">
        <w:rPr>
          <w:lang w:val="fr-FR"/>
        </w:rPr>
        <w:t>) Lerne IV (</w:t>
      </w:r>
      <w:r w:rsidRPr="1B9E7434">
        <w:rPr>
          <w:rStyle w:val="VerbatimChar"/>
          <w:lang w:val="fr-FR"/>
        </w:rPr>
        <w:t>E4_Période</w:t>
      </w:r>
      <w:r w:rsidRPr="1B9E7434">
        <w:rPr>
          <w:lang w:val="fr-FR"/>
        </w:rPr>
        <w:t>). [« Le site de Lerne n'est probablement pas resté inhabité longtemps après la destruction de la Maison des Tuiles et la construction du tumulus. S'il y a eu un décalage correspondant à la première période de l'Helladique ancien III en Argolide, comme certains le suggèrent (voir, p. ex. Manning 1995, 55-60), celui-ci fut bref. Selon Rutter, la quatrième occupation a commencé autour de 2200 à 2150 AEC et s'est terminée autour de 2050 à 2000 AEC »] (Banks &amp; Reese, 2013)</w:t>
      </w:r>
    </w:p>
    <w:p w14:paraId="239A0D51" w14:textId="5C3EE44E" w:rsidR="0084489F" w:rsidRDefault="00110FE6" w:rsidP="00806324">
      <w:pPr>
        <w:numPr>
          <w:ilvl w:val="0"/>
          <w:numId w:val="285"/>
        </w:numPr>
      </w:pPr>
      <w:r w:rsidRPr="1B9E7434">
        <w:rPr>
          <w:lang w:val="fr-FR"/>
        </w:rPr>
        <w:t>L'usage des tombeaux datant de la première période helladique ancienne (HA I) de Crissa en Phocide (</w:t>
      </w:r>
      <w:r w:rsidRPr="1B9E7434">
        <w:rPr>
          <w:rStyle w:val="VerbatimChar"/>
          <w:lang w:val="fr-FR"/>
        </w:rPr>
        <w:t>E4_Période</w:t>
      </w:r>
      <w:r w:rsidRPr="1B9E7434">
        <w:rPr>
          <w:lang w:val="fr-FR"/>
        </w:rPr>
        <w:t>) se termine avant ou au moment du début de (</w:t>
      </w:r>
      <w:r w:rsidRPr="1B9E7434">
        <w:rPr>
          <w:rStyle w:val="VerbatimChar"/>
          <w:lang w:val="fr-FR"/>
        </w:rPr>
        <w:t>P182_se_termine_avant_ou_au_moment_du_début_de</w:t>
      </w:r>
      <w:r w:rsidRPr="1B9E7434">
        <w:rPr>
          <w:lang w:val="fr-FR"/>
        </w:rPr>
        <w:t>) la troisième période helladique ancienne (HA III) de réutilisation des tombeaux de Crissa en Phocide (</w:t>
      </w:r>
      <w:r w:rsidRPr="1B9E7434">
        <w:rPr>
          <w:rStyle w:val="VerbatimChar"/>
          <w:lang w:val="fr-FR"/>
        </w:rPr>
        <w:t>E4_Période</w:t>
      </w:r>
      <w:r w:rsidRPr="1B9E7434">
        <w:rPr>
          <w:lang w:val="fr-FR"/>
        </w:rPr>
        <w:t>). [Il y a eu un « </w:t>
      </w:r>
      <w:r w:rsidRPr="1B9E7434">
        <w:rPr>
          <w:i/>
          <w:iCs/>
          <w:lang w:val="fr-FR"/>
        </w:rPr>
        <w:t>possible</w:t>
      </w:r>
      <w:r w:rsidRPr="1B9E7434">
        <w:rPr>
          <w:lang w:val="fr-FR"/>
        </w:rPr>
        <w:t xml:space="preserve"> hiatus dans l'occupation de certains sites comme celui de Crissa, en Phocide, qui était bien occupé durant la troisième période helladique ancienne (HA III) et durant la période helladique moyenne (HM). Des éléments de poterie associés à cette occupation durant la période HA II-B ont été identifiés, mais aucun exemple certain de poterie de la période HA II-A »] (Phialon 2018)</w:t>
      </w:r>
    </w:p>
    <w:p w14:paraId="67FDA8DA" w14:textId="77777777" w:rsidR="0084489F" w:rsidRDefault="00110FE6">
      <w:pPr>
        <w:pStyle w:val="FirstParagraph"/>
      </w:pPr>
      <w:r>
        <w:rPr>
          <w:b/>
          <w:bCs/>
        </w:rPr>
        <w:t>Logique</w:t>
      </w:r>
    </w:p>
    <w:p w14:paraId="09439787" w14:textId="77777777" w:rsidR="0084489F" w:rsidRDefault="00110FE6">
      <w:pPr>
        <w:pStyle w:val="BodyText"/>
      </w:pPr>
      <w:r w:rsidRPr="1B9E7434">
        <w:rPr>
          <w:lang w:val="fr-FR"/>
        </w:rPr>
        <w:t>P182(x,y) ⇒ E2(x)</w:t>
      </w:r>
    </w:p>
    <w:p w14:paraId="0118D1D7" w14:textId="77777777" w:rsidR="0084489F" w:rsidRDefault="00110FE6">
      <w:pPr>
        <w:pStyle w:val="BodyText"/>
      </w:pPr>
      <w:r w:rsidRPr="1B9E7434">
        <w:rPr>
          <w:lang w:val="fr-FR"/>
        </w:rPr>
        <w:t>P182(x,y) ⇒ E2(y)</w:t>
      </w:r>
    </w:p>
    <w:p w14:paraId="3036D6A2" w14:textId="77777777" w:rsidR="0084489F" w:rsidRDefault="00110FE6">
      <w:pPr>
        <w:pStyle w:val="BodyText"/>
      </w:pPr>
      <w:r w:rsidRPr="1B9E7434">
        <w:rPr>
          <w:lang w:val="fr-FR"/>
        </w:rPr>
        <w:t>P182(x,y) ⇒ P176(x,y)</w:t>
      </w:r>
    </w:p>
    <w:p w14:paraId="42D4E12A" w14:textId="77777777" w:rsidR="0084489F" w:rsidRDefault="00110FE6">
      <w:pPr>
        <w:pStyle w:val="BodyText"/>
      </w:pPr>
      <w:r w:rsidRPr="1B9E7434">
        <w:rPr>
          <w:lang w:val="fr-FR"/>
        </w:rPr>
        <w:t>P182(x,y) ⇒ P185(x,y)</w:t>
      </w:r>
    </w:p>
    <w:p w14:paraId="7BCEE534" w14:textId="77777777" w:rsidR="0084489F" w:rsidRDefault="00110FE6">
      <w:pPr>
        <w:pStyle w:val="BodyText"/>
      </w:pPr>
      <w:r w:rsidRPr="1B9E7434">
        <w:rPr>
          <w:lang w:val="fr-FR"/>
        </w:rPr>
        <w:t>[P182(x,y) ⋀ P182(y,z) ⇒ P182(x,z)]</w:t>
      </w:r>
    </w:p>
    <w:p w14:paraId="4B3BF56D" w14:textId="77777777" w:rsidR="0084489F" w:rsidRDefault="00110FE6">
      <w:pPr>
        <w:pStyle w:val="BodyText"/>
      </w:pPr>
      <w:r w:rsidRPr="1B9E7434">
        <w:rPr>
          <w:lang w:val="fr-FR"/>
        </w:rPr>
        <w:t>P182(x,y) ⇒ ¬P182(y,x)</w:t>
      </w:r>
    </w:p>
    <w:p w14:paraId="5643220D" w14:textId="77777777" w:rsidR="0084489F" w:rsidRDefault="00110FE6">
      <w:pPr>
        <w:pStyle w:val="BodyText"/>
      </w:pPr>
      <w:r>
        <w:rPr>
          <w:b/>
          <w:bCs/>
        </w:rPr>
        <w:t>Propriétés</w:t>
      </w:r>
    </w:p>
    <w:p w14:paraId="687E2330" w14:textId="77777777" w:rsidR="0084489F" w:rsidRDefault="00110FE6">
      <w:pPr>
        <w:pStyle w:val="BlockText"/>
      </w:pPr>
      <w:r>
        <w:rPr>
          <w:b/>
          <w:bCs/>
          <w:i/>
          <w:iCs/>
        </w:rPr>
        <w:t>Note de traduction</w:t>
      </w:r>
    </w:p>
    <w:p w14:paraId="4A18D9CE" w14:textId="77777777" w:rsidR="0084489F" w:rsidRDefault="00110FE6">
      <w:pPr>
        <w:pStyle w:val="BlockText"/>
      </w:pPr>
      <w:r>
        <w:rPr>
          <w:b/>
          <w:bCs/>
          <w:i/>
          <w:iCs/>
        </w:rPr>
        <w:t>Références</w:t>
      </w:r>
    </w:p>
    <w:p w14:paraId="366886DB" w14:textId="77777777" w:rsidR="0084489F" w:rsidRDefault="00110FE6">
      <w:pPr>
        <w:pStyle w:val="BlockText"/>
      </w:pPr>
      <w:r>
        <w:t xml:space="preserve">Wikipédia. « Algèbre des intervalles d’Allen ». Dans </w:t>
      </w:r>
      <w:r>
        <w:rPr>
          <w:i/>
          <w:iCs/>
        </w:rPr>
        <w:t>Wikipédia</w:t>
      </w:r>
      <w:r>
        <w:t xml:space="preserve">. </w:t>
      </w:r>
      <w:r w:rsidRPr="008C0D99">
        <w:rPr>
          <w:lang w:val="en-CA"/>
        </w:rPr>
        <w:t>San Francisco, US-CA: Wikipédia, 14 janvier 2021.</w:t>
      </w:r>
      <w:hyperlink r:id="rId315">
        <w:r w:rsidRPr="008C0D99">
          <w:rPr>
            <w:rStyle w:val="Hyperlink"/>
            <w:lang w:val="en-CA"/>
          </w:rPr>
          <w:t xml:space="preserve"> </w:t>
        </w:r>
      </w:hyperlink>
      <w:hyperlink r:id="rId316">
        <w:r>
          <w:rPr>
            <w:rStyle w:val="Hyperlink"/>
          </w:rPr>
          <w:t>https://fr.wikipedia.org/wiki/Alg%C3%A8bre_des_intervalles_d%27Allen</w:t>
        </w:r>
      </w:hyperlink>
      <w:r>
        <w:t>.</w:t>
      </w:r>
    </w:p>
    <w:p w14:paraId="7EFBD3A8" w14:textId="77777777" w:rsidR="000B7F5F" w:rsidRPr="000B7F5F" w:rsidRDefault="000B7F5F" w:rsidP="000B7F5F">
      <w:pPr>
        <w:pStyle w:val="BodyText"/>
      </w:pPr>
    </w:p>
    <w:p w14:paraId="630A6349" w14:textId="77777777" w:rsidR="0084489F" w:rsidRDefault="00110FE6">
      <w:pPr>
        <w:pStyle w:val="Heading2"/>
      </w:pPr>
      <w:bookmarkStart w:id="578" w:name="_Toc176864664"/>
      <w:bookmarkStart w:id="579" w:name="X51c0d05ae6ab563d5aa3e299116b0f9bd6ecb82"/>
      <w:bookmarkEnd w:id="575"/>
      <w:r>
        <w:t>P183 se termine avant le début de (commence après la fin de)</w:t>
      </w:r>
      <w:bookmarkEnd w:id="578"/>
    </w:p>
    <w:p w14:paraId="208FDEA8" w14:textId="77777777" w:rsidR="0084489F" w:rsidRDefault="00110FE6">
      <w:pPr>
        <w:pStyle w:val="FirstParagraph"/>
      </w:pPr>
      <w:r>
        <w:rPr>
          <w:b/>
          <w:bCs/>
        </w:rPr>
        <w:t>Domaine</w:t>
      </w:r>
    </w:p>
    <w:p w14:paraId="4A5DA587" w14:textId="77777777" w:rsidR="0084489F" w:rsidRDefault="00110FE6">
      <w:pPr>
        <w:pStyle w:val="BodyText"/>
      </w:pPr>
      <w:r>
        <w:rPr>
          <w:rStyle w:val="VerbatimChar"/>
        </w:rPr>
        <w:t>E2_Entité_temporelle</w:t>
      </w:r>
    </w:p>
    <w:p w14:paraId="05A4055D" w14:textId="77777777" w:rsidR="0084489F" w:rsidRDefault="00110FE6">
      <w:pPr>
        <w:pStyle w:val="BodyText"/>
      </w:pPr>
      <w:r>
        <w:rPr>
          <w:b/>
          <w:bCs/>
        </w:rPr>
        <w:t>Portée</w:t>
      </w:r>
    </w:p>
    <w:p w14:paraId="006E61AF" w14:textId="77777777" w:rsidR="0084489F" w:rsidRDefault="00110FE6">
      <w:pPr>
        <w:pStyle w:val="BodyText"/>
      </w:pPr>
      <w:r>
        <w:rPr>
          <w:rStyle w:val="VerbatimChar"/>
        </w:rPr>
        <w:t>E2_Entité_temporelle</w:t>
      </w:r>
    </w:p>
    <w:p w14:paraId="25A62016" w14:textId="77777777" w:rsidR="0084489F" w:rsidRDefault="00110FE6">
      <w:pPr>
        <w:pStyle w:val="BodyText"/>
      </w:pPr>
      <w:r>
        <w:rPr>
          <w:b/>
          <w:bCs/>
        </w:rPr>
        <w:t>Sous-propriété de</w:t>
      </w:r>
    </w:p>
    <w:p w14:paraId="7129B798"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P182_se_termine_avant_ou_au_moment_du_début_de (commence_après_ou_au_moment_de_la_fin_de)</w:t>
      </w:r>
      <w:r w:rsidRPr="1B9E7434">
        <w:rPr>
          <w:lang w:val="fr-FR"/>
        </w:rPr>
        <w:t xml:space="preserve"> : </w:t>
      </w:r>
      <w:r w:rsidRPr="1B9E7434">
        <w:rPr>
          <w:rStyle w:val="VerbatimChar"/>
          <w:lang w:val="fr-FR"/>
        </w:rPr>
        <w:t>E2_Entité_temporelle</w:t>
      </w:r>
    </w:p>
    <w:p w14:paraId="6875321F" w14:textId="77777777" w:rsidR="0084489F" w:rsidRDefault="00110FE6">
      <w:pPr>
        <w:pStyle w:val="BodyText"/>
      </w:pPr>
      <w:r>
        <w:rPr>
          <w:b/>
          <w:bCs/>
        </w:rPr>
        <w:t>Super-propriété de</w:t>
      </w:r>
    </w:p>
    <w:p w14:paraId="7310C712" w14:textId="77777777" w:rsidR="0084489F" w:rsidRDefault="00110FE6">
      <w:pPr>
        <w:pStyle w:val="BodyText"/>
      </w:pPr>
      <w:r>
        <w:rPr>
          <w:b/>
          <w:bCs/>
        </w:rPr>
        <w:t>Quantification</w:t>
      </w:r>
    </w:p>
    <w:p w14:paraId="65B1E863" w14:textId="77777777" w:rsidR="0084489F" w:rsidRDefault="00110FE6">
      <w:pPr>
        <w:pStyle w:val="BodyText"/>
      </w:pPr>
      <w:r w:rsidRPr="1B9E7434">
        <w:rPr>
          <w:lang w:val="fr-FR"/>
        </w:rPr>
        <w:t>plusieurs à plusieurs (0,n:0,n)</w:t>
      </w:r>
    </w:p>
    <w:p w14:paraId="752CF8B3" w14:textId="77777777" w:rsidR="0084489F" w:rsidRDefault="00110FE6">
      <w:pPr>
        <w:pStyle w:val="BodyText"/>
      </w:pPr>
      <w:r>
        <w:rPr>
          <w:b/>
          <w:bCs/>
        </w:rPr>
        <w:t>Note d’application</w:t>
      </w:r>
    </w:p>
    <w:p w14:paraId="594DE9F4" w14:textId="77777777" w:rsidR="0084489F" w:rsidRDefault="00110FE6">
      <w:pPr>
        <w:pStyle w:val="BodyText"/>
      </w:pPr>
      <w:r>
        <w:t xml:space="preserve">Cette propriété spécifie que l'étendue temporelle de l'instance du domaine (A) de </w:t>
      </w:r>
      <w:r>
        <w:rPr>
          <w:rStyle w:val="VerbatimChar"/>
        </w:rPr>
        <w:t>E2_Entité_temporelle</w:t>
      </w:r>
      <w:r>
        <w:t xml:space="preserve"> se termine définitivement avant le début de l'étendue temporelle de l'instance de la portée (B) de </w:t>
      </w:r>
      <w:r>
        <w:rPr>
          <w:rStyle w:val="VerbatimChar"/>
        </w:rPr>
        <w:t>E2_Entité_temporelle</w:t>
      </w:r>
      <w:r>
        <w:t>.</w:t>
      </w:r>
    </w:p>
    <w:p w14:paraId="1D152A75" w14:textId="77777777" w:rsidR="0084489F" w:rsidRDefault="00110FE6">
      <w:pPr>
        <w:pStyle w:val="BodyText"/>
      </w:pPr>
      <w:r w:rsidRPr="1B9E7434">
        <w:rPr>
          <w:lang w:val="fr-FR"/>
        </w:rPr>
        <w:t>En d'autres termes, si A = [A</w:t>
      </w:r>
      <w:r w:rsidRPr="1B9E7434">
        <w:rPr>
          <w:vertAlign w:val="superscript"/>
          <w:lang w:val="fr-FR"/>
        </w:rPr>
        <w:t>début</w:t>
      </w:r>
      <w:r w:rsidRPr="1B9E7434">
        <w:rPr>
          <w:lang w:val="fr-FR"/>
        </w:rPr>
        <w:t>, A</w:t>
      </w:r>
      <w:r w:rsidRPr="1B9E7434">
        <w:rPr>
          <w:vertAlign w:val="superscript"/>
          <w:lang w:val="fr-FR"/>
        </w:rPr>
        <w:t>fin</w:t>
      </w:r>
      <w:r w:rsidRPr="1B9E7434">
        <w:rPr>
          <w:lang w:val="fr-FR"/>
        </w:rPr>
        <w:t>] et B = [B</w:t>
      </w:r>
      <w:r w:rsidRPr="1B9E7434">
        <w:rPr>
          <w:vertAlign w:val="superscript"/>
          <w:lang w:val="fr-FR"/>
        </w:rPr>
        <w:t>début</w:t>
      </w:r>
      <w:r w:rsidRPr="1B9E7434">
        <w:rPr>
          <w:lang w:val="fr-FR"/>
        </w:rPr>
        <w:t>, B</w:t>
      </w:r>
      <w:r w:rsidRPr="1B9E7434">
        <w:rPr>
          <w:vertAlign w:val="superscript"/>
          <w:lang w:val="fr-FR"/>
        </w:rPr>
        <w:t>fin</w:t>
      </w:r>
      <w:r w:rsidRPr="1B9E7434">
        <w:rPr>
          <w:lang w:val="fr-FR"/>
        </w:rPr>
        <w:t>], alors A</w:t>
      </w:r>
      <w:r w:rsidRPr="1B9E7434">
        <w:rPr>
          <w:vertAlign w:val="superscript"/>
          <w:lang w:val="fr-FR"/>
        </w:rPr>
        <w:t>fin</w:t>
      </w:r>
      <w:r w:rsidRPr="1B9E7434">
        <w:rPr>
          <w:lang w:val="fr-FR"/>
        </w:rPr>
        <w:t xml:space="preserve"> &lt; B</w:t>
      </w:r>
      <w:r w:rsidRPr="1B9E7434">
        <w:rPr>
          <w:vertAlign w:val="superscript"/>
          <w:lang w:val="fr-FR"/>
        </w:rPr>
        <w:t>début</w:t>
      </w:r>
      <w:r w:rsidRPr="1B9E7434">
        <w:rPr>
          <w:lang w:val="fr-FR"/>
        </w:rPr>
        <w:t xml:space="preserve"> est vrai.</w:t>
      </w:r>
    </w:p>
    <w:p w14:paraId="500A84CC" w14:textId="77777777" w:rsidR="0084489F" w:rsidRDefault="00110FE6">
      <w:pPr>
        <w:pStyle w:val="BodyText"/>
      </w:pPr>
      <w:r>
        <w:t>Cette propriété fait partie de l'ensemble des propriétés temporelles P173 à P176 et P182 à P185.</w:t>
      </w:r>
    </w:p>
    <w:p w14:paraId="3E956C16" w14:textId="77777777" w:rsidR="0084489F" w:rsidRDefault="00110FE6">
      <w:pPr>
        <w:pStyle w:val="BodyText"/>
      </w:pPr>
      <w:r>
        <w:t>Cette propriété correspond à la relation temporelle définie par l’algèbre des intervalles d’Allen (Allen, 1983) : {avant}</w:t>
      </w:r>
    </w:p>
    <w:p w14:paraId="05606A01" w14:textId="77777777" w:rsidR="0084489F" w:rsidRDefault="00110FE6">
      <w:pPr>
        <w:pStyle w:val="BodyText"/>
      </w:pPr>
      <w:r>
        <w:t>Cette propriété est transitive et asymétrique.</w:t>
      </w:r>
    </w:p>
    <w:p w14:paraId="5ECF4BF4" w14:textId="77777777" w:rsidR="0084489F" w:rsidRDefault="00110FE6">
      <w:pPr>
        <w:pStyle w:val="BodyText"/>
      </w:pPr>
      <w:r>
        <w:rPr>
          <w:noProof/>
        </w:rPr>
        <w:drawing>
          <wp:inline distT="0" distB="0" distL="0" distR="0" wp14:anchorId="012D7055" wp14:editId="473B1B09">
            <wp:extent cx="6858000" cy="2886470"/>
            <wp:effectExtent l="0" t="0" r="0" b="0"/>
            <wp:docPr id="459" name="Picture" descr="Un diagramme illustre le fonctionnement de la propriété P183_se_termine_avant_le_début_de (commence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60" name="Picture" descr="/Users/trangdang/Documents/CHIN/Work/documentation/cidoc_crm_fr-ca/docs/v7.1.3/figures/Fig_18_FR.png"/>
                    <pic:cNvPicPr>
                      <a:picLocks noChangeAspect="1" noChangeArrowheads="1"/>
                    </pic:cNvPicPr>
                  </pic:nvPicPr>
                  <pic:blipFill>
                    <a:blip r:embed="rId317"/>
                    <a:stretch>
                      <a:fillRect/>
                    </a:stretch>
                  </pic:blipFill>
                  <pic:spPr bwMode="auto">
                    <a:xfrm>
                      <a:off x="0" y="0"/>
                      <a:ext cx="6858000" cy="2886470"/>
                    </a:xfrm>
                    <a:prstGeom prst="rect">
                      <a:avLst/>
                    </a:prstGeom>
                    <a:noFill/>
                    <a:ln w="9525">
                      <a:noFill/>
                      <a:headEnd/>
                      <a:tailEnd/>
                    </a:ln>
                  </pic:spPr>
                </pic:pic>
              </a:graphicData>
            </a:graphic>
          </wp:inline>
        </w:drawing>
      </w:r>
    </w:p>
    <w:p w14:paraId="51A1B432" w14:textId="77777777" w:rsidR="0084489F" w:rsidRPr="0002044A" w:rsidRDefault="00110FE6" w:rsidP="1B9E7434">
      <w:pPr>
        <w:pStyle w:val="BodyText"/>
        <w:rPr>
          <w:sz w:val="20"/>
          <w:szCs w:val="20"/>
          <w:lang w:val="fr-FR"/>
        </w:rPr>
      </w:pPr>
      <w:commentRangeStart w:id="580"/>
      <w:r w:rsidRPr="1B9E7434">
        <w:rPr>
          <w:i/>
          <w:iCs/>
          <w:sz w:val="20"/>
          <w:szCs w:val="20"/>
          <w:lang w:val="fr-FR"/>
        </w:rPr>
        <w:t>Figure 18 : L'entité temporelle A termine avant le début de l'entité temporelle B. Ici, A est plus long que B.</w:t>
      </w:r>
      <w:commentRangeEnd w:id="580"/>
      <w:r>
        <w:rPr>
          <w:rStyle w:val="CommentReference"/>
        </w:rPr>
        <w:commentReference w:id="580"/>
      </w:r>
    </w:p>
    <w:p w14:paraId="438AB2DD" w14:textId="77777777" w:rsidR="0084489F" w:rsidRDefault="0084489F">
      <w:pPr>
        <w:pStyle w:val="BodyText"/>
      </w:pPr>
    </w:p>
    <w:p w14:paraId="3AFC93D0" w14:textId="77777777" w:rsidR="0084489F" w:rsidRDefault="00110FE6">
      <w:pPr>
        <w:pStyle w:val="BodyText"/>
      </w:pPr>
      <w:r>
        <w:rPr>
          <w:noProof/>
        </w:rPr>
        <w:drawing>
          <wp:inline distT="0" distB="0" distL="0" distR="0" wp14:anchorId="4188FDEA" wp14:editId="3F81D08D">
            <wp:extent cx="6858000" cy="2800435"/>
            <wp:effectExtent l="0" t="0" r="0" b="0"/>
            <wp:docPr id="462" name="Picture" descr="Un diagramme illustre le fonctionnement de la propriété P183_se_termine_avant_le_début_de (commence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63" name="Picture" descr="/Users/trangdang/Documents/CHIN/Work/documentation/cidoc_crm_fr-ca/docs/v7.1.3/figures/Fig_19_FR.png"/>
                    <pic:cNvPicPr>
                      <a:picLocks noChangeAspect="1" noChangeArrowheads="1"/>
                    </pic:cNvPicPr>
                  </pic:nvPicPr>
                  <pic:blipFill>
                    <a:blip r:embed="rId318"/>
                    <a:stretch>
                      <a:fillRect/>
                    </a:stretch>
                  </pic:blipFill>
                  <pic:spPr bwMode="auto">
                    <a:xfrm>
                      <a:off x="0" y="0"/>
                      <a:ext cx="6858000" cy="2800435"/>
                    </a:xfrm>
                    <a:prstGeom prst="rect">
                      <a:avLst/>
                    </a:prstGeom>
                    <a:noFill/>
                    <a:ln w="9525">
                      <a:noFill/>
                      <a:headEnd/>
                      <a:tailEnd/>
                    </a:ln>
                  </pic:spPr>
                </pic:pic>
              </a:graphicData>
            </a:graphic>
          </wp:inline>
        </w:drawing>
      </w:r>
    </w:p>
    <w:p w14:paraId="06BF7000" w14:textId="77777777" w:rsidR="0084489F" w:rsidRPr="00D214A0" w:rsidRDefault="00110FE6" w:rsidP="1B9E7434">
      <w:pPr>
        <w:pStyle w:val="BodyText"/>
        <w:rPr>
          <w:sz w:val="20"/>
          <w:szCs w:val="20"/>
          <w:lang w:val="fr-FR"/>
        </w:rPr>
      </w:pPr>
      <w:commentRangeStart w:id="581"/>
      <w:r w:rsidRPr="1B9E7434">
        <w:rPr>
          <w:i/>
          <w:iCs/>
          <w:sz w:val="20"/>
          <w:szCs w:val="20"/>
          <w:lang w:val="fr-FR"/>
        </w:rPr>
        <w:t>Figure 19 : L'entité temporelle A termine avant le début de l'entité temporelle B. Ici, A est plus court que B.</w:t>
      </w:r>
      <w:commentRangeEnd w:id="581"/>
      <w:r>
        <w:rPr>
          <w:rStyle w:val="CommentReference"/>
        </w:rPr>
        <w:commentReference w:id="581"/>
      </w:r>
    </w:p>
    <w:p w14:paraId="793876E1" w14:textId="77777777" w:rsidR="0084489F" w:rsidRDefault="00110FE6">
      <w:pPr>
        <w:pStyle w:val="BodyText"/>
      </w:pPr>
      <w:r>
        <w:rPr>
          <w:b/>
          <w:bCs/>
        </w:rPr>
        <w:t>Exemples</w:t>
      </w:r>
    </w:p>
    <w:p w14:paraId="06358F80" w14:textId="073624BE" w:rsidR="0084489F" w:rsidRDefault="00110FE6" w:rsidP="00806324">
      <w:pPr>
        <w:numPr>
          <w:ilvl w:val="0"/>
          <w:numId w:val="286"/>
        </w:numPr>
      </w:pPr>
      <w:r w:rsidRPr="1B9E7434">
        <w:rPr>
          <w:lang w:val="fr-FR"/>
        </w:rPr>
        <w:t>Gisle prenant ses fonctions d'évêque de Linköping en 1139 EC (</w:t>
      </w:r>
      <w:r w:rsidRPr="1B9E7434">
        <w:rPr>
          <w:rStyle w:val="VerbatimChar"/>
          <w:lang w:val="fr-FR"/>
        </w:rPr>
        <w:t>E7_Activité</w:t>
      </w:r>
      <w:r w:rsidRPr="1B9E7434">
        <w:rPr>
          <w:lang w:val="fr-FR"/>
        </w:rPr>
        <w:t>) se termine avant le début de (</w:t>
      </w:r>
      <w:r w:rsidRPr="1B9E7434">
        <w:rPr>
          <w:rStyle w:val="VerbatimChar"/>
          <w:lang w:val="fr-FR"/>
        </w:rPr>
        <w:t>P183_se_termine_avant_le_début_de</w:t>
      </w:r>
      <w:r w:rsidRPr="1B9E7434">
        <w:rPr>
          <w:lang w:val="fr-FR"/>
        </w:rPr>
        <w:t xml:space="preserve">) la composition de la saga </w:t>
      </w:r>
      <w:r w:rsidRPr="1B9E7434">
        <w:rPr>
          <w:i/>
          <w:iCs/>
          <w:lang w:val="fr-FR"/>
        </w:rPr>
        <w:t>Guta</w:t>
      </w:r>
      <w:r w:rsidRPr="1B9E7434">
        <w:rPr>
          <w:lang w:val="fr-FR"/>
        </w:rPr>
        <w:t xml:space="preserve"> (</w:t>
      </w:r>
      <w:r w:rsidRPr="1B9E7434">
        <w:rPr>
          <w:rStyle w:val="VerbatimChar"/>
          <w:lang w:val="fr-FR"/>
        </w:rPr>
        <w:t>E65_Création</w:t>
      </w:r>
      <w:r w:rsidRPr="1B9E7434">
        <w:rPr>
          <w:lang w:val="fr-FR"/>
        </w:rPr>
        <w:t>) (Peel, 1999)</w:t>
      </w:r>
    </w:p>
    <w:p w14:paraId="4FCEDB6B" w14:textId="77777777" w:rsidR="0084489F" w:rsidRDefault="00110FE6" w:rsidP="00806324">
      <w:pPr>
        <w:numPr>
          <w:ilvl w:val="0"/>
          <w:numId w:val="286"/>
        </w:numPr>
      </w:pPr>
      <w:r>
        <w:t>Troie VII (</w:t>
      </w:r>
      <w:r>
        <w:rPr>
          <w:rStyle w:val="VerbatimChar"/>
        </w:rPr>
        <w:t>E4_Période</w:t>
      </w:r>
      <w:r>
        <w:t>) se termine avant le début de (</w:t>
      </w:r>
      <w:r>
        <w:rPr>
          <w:rStyle w:val="VerbatimChar"/>
        </w:rPr>
        <w:t>P183_se_termine_avant_le_début_de</w:t>
      </w:r>
      <w:r>
        <w:t>) Troie VIII (</w:t>
      </w:r>
      <w:r>
        <w:rPr>
          <w:rStyle w:val="VerbatimChar"/>
        </w:rPr>
        <w:t>E4_Période</w:t>
      </w:r>
      <w:r>
        <w:t>) [inhabitée depuis environ 200 ans]</w:t>
      </w:r>
    </w:p>
    <w:p w14:paraId="4DC4815F" w14:textId="2281D66E" w:rsidR="0084489F" w:rsidRDefault="00110FE6" w:rsidP="00806324">
      <w:pPr>
        <w:numPr>
          <w:ilvl w:val="0"/>
          <w:numId w:val="286"/>
        </w:numPr>
      </w:pPr>
      <w:r w:rsidRPr="1B9E7434">
        <w:rPr>
          <w:lang w:val="fr-FR"/>
        </w:rPr>
        <w:t>L'usage du quatrième tombeau du groupe de Nikitopoulos à Nihoria durant les périodes helladiques moyenne (HM) et ancienne (HA) (</w:t>
      </w:r>
      <w:r w:rsidRPr="1B9E7434">
        <w:rPr>
          <w:rStyle w:val="VerbatimChar"/>
          <w:lang w:val="fr-FR"/>
        </w:rPr>
        <w:t>E4_Période</w:t>
      </w:r>
      <w:r w:rsidRPr="1B9E7434">
        <w:rPr>
          <w:lang w:val="fr-FR"/>
        </w:rPr>
        <w:t>) se termine avant le début de (</w:t>
      </w:r>
      <w:r w:rsidRPr="1B9E7434">
        <w:rPr>
          <w:rStyle w:val="VerbatimChar"/>
          <w:lang w:val="fr-FR"/>
        </w:rPr>
        <w:t>P183_se_termine_avant_le_début_de</w:t>
      </w:r>
      <w:r w:rsidRPr="1B9E7434">
        <w:rPr>
          <w:lang w:val="fr-FR"/>
        </w:rPr>
        <w:t>) la réutilisation du tombeau du groupe de Nikitopoulos durant la période helladique ancienne (HA III-A) (</w:t>
      </w:r>
      <w:r w:rsidRPr="1B9E7434">
        <w:rPr>
          <w:rStyle w:val="VerbatimChar"/>
          <w:lang w:val="fr-FR"/>
        </w:rPr>
        <w:t>E4_Période</w:t>
      </w:r>
      <w:r w:rsidRPr="1B9E7434">
        <w:rPr>
          <w:lang w:val="fr-FR"/>
        </w:rPr>
        <w:t xml:space="preserve">) [« Des six tombes excavées du groupe de Nikitopoulos [...] les trouvailles de la quatrième datent des périodes helladique moyenne II (HM II) ou helladique moyenne III (HM III) à helladique ancienne I (HA I) à l'exception des trouvailles matérielles au nord qui datent uniformément de la seconde période helladique ancienne A2 (HA II-A2) et de l'aiguière trouvée au centre du sol qui date de la seconde période helladique ancienne A1 (HA II-A1). [...] Les preuves conservées indiquent clairement un usage entre la troisième période helladique moyenne (HM III) et la première période helladique ancienne (HA I), suivi par une période de réutilisation durant la troisième période helladique ancienne (HA III-A), ce qui s'aligne avec les trouvailles dans des sites architecturalement similaires tels que </w:t>
      </w:r>
      <w:r w:rsidRPr="1B9E7434">
        <w:rPr>
          <w:i/>
          <w:iCs/>
          <w:lang w:val="fr-FR"/>
        </w:rPr>
        <w:t>13:Kamínia</w:t>
      </w:r>
      <w:r w:rsidRPr="1B9E7434">
        <w:rPr>
          <w:lang w:val="fr-FR"/>
        </w:rPr>
        <w:t xml:space="preserve"> et </w:t>
      </w:r>
      <w:r w:rsidRPr="1B9E7434">
        <w:rPr>
          <w:i/>
          <w:iCs/>
          <w:lang w:val="fr-FR"/>
        </w:rPr>
        <w:t>10: Gouvalári</w:t>
      </w:r>
      <w:r w:rsidRPr="1B9E7434">
        <w:rPr>
          <w:lang w:val="fr-FR"/>
        </w:rPr>
        <w:t> »] (Boyd, 2002).</w:t>
      </w:r>
    </w:p>
    <w:p w14:paraId="06A3E9C4" w14:textId="77777777" w:rsidR="0084489F" w:rsidRDefault="00110FE6">
      <w:pPr>
        <w:pStyle w:val="FirstParagraph"/>
      </w:pPr>
      <w:r>
        <w:rPr>
          <w:b/>
          <w:bCs/>
        </w:rPr>
        <w:t>Logique</w:t>
      </w:r>
    </w:p>
    <w:p w14:paraId="594BA5EB" w14:textId="77777777" w:rsidR="0084489F" w:rsidRDefault="00110FE6">
      <w:pPr>
        <w:pStyle w:val="BodyText"/>
      </w:pPr>
      <w:r w:rsidRPr="1B9E7434">
        <w:rPr>
          <w:lang w:val="fr-FR"/>
        </w:rPr>
        <w:t>P183(x,y) ⇒ E2(x)</w:t>
      </w:r>
    </w:p>
    <w:p w14:paraId="46291E88" w14:textId="77777777" w:rsidR="0084489F" w:rsidRDefault="00110FE6">
      <w:pPr>
        <w:pStyle w:val="BodyText"/>
      </w:pPr>
      <w:r w:rsidRPr="1B9E7434">
        <w:rPr>
          <w:lang w:val="fr-FR"/>
        </w:rPr>
        <w:t>P183(x,y) ⇒ E2(y)</w:t>
      </w:r>
    </w:p>
    <w:p w14:paraId="32853268" w14:textId="77777777" w:rsidR="0084489F" w:rsidRDefault="00110FE6">
      <w:pPr>
        <w:pStyle w:val="BodyText"/>
      </w:pPr>
      <w:r w:rsidRPr="1B9E7434">
        <w:rPr>
          <w:lang w:val="fr-FR"/>
        </w:rPr>
        <w:t>P183(x,y) ⇒ P182(x,y)</w:t>
      </w:r>
    </w:p>
    <w:p w14:paraId="3AEB81F2" w14:textId="77777777" w:rsidR="0084489F" w:rsidRDefault="00110FE6">
      <w:pPr>
        <w:pStyle w:val="BodyText"/>
      </w:pPr>
      <w:r w:rsidRPr="1B9E7434">
        <w:rPr>
          <w:lang w:val="fr-FR"/>
        </w:rPr>
        <w:t>[P183(x,y) ∧ P183(y,z)] ⇒ P183(x,z)</w:t>
      </w:r>
    </w:p>
    <w:p w14:paraId="77E4E34C" w14:textId="77777777" w:rsidR="0084489F" w:rsidRDefault="00110FE6">
      <w:pPr>
        <w:pStyle w:val="BodyText"/>
      </w:pPr>
      <w:r w:rsidRPr="1B9E7434">
        <w:rPr>
          <w:lang w:val="fr-FR"/>
        </w:rPr>
        <w:t>P183(x,y) ⇒ ¬P183(y,x)</w:t>
      </w:r>
    </w:p>
    <w:p w14:paraId="22F0D844" w14:textId="77777777" w:rsidR="0084489F" w:rsidRDefault="00110FE6">
      <w:pPr>
        <w:pStyle w:val="BodyText"/>
      </w:pPr>
      <w:r>
        <w:rPr>
          <w:b/>
          <w:bCs/>
        </w:rPr>
        <w:t>Propriétés</w:t>
      </w:r>
    </w:p>
    <w:p w14:paraId="0CA573B6" w14:textId="77777777" w:rsidR="0084489F" w:rsidRDefault="00110FE6">
      <w:pPr>
        <w:pStyle w:val="BlockText"/>
      </w:pPr>
      <w:r>
        <w:rPr>
          <w:b/>
          <w:bCs/>
          <w:i/>
          <w:iCs/>
        </w:rPr>
        <w:t>Note de traduction</w:t>
      </w:r>
    </w:p>
    <w:p w14:paraId="4254B9C6" w14:textId="77777777" w:rsidR="0084489F" w:rsidRDefault="00110FE6">
      <w:pPr>
        <w:pStyle w:val="BlockText"/>
      </w:pPr>
      <w:r>
        <w:rPr>
          <w:b/>
          <w:bCs/>
          <w:i/>
          <w:iCs/>
        </w:rPr>
        <w:t>Références</w:t>
      </w:r>
    </w:p>
    <w:p w14:paraId="4767C4A9" w14:textId="77777777" w:rsidR="0084489F" w:rsidRDefault="00110FE6">
      <w:pPr>
        <w:pStyle w:val="BlockText"/>
      </w:pPr>
      <w:r>
        <w:t xml:space="preserve">Wikipédia. « Algèbre des intervalles d’Allen ». Dans </w:t>
      </w:r>
      <w:r>
        <w:rPr>
          <w:i/>
          <w:iCs/>
        </w:rPr>
        <w:t>Wikipédia</w:t>
      </w:r>
      <w:r>
        <w:t xml:space="preserve">. </w:t>
      </w:r>
      <w:r w:rsidRPr="008C0D99">
        <w:rPr>
          <w:lang w:val="en-CA"/>
        </w:rPr>
        <w:t>San Francisco, US-CA: Wikipédia, 14 janvier 2021.</w:t>
      </w:r>
      <w:hyperlink r:id="rId319">
        <w:r w:rsidRPr="008C0D99">
          <w:rPr>
            <w:rStyle w:val="Hyperlink"/>
            <w:lang w:val="en-CA"/>
          </w:rPr>
          <w:t xml:space="preserve"> </w:t>
        </w:r>
      </w:hyperlink>
      <w:hyperlink r:id="rId320">
        <w:r>
          <w:rPr>
            <w:rStyle w:val="Hyperlink"/>
          </w:rPr>
          <w:t>https://fr.wikipedia.org/wiki/Alg%C3%A8bre_des_intervalles_d%27Allen</w:t>
        </w:r>
      </w:hyperlink>
      <w:r>
        <w:t>.</w:t>
      </w:r>
    </w:p>
    <w:p w14:paraId="36E46727" w14:textId="77777777" w:rsidR="000B7F5F" w:rsidRPr="000B7F5F" w:rsidRDefault="000B7F5F" w:rsidP="000B7F5F">
      <w:pPr>
        <w:pStyle w:val="BodyText"/>
      </w:pPr>
    </w:p>
    <w:p w14:paraId="72F0582A" w14:textId="77777777" w:rsidR="0084489F" w:rsidRDefault="00110FE6">
      <w:pPr>
        <w:pStyle w:val="Heading2"/>
      </w:pPr>
      <w:bookmarkStart w:id="582" w:name="_Toc176864665"/>
      <w:bookmarkStart w:id="583" w:name="X39d6b7401a22e1fa22d8386e0c654a5df518378"/>
      <w:bookmarkEnd w:id="579"/>
      <w:r>
        <w:t>P184 se termine avant ou au moment de la fin de (se termine au moment de ou après la fin de)</w:t>
      </w:r>
      <w:bookmarkEnd w:id="582"/>
    </w:p>
    <w:p w14:paraId="09733C1F" w14:textId="77777777" w:rsidR="0084489F" w:rsidRDefault="00110FE6">
      <w:pPr>
        <w:pStyle w:val="FirstParagraph"/>
      </w:pPr>
      <w:r>
        <w:rPr>
          <w:b/>
          <w:bCs/>
        </w:rPr>
        <w:t>Domaine</w:t>
      </w:r>
    </w:p>
    <w:p w14:paraId="24D6244A" w14:textId="77777777" w:rsidR="0084489F" w:rsidRDefault="00110FE6">
      <w:pPr>
        <w:pStyle w:val="BodyText"/>
      </w:pPr>
      <w:r>
        <w:rPr>
          <w:rStyle w:val="VerbatimChar"/>
        </w:rPr>
        <w:t>E2_Entité_temporelle</w:t>
      </w:r>
    </w:p>
    <w:p w14:paraId="463AF91C" w14:textId="77777777" w:rsidR="0084489F" w:rsidRDefault="00110FE6">
      <w:pPr>
        <w:pStyle w:val="BodyText"/>
      </w:pPr>
      <w:r>
        <w:rPr>
          <w:b/>
          <w:bCs/>
        </w:rPr>
        <w:t>Portée</w:t>
      </w:r>
    </w:p>
    <w:p w14:paraId="5F7372EC" w14:textId="77777777" w:rsidR="0084489F" w:rsidRDefault="00110FE6">
      <w:pPr>
        <w:pStyle w:val="BodyText"/>
      </w:pPr>
      <w:r>
        <w:rPr>
          <w:rStyle w:val="VerbatimChar"/>
        </w:rPr>
        <w:t>E2_Entité_temporelle</w:t>
      </w:r>
    </w:p>
    <w:p w14:paraId="6B0CBA13" w14:textId="77777777" w:rsidR="0084489F" w:rsidRDefault="00110FE6">
      <w:pPr>
        <w:pStyle w:val="BodyText"/>
      </w:pPr>
      <w:r>
        <w:rPr>
          <w:b/>
          <w:bCs/>
        </w:rPr>
        <w:t>Sous-propriété de</w:t>
      </w:r>
    </w:p>
    <w:p w14:paraId="624B4BC8"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P174_commence_avant_la_fin_de (se_termine_après_le_début_de)</w:t>
      </w:r>
      <w:r w:rsidRPr="1B9E7434">
        <w:rPr>
          <w:lang w:val="fr-FR"/>
        </w:rPr>
        <w:t xml:space="preserve"> : </w:t>
      </w:r>
      <w:r w:rsidRPr="1B9E7434">
        <w:rPr>
          <w:rStyle w:val="VerbatimChar"/>
          <w:lang w:val="fr-FR"/>
        </w:rPr>
        <w:t>E2_Entité_temporelle</w:t>
      </w:r>
    </w:p>
    <w:p w14:paraId="7DA7329C" w14:textId="77777777" w:rsidR="0084489F" w:rsidRDefault="00110FE6">
      <w:pPr>
        <w:pStyle w:val="BodyText"/>
      </w:pPr>
      <w:r>
        <w:rPr>
          <w:b/>
          <w:bCs/>
        </w:rPr>
        <w:t>Super-propriété de</w:t>
      </w:r>
    </w:p>
    <w:p w14:paraId="124D8DA6"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P185_se_termine_avant_la_fin_de (se_termine_après_la_fin_de)</w:t>
      </w:r>
      <w:r w:rsidRPr="1B9E7434">
        <w:rPr>
          <w:lang w:val="fr-FR"/>
        </w:rPr>
        <w:t xml:space="preserve"> : </w:t>
      </w:r>
      <w:r w:rsidRPr="1B9E7434">
        <w:rPr>
          <w:rStyle w:val="VerbatimChar"/>
          <w:lang w:val="fr-FR"/>
        </w:rPr>
        <w:t>E2_Entité_temporelle</w:t>
      </w:r>
    </w:p>
    <w:p w14:paraId="443FE043" w14:textId="77777777" w:rsidR="0084489F" w:rsidRDefault="00110FE6" w:rsidP="0002044A">
      <w:pPr>
        <w:pStyle w:val="BodyText"/>
        <w:keepNext/>
      </w:pPr>
      <w:r>
        <w:rPr>
          <w:b/>
          <w:bCs/>
        </w:rPr>
        <w:t>Quantification</w:t>
      </w:r>
    </w:p>
    <w:p w14:paraId="618B44B4" w14:textId="77777777" w:rsidR="0084489F" w:rsidRDefault="00110FE6" w:rsidP="0002044A">
      <w:pPr>
        <w:pStyle w:val="BodyText"/>
        <w:keepNext/>
      </w:pPr>
      <w:r w:rsidRPr="1B9E7434">
        <w:rPr>
          <w:lang w:val="fr-FR"/>
        </w:rPr>
        <w:t>plusieurs à plusieurs (0,n:0,n)</w:t>
      </w:r>
    </w:p>
    <w:p w14:paraId="36D7897A" w14:textId="77777777" w:rsidR="0084489F" w:rsidRDefault="00110FE6">
      <w:pPr>
        <w:pStyle w:val="BodyText"/>
      </w:pPr>
      <w:r>
        <w:rPr>
          <w:b/>
          <w:bCs/>
        </w:rPr>
        <w:t>Note d’application</w:t>
      </w:r>
    </w:p>
    <w:p w14:paraId="05C1F03B" w14:textId="77777777" w:rsidR="0084489F" w:rsidRDefault="00110FE6">
      <w:pPr>
        <w:pStyle w:val="BodyText"/>
      </w:pPr>
      <w:r>
        <w:t xml:space="preserve">Cette propriété précise que l’étendue temporelle de l’instance du domaine (A) de </w:t>
      </w:r>
      <w:r>
        <w:rPr>
          <w:rStyle w:val="VerbatimChar"/>
        </w:rPr>
        <w:t>E2_Entité_temporelle</w:t>
      </w:r>
      <w:r>
        <w:t xml:space="preserve"> se termine avant ou au moment de la fin de l’instance de la portée (B) de </w:t>
      </w:r>
      <w:r>
        <w:rPr>
          <w:rStyle w:val="VerbatimChar"/>
        </w:rPr>
        <w:t>E2_Entité_temporelle</w:t>
      </w:r>
      <w:r>
        <w:t>.</w:t>
      </w:r>
    </w:p>
    <w:p w14:paraId="7C29B1EA" w14:textId="77777777" w:rsidR="0084489F" w:rsidRDefault="00110FE6">
      <w:pPr>
        <w:pStyle w:val="BodyText"/>
      </w:pPr>
      <w:r w:rsidRPr="1B9E7434">
        <w:rPr>
          <w:lang w:val="fr-FR"/>
        </w:rPr>
        <w:t>En d’autres termes, si A = [A</w:t>
      </w:r>
      <w:r w:rsidRPr="1B9E7434">
        <w:rPr>
          <w:vertAlign w:val="superscript"/>
          <w:lang w:val="fr-FR"/>
        </w:rPr>
        <w:t>début</w:t>
      </w:r>
      <w:r w:rsidRPr="1B9E7434">
        <w:rPr>
          <w:lang w:val="fr-FR"/>
        </w:rPr>
        <w:t>, A</w:t>
      </w:r>
      <w:r w:rsidRPr="1B9E7434">
        <w:rPr>
          <w:vertAlign w:val="superscript"/>
          <w:lang w:val="fr-FR"/>
        </w:rPr>
        <w:t>fin</w:t>
      </w:r>
      <w:r w:rsidRPr="1B9E7434">
        <w:rPr>
          <w:lang w:val="fr-FR"/>
        </w:rPr>
        <w:t>] et B = [B</w:t>
      </w:r>
      <w:r w:rsidRPr="1B9E7434">
        <w:rPr>
          <w:vertAlign w:val="superscript"/>
          <w:lang w:val="fr-FR"/>
        </w:rPr>
        <w:t>début</w:t>
      </w:r>
      <w:r w:rsidRPr="1B9E7434">
        <w:rPr>
          <w:lang w:val="fr-FR"/>
        </w:rPr>
        <w:t>, B</w:t>
      </w:r>
      <w:r w:rsidRPr="1B9E7434">
        <w:rPr>
          <w:vertAlign w:val="superscript"/>
          <w:lang w:val="fr-FR"/>
        </w:rPr>
        <w:t>fin</w:t>
      </w:r>
      <w:r w:rsidRPr="1B9E7434">
        <w:rPr>
          <w:lang w:val="fr-FR"/>
        </w:rPr>
        <w:t>], alors A</w:t>
      </w:r>
      <w:r w:rsidRPr="1B9E7434">
        <w:rPr>
          <w:vertAlign w:val="superscript"/>
          <w:lang w:val="fr-FR"/>
        </w:rPr>
        <w:t>fin</w:t>
      </w:r>
      <w:r w:rsidRPr="1B9E7434">
        <w:rPr>
          <w:lang w:val="fr-FR"/>
        </w:rPr>
        <w:t xml:space="preserve"> ≤ B</w:t>
      </w:r>
      <w:r w:rsidRPr="1B9E7434">
        <w:rPr>
          <w:vertAlign w:val="superscript"/>
          <w:lang w:val="fr-FR"/>
        </w:rPr>
        <w:t>fin</w:t>
      </w:r>
      <w:r w:rsidRPr="1B9E7434">
        <w:rPr>
          <w:lang w:val="fr-FR"/>
        </w:rPr>
        <w:t xml:space="preserve"> est vrai.</w:t>
      </w:r>
    </w:p>
    <w:p w14:paraId="669B5DD5" w14:textId="77777777" w:rsidR="0084489F" w:rsidRDefault="00110FE6">
      <w:pPr>
        <w:pStyle w:val="BodyText"/>
      </w:pPr>
      <w:r>
        <w:t>Cette propriété fait partie de l’ensemble des propriétés temporelles P173 à P176 et P182 à P185.</w:t>
      </w:r>
    </w:p>
    <w:p w14:paraId="716BB015" w14:textId="77777777" w:rsidR="0084489F" w:rsidRDefault="00110FE6">
      <w:pPr>
        <w:pStyle w:val="BodyText"/>
      </w:pPr>
      <w:r>
        <w:t>Cette propriété correspond à une disjonction (OU logique) des relations définies par l’algèbre des intervalles d’Allen suivantes (Allen, 1983) : {se déroule avant, rencontre, chevauche, termine par, démarre, est égal à, se déroule pendant, termine}.</w:t>
      </w:r>
    </w:p>
    <w:p w14:paraId="4B4F118F" w14:textId="77777777" w:rsidR="0084489F" w:rsidRDefault="00110FE6">
      <w:pPr>
        <w:pStyle w:val="BodyText"/>
      </w:pPr>
      <w:r w:rsidRPr="1B9E7434">
        <w:rPr>
          <w:lang w:val="fr-FR"/>
        </w:rPr>
        <w:t>Cette propriété est irréflexive.</w:t>
      </w:r>
    </w:p>
    <w:p w14:paraId="33618593" w14:textId="77777777" w:rsidR="0084489F" w:rsidRDefault="00110FE6">
      <w:pPr>
        <w:pStyle w:val="BodyText"/>
      </w:pPr>
      <w:r>
        <w:rPr>
          <w:noProof/>
        </w:rPr>
        <w:drawing>
          <wp:inline distT="0" distB="0" distL="0" distR="0" wp14:anchorId="722A8331" wp14:editId="63F7E410">
            <wp:extent cx="6858000" cy="3075436"/>
            <wp:effectExtent l="0" t="0" r="0" b="0"/>
            <wp:docPr id="466" name="Picture" descr="Un diagramme illustre le fonctionnement de la propriété P184_se_termine_avant_ou_au_moment_de_la_fin_de (se_termine_au_moment_ou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67" name="Picture" descr="/Users/trangdang/Documents/CHIN/Work/documentation/cidoc_crm_fr-ca/docs/v7.1.3/figures/Fig_20_FR.png"/>
                    <pic:cNvPicPr>
                      <a:picLocks noChangeAspect="1" noChangeArrowheads="1"/>
                    </pic:cNvPicPr>
                  </pic:nvPicPr>
                  <pic:blipFill>
                    <a:blip r:embed="rId321"/>
                    <a:stretch>
                      <a:fillRect/>
                    </a:stretch>
                  </pic:blipFill>
                  <pic:spPr bwMode="auto">
                    <a:xfrm>
                      <a:off x="0" y="0"/>
                      <a:ext cx="6858000" cy="3075436"/>
                    </a:xfrm>
                    <a:prstGeom prst="rect">
                      <a:avLst/>
                    </a:prstGeom>
                    <a:noFill/>
                    <a:ln w="9525">
                      <a:noFill/>
                      <a:headEnd/>
                      <a:tailEnd/>
                    </a:ln>
                  </pic:spPr>
                </pic:pic>
              </a:graphicData>
            </a:graphic>
          </wp:inline>
        </w:drawing>
      </w:r>
    </w:p>
    <w:p w14:paraId="3F4E1E16" w14:textId="77777777" w:rsidR="0084489F" w:rsidRPr="0002044A" w:rsidRDefault="00110FE6" w:rsidP="1B9E7434">
      <w:pPr>
        <w:pStyle w:val="BodyText"/>
        <w:rPr>
          <w:sz w:val="20"/>
          <w:szCs w:val="20"/>
          <w:lang w:val="fr-FR"/>
        </w:rPr>
      </w:pPr>
      <w:commentRangeStart w:id="584"/>
      <w:r w:rsidRPr="1B9E7434">
        <w:rPr>
          <w:i/>
          <w:iCs/>
          <w:sz w:val="20"/>
          <w:szCs w:val="20"/>
          <w:lang w:val="fr-FR"/>
        </w:rPr>
        <w:t>Figure 20 : L'entité temporelle A termine avant ou au moment de la fin de l'entité temporelle B. Ici, A est plus long que B.</w:t>
      </w:r>
      <w:commentRangeEnd w:id="584"/>
      <w:r>
        <w:rPr>
          <w:rStyle w:val="CommentReference"/>
        </w:rPr>
        <w:commentReference w:id="584"/>
      </w:r>
    </w:p>
    <w:p w14:paraId="32E508FC" w14:textId="77777777" w:rsidR="0084489F" w:rsidRDefault="0084489F">
      <w:pPr>
        <w:pStyle w:val="BodyText"/>
      </w:pPr>
    </w:p>
    <w:p w14:paraId="179680F8" w14:textId="77777777" w:rsidR="0084489F" w:rsidRDefault="00110FE6">
      <w:pPr>
        <w:pStyle w:val="BodyText"/>
      </w:pPr>
      <w:r>
        <w:rPr>
          <w:noProof/>
        </w:rPr>
        <w:drawing>
          <wp:inline distT="0" distB="0" distL="0" distR="0" wp14:anchorId="37F51DFE" wp14:editId="518C6D7E">
            <wp:extent cx="6858000" cy="3025913"/>
            <wp:effectExtent l="0" t="0" r="0" b="0"/>
            <wp:docPr id="469" name="Picture" descr="Un diagramme illustre le fonctionnement de la propriété P184_se_termine_avant_ou_au_moment_de_la_fin_de (se_termine_au_moment_ou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70" name="Picture" descr="/Users/trangdang/Documents/CHIN/Work/documentation/cidoc_crm_fr-ca/docs/v7.1.3/figures/Fig_21_FR.png"/>
                    <pic:cNvPicPr>
                      <a:picLocks noChangeAspect="1" noChangeArrowheads="1"/>
                    </pic:cNvPicPr>
                  </pic:nvPicPr>
                  <pic:blipFill>
                    <a:blip r:embed="rId322"/>
                    <a:stretch>
                      <a:fillRect/>
                    </a:stretch>
                  </pic:blipFill>
                  <pic:spPr bwMode="auto">
                    <a:xfrm>
                      <a:off x="0" y="0"/>
                      <a:ext cx="6858000" cy="3025913"/>
                    </a:xfrm>
                    <a:prstGeom prst="rect">
                      <a:avLst/>
                    </a:prstGeom>
                    <a:noFill/>
                    <a:ln w="9525">
                      <a:noFill/>
                      <a:headEnd/>
                      <a:tailEnd/>
                    </a:ln>
                  </pic:spPr>
                </pic:pic>
              </a:graphicData>
            </a:graphic>
          </wp:inline>
        </w:drawing>
      </w:r>
    </w:p>
    <w:p w14:paraId="03DE6045" w14:textId="77777777" w:rsidR="0084489F" w:rsidRPr="0002044A" w:rsidRDefault="00110FE6" w:rsidP="1B9E7434">
      <w:pPr>
        <w:pStyle w:val="BodyText"/>
        <w:rPr>
          <w:sz w:val="20"/>
          <w:szCs w:val="20"/>
          <w:lang w:val="fr-FR"/>
        </w:rPr>
      </w:pPr>
      <w:commentRangeStart w:id="585"/>
      <w:r w:rsidRPr="1B9E7434">
        <w:rPr>
          <w:i/>
          <w:iCs/>
          <w:sz w:val="20"/>
          <w:szCs w:val="20"/>
          <w:lang w:val="fr-FR"/>
        </w:rPr>
        <w:t>Figure 21 : L'entité temporelle A termine avant ou au moment de la fin de l'entité temporelle B. Ici, A est plus court que B.</w:t>
      </w:r>
      <w:commentRangeEnd w:id="585"/>
      <w:r>
        <w:rPr>
          <w:rStyle w:val="CommentReference"/>
        </w:rPr>
        <w:commentReference w:id="585"/>
      </w:r>
    </w:p>
    <w:p w14:paraId="051FF70F" w14:textId="77777777" w:rsidR="0084489F" w:rsidRDefault="00110FE6">
      <w:pPr>
        <w:pStyle w:val="BodyText"/>
      </w:pPr>
      <w:r>
        <w:rPr>
          <w:b/>
          <w:bCs/>
        </w:rPr>
        <w:t>Exemples</w:t>
      </w:r>
    </w:p>
    <w:p w14:paraId="3655B292" w14:textId="77777777" w:rsidR="0084489F" w:rsidRDefault="00110FE6" w:rsidP="00806324">
      <w:pPr>
        <w:numPr>
          <w:ilvl w:val="0"/>
          <w:numId w:val="287"/>
        </w:numPr>
      </w:pPr>
      <w:r>
        <w:t>Le règne du roi Harold II (</w:t>
      </w:r>
      <w:r>
        <w:rPr>
          <w:rStyle w:val="VerbatimChar"/>
        </w:rPr>
        <w:t>E4_Période</w:t>
      </w:r>
      <w:r>
        <w:t>) se termine avant ou au moment de la fin (</w:t>
      </w:r>
      <w:r>
        <w:rPr>
          <w:rStyle w:val="VerbatimChar"/>
        </w:rPr>
        <w:t>P184_se_termine_avant_ou_au_moment_de_la_fin_de</w:t>
      </w:r>
      <w:r>
        <w:t>) de la bataille de Hastings (</w:t>
      </w:r>
      <w:r>
        <w:rPr>
          <w:rStyle w:val="VerbatimChar"/>
        </w:rPr>
        <w:t>E7_Activité</w:t>
      </w:r>
      <w:r>
        <w:t>) (Wikipédia 2022a)</w:t>
      </w:r>
    </w:p>
    <w:p w14:paraId="10B066C1" w14:textId="77777777" w:rsidR="0084489F" w:rsidRDefault="00110FE6">
      <w:pPr>
        <w:pStyle w:val="FirstParagraph"/>
      </w:pPr>
      <w:r>
        <w:rPr>
          <w:b/>
          <w:bCs/>
        </w:rPr>
        <w:t>Logique</w:t>
      </w:r>
    </w:p>
    <w:p w14:paraId="5A62BA2D" w14:textId="77777777" w:rsidR="0084489F" w:rsidRDefault="00110FE6">
      <w:pPr>
        <w:pStyle w:val="BodyText"/>
      </w:pPr>
      <w:r w:rsidRPr="1B9E7434">
        <w:rPr>
          <w:lang w:val="fr-FR"/>
        </w:rPr>
        <w:t>P184(x,y) ⇒ E2(x)</w:t>
      </w:r>
    </w:p>
    <w:p w14:paraId="188D35CE" w14:textId="77777777" w:rsidR="0084489F" w:rsidRDefault="00110FE6">
      <w:pPr>
        <w:pStyle w:val="BodyText"/>
      </w:pPr>
      <w:r w:rsidRPr="1B9E7434">
        <w:rPr>
          <w:lang w:val="fr-FR"/>
        </w:rPr>
        <w:t>P184(x,y) ⇒ E2(y)</w:t>
      </w:r>
    </w:p>
    <w:p w14:paraId="7C55D10F" w14:textId="77777777" w:rsidR="0084489F" w:rsidRDefault="00110FE6">
      <w:pPr>
        <w:pStyle w:val="BodyText"/>
      </w:pPr>
      <w:r w:rsidRPr="1B9E7434">
        <w:rPr>
          <w:lang w:val="fr-FR"/>
        </w:rPr>
        <w:t>P184(x,y) ⇒ P174(x,y)</w:t>
      </w:r>
    </w:p>
    <w:p w14:paraId="0342399E" w14:textId="77777777" w:rsidR="0084489F" w:rsidRDefault="00110FE6">
      <w:pPr>
        <w:pStyle w:val="BodyText"/>
      </w:pPr>
      <w:r w:rsidRPr="1B9E7434">
        <w:rPr>
          <w:lang w:val="fr-FR"/>
        </w:rPr>
        <w:t>¬P184(x,x)</w:t>
      </w:r>
    </w:p>
    <w:p w14:paraId="1EA91DF8" w14:textId="77777777" w:rsidR="0084489F" w:rsidRDefault="00110FE6">
      <w:pPr>
        <w:pStyle w:val="BodyText"/>
      </w:pPr>
      <w:r>
        <w:rPr>
          <w:b/>
          <w:bCs/>
        </w:rPr>
        <w:t>Propriétés</w:t>
      </w:r>
    </w:p>
    <w:p w14:paraId="58EF7615" w14:textId="77777777" w:rsidR="0084489F" w:rsidRDefault="00110FE6">
      <w:pPr>
        <w:pStyle w:val="BlockText"/>
      </w:pPr>
      <w:r>
        <w:rPr>
          <w:b/>
          <w:bCs/>
          <w:i/>
          <w:iCs/>
        </w:rPr>
        <w:t>Note de traduction</w:t>
      </w:r>
    </w:p>
    <w:p w14:paraId="7591DCF1" w14:textId="77777777" w:rsidR="0084489F" w:rsidRDefault="00110FE6">
      <w:pPr>
        <w:pStyle w:val="BlockText"/>
      </w:pPr>
      <w:r>
        <w:rPr>
          <w:b/>
          <w:bCs/>
          <w:i/>
          <w:iCs/>
        </w:rPr>
        <w:t>Références</w:t>
      </w:r>
    </w:p>
    <w:p w14:paraId="77D5F72B" w14:textId="77777777" w:rsidR="0084489F" w:rsidRDefault="00110FE6">
      <w:pPr>
        <w:pStyle w:val="BlockText"/>
      </w:pPr>
      <w:r w:rsidRPr="1B9E7434">
        <w:rPr>
          <w:lang w:val="fr-FR"/>
        </w:rPr>
        <w:t xml:space="preserve">Wikipédia. « Algèbre des intervalles d’Allen ». Dans </w:t>
      </w:r>
      <w:r w:rsidRPr="1B9E7434">
        <w:rPr>
          <w:i/>
          <w:iCs/>
          <w:lang w:val="fr-FR"/>
        </w:rPr>
        <w:t>Wikipédia</w:t>
      </w:r>
      <w:r w:rsidRPr="1B9E7434">
        <w:rPr>
          <w:lang w:val="fr-FR"/>
        </w:rPr>
        <w:t>. San Francisco, US-CA: Wikipédia, 14 janvier 2021.</w:t>
      </w:r>
      <w:hyperlink r:id="rId323">
        <w:r w:rsidRPr="1B9E7434">
          <w:rPr>
            <w:rStyle w:val="Hyperlink"/>
            <w:lang w:val="fr-FR"/>
          </w:rPr>
          <w:t xml:space="preserve"> </w:t>
        </w:r>
      </w:hyperlink>
      <w:hyperlink r:id="rId324">
        <w:r w:rsidRPr="1B9E7434">
          <w:rPr>
            <w:rStyle w:val="Hyperlink"/>
            <w:lang w:val="fr-FR"/>
          </w:rPr>
          <w:t>https://fr.wikipedia.org/wiki/Alg%C3%A8bre_des_intervalles_d%27Allen</w:t>
        </w:r>
      </w:hyperlink>
      <w:r w:rsidRPr="1B9E7434">
        <w:rPr>
          <w:lang w:val="fr-FR"/>
        </w:rPr>
        <w:t>.</w:t>
      </w:r>
    </w:p>
    <w:p w14:paraId="28E70FA2" w14:textId="77777777" w:rsidR="000B7F5F" w:rsidRPr="000B7F5F" w:rsidRDefault="000B7F5F" w:rsidP="000B7F5F">
      <w:pPr>
        <w:pStyle w:val="BodyText"/>
      </w:pPr>
    </w:p>
    <w:p w14:paraId="667822EE" w14:textId="77777777" w:rsidR="0084489F" w:rsidRDefault="00110FE6">
      <w:pPr>
        <w:pStyle w:val="Heading2"/>
      </w:pPr>
      <w:bookmarkStart w:id="586" w:name="_Toc176864666"/>
      <w:bookmarkStart w:id="587" w:name="Xc3c206952c0b80224488c6c4e4d0e14e9fbe66c"/>
      <w:bookmarkEnd w:id="583"/>
      <w:r>
        <w:t>P185 se termine avant la fin de (se termine après la fin de)</w:t>
      </w:r>
      <w:bookmarkEnd w:id="586"/>
    </w:p>
    <w:p w14:paraId="29E0FD79" w14:textId="77777777" w:rsidR="0084489F" w:rsidRDefault="00110FE6">
      <w:pPr>
        <w:pStyle w:val="FirstParagraph"/>
      </w:pPr>
      <w:r>
        <w:rPr>
          <w:b/>
          <w:bCs/>
        </w:rPr>
        <w:t>Domaine</w:t>
      </w:r>
    </w:p>
    <w:p w14:paraId="3768CBD9" w14:textId="77777777" w:rsidR="0084489F" w:rsidRDefault="00110FE6">
      <w:pPr>
        <w:pStyle w:val="BodyText"/>
      </w:pPr>
      <w:r>
        <w:rPr>
          <w:rStyle w:val="VerbatimChar"/>
        </w:rPr>
        <w:t>E2_Entité_temporelle</w:t>
      </w:r>
    </w:p>
    <w:p w14:paraId="4A6102D9" w14:textId="77777777" w:rsidR="0084489F" w:rsidRDefault="00110FE6">
      <w:pPr>
        <w:pStyle w:val="BodyText"/>
      </w:pPr>
      <w:r>
        <w:rPr>
          <w:b/>
          <w:bCs/>
        </w:rPr>
        <w:t>Portée</w:t>
      </w:r>
    </w:p>
    <w:p w14:paraId="06B70F75" w14:textId="77777777" w:rsidR="0084489F" w:rsidRDefault="00110FE6">
      <w:pPr>
        <w:pStyle w:val="BodyText"/>
      </w:pPr>
      <w:r>
        <w:rPr>
          <w:rStyle w:val="VerbatimChar"/>
        </w:rPr>
        <w:t>E2_Entité_temporelle</w:t>
      </w:r>
    </w:p>
    <w:p w14:paraId="37D8C010" w14:textId="77777777" w:rsidR="0084489F" w:rsidRDefault="00110FE6" w:rsidP="0002044A">
      <w:pPr>
        <w:pStyle w:val="BodyText"/>
        <w:keepNext/>
      </w:pPr>
      <w:r>
        <w:rPr>
          <w:b/>
          <w:bCs/>
        </w:rPr>
        <w:t>Sous-propriété de</w:t>
      </w:r>
    </w:p>
    <w:p w14:paraId="114D075F" w14:textId="77777777" w:rsidR="0084489F" w:rsidRDefault="00110FE6" w:rsidP="0002044A">
      <w:pPr>
        <w:pStyle w:val="BodyText"/>
        <w:keepNext/>
      </w:pPr>
      <w:r w:rsidRPr="1B9E7434">
        <w:rPr>
          <w:rStyle w:val="VerbatimChar"/>
          <w:lang w:val="fr-FR"/>
        </w:rPr>
        <w:t>E2_Entité_temporelle</w:t>
      </w:r>
      <w:r w:rsidRPr="1B9E7434">
        <w:rPr>
          <w:lang w:val="fr-FR"/>
        </w:rPr>
        <w:t xml:space="preserve">. </w:t>
      </w:r>
      <w:r w:rsidRPr="1B9E7434">
        <w:rPr>
          <w:rStyle w:val="VerbatimChar"/>
          <w:lang w:val="fr-FR"/>
        </w:rPr>
        <w:t>P184_se_termine_avant_ou_au_moment_de_la_fin_de (se_termine_au_moment_ou_après_la_fin_de)</w:t>
      </w:r>
      <w:r w:rsidRPr="1B9E7434">
        <w:rPr>
          <w:lang w:val="fr-FR"/>
        </w:rPr>
        <w:t xml:space="preserve"> : </w:t>
      </w:r>
      <w:r w:rsidRPr="1B9E7434">
        <w:rPr>
          <w:rStyle w:val="VerbatimChar"/>
          <w:lang w:val="fr-FR"/>
        </w:rPr>
        <w:t>E2_Entité_temporelle</w:t>
      </w:r>
    </w:p>
    <w:p w14:paraId="53208E05" w14:textId="77777777" w:rsidR="0084489F" w:rsidRDefault="00110FE6">
      <w:pPr>
        <w:pStyle w:val="BodyText"/>
      </w:pPr>
      <w:r>
        <w:rPr>
          <w:b/>
          <w:bCs/>
        </w:rPr>
        <w:t>Super-propriété de</w:t>
      </w:r>
    </w:p>
    <w:p w14:paraId="22F52CBC" w14:textId="77777777" w:rsidR="0084489F" w:rsidRDefault="00110FE6">
      <w:pPr>
        <w:pStyle w:val="BodyText"/>
      </w:pPr>
      <w:r w:rsidRPr="1B9E7434">
        <w:rPr>
          <w:rStyle w:val="VerbatimChar"/>
          <w:lang w:val="fr-FR"/>
        </w:rPr>
        <w:t>E2_Entité_temporelle</w:t>
      </w:r>
      <w:r w:rsidRPr="1B9E7434">
        <w:rPr>
          <w:lang w:val="fr-FR"/>
        </w:rPr>
        <w:t xml:space="preserve">. </w:t>
      </w:r>
      <w:r w:rsidRPr="1B9E7434">
        <w:rPr>
          <w:rStyle w:val="VerbatimChar"/>
          <w:lang w:val="fr-FR"/>
        </w:rPr>
        <w:t>P182_se_termine_avant_ou_au_moment_du_début_de (commence_après_ou_au_moment_de_la_fin_de)</w:t>
      </w:r>
      <w:r w:rsidRPr="1B9E7434">
        <w:rPr>
          <w:lang w:val="fr-FR"/>
        </w:rPr>
        <w:t xml:space="preserve"> : </w:t>
      </w:r>
      <w:r w:rsidRPr="1B9E7434">
        <w:rPr>
          <w:rStyle w:val="VerbatimChar"/>
          <w:lang w:val="fr-FR"/>
        </w:rPr>
        <w:t>E2_Entité_temporelle</w:t>
      </w:r>
    </w:p>
    <w:p w14:paraId="32C1F6BF" w14:textId="77777777" w:rsidR="0084489F" w:rsidRDefault="00110FE6">
      <w:pPr>
        <w:pStyle w:val="BodyText"/>
      </w:pPr>
      <w:r>
        <w:rPr>
          <w:b/>
          <w:bCs/>
        </w:rPr>
        <w:t>Quantification</w:t>
      </w:r>
    </w:p>
    <w:p w14:paraId="5623DE0B" w14:textId="77777777" w:rsidR="0084489F" w:rsidRDefault="00110FE6">
      <w:pPr>
        <w:pStyle w:val="BodyText"/>
      </w:pPr>
      <w:r w:rsidRPr="1B9E7434">
        <w:rPr>
          <w:lang w:val="fr-FR"/>
        </w:rPr>
        <w:t>plusieurs à plusieurs (0,n:0,n)</w:t>
      </w:r>
    </w:p>
    <w:p w14:paraId="390A31F9" w14:textId="77777777" w:rsidR="0084489F" w:rsidRDefault="00110FE6">
      <w:pPr>
        <w:pStyle w:val="BodyText"/>
      </w:pPr>
      <w:r>
        <w:rPr>
          <w:b/>
          <w:bCs/>
        </w:rPr>
        <w:t>Note d’application</w:t>
      </w:r>
    </w:p>
    <w:p w14:paraId="572BFF76" w14:textId="77777777" w:rsidR="0084489F" w:rsidRDefault="00110FE6">
      <w:pPr>
        <w:pStyle w:val="BodyText"/>
      </w:pPr>
      <w:r>
        <w:t xml:space="preserve">Cette propriété précise que l’étendue temporelle de l’instance du domaine (A) de </w:t>
      </w:r>
      <w:r>
        <w:rPr>
          <w:rStyle w:val="VerbatimChar"/>
        </w:rPr>
        <w:t>E2_Entité_temporelle</w:t>
      </w:r>
      <w:r>
        <w:t xml:space="preserve"> se termine définitivement avant la fin de l’instance de la portée (B) de </w:t>
      </w:r>
      <w:r>
        <w:rPr>
          <w:rStyle w:val="VerbatimChar"/>
        </w:rPr>
        <w:t>E2_Entité_temporelle</w:t>
      </w:r>
      <w:r>
        <w:t>.</w:t>
      </w:r>
    </w:p>
    <w:p w14:paraId="4DF4422F" w14:textId="77777777" w:rsidR="0084489F" w:rsidRDefault="00110FE6">
      <w:pPr>
        <w:pStyle w:val="BodyText"/>
      </w:pPr>
      <w:r w:rsidRPr="1B9E7434">
        <w:rPr>
          <w:lang w:val="fr-FR"/>
        </w:rPr>
        <w:t>En d’autres termes, si A = [A</w:t>
      </w:r>
      <w:r w:rsidRPr="1B9E7434">
        <w:rPr>
          <w:vertAlign w:val="superscript"/>
          <w:lang w:val="fr-FR"/>
        </w:rPr>
        <w:t>début</w:t>
      </w:r>
      <w:r w:rsidRPr="1B9E7434">
        <w:rPr>
          <w:lang w:val="fr-FR"/>
        </w:rPr>
        <w:t>, A</w:t>
      </w:r>
      <w:r w:rsidRPr="1B9E7434">
        <w:rPr>
          <w:vertAlign w:val="superscript"/>
          <w:lang w:val="fr-FR"/>
        </w:rPr>
        <w:t>fin</w:t>
      </w:r>
      <w:r w:rsidRPr="1B9E7434">
        <w:rPr>
          <w:lang w:val="fr-FR"/>
        </w:rPr>
        <w:t>] et B = [B</w:t>
      </w:r>
      <w:r w:rsidRPr="1B9E7434">
        <w:rPr>
          <w:vertAlign w:val="superscript"/>
          <w:lang w:val="fr-FR"/>
        </w:rPr>
        <w:t>début</w:t>
      </w:r>
      <w:r w:rsidRPr="1B9E7434">
        <w:rPr>
          <w:lang w:val="fr-FR"/>
        </w:rPr>
        <w:t>, B</w:t>
      </w:r>
      <w:r w:rsidRPr="1B9E7434">
        <w:rPr>
          <w:vertAlign w:val="superscript"/>
          <w:lang w:val="fr-FR"/>
        </w:rPr>
        <w:t>fin</w:t>
      </w:r>
      <w:r w:rsidRPr="1B9E7434">
        <w:rPr>
          <w:lang w:val="fr-FR"/>
        </w:rPr>
        <w:t>], alors A</w:t>
      </w:r>
      <w:r w:rsidRPr="1B9E7434">
        <w:rPr>
          <w:vertAlign w:val="superscript"/>
          <w:lang w:val="fr-FR"/>
        </w:rPr>
        <w:t>fin</w:t>
      </w:r>
      <w:r w:rsidRPr="1B9E7434">
        <w:rPr>
          <w:lang w:val="fr-FR"/>
        </w:rPr>
        <w:t xml:space="preserve"> &lt; B</w:t>
      </w:r>
      <w:r w:rsidRPr="1B9E7434">
        <w:rPr>
          <w:vertAlign w:val="superscript"/>
          <w:lang w:val="fr-FR"/>
        </w:rPr>
        <w:t>fin</w:t>
      </w:r>
      <w:r w:rsidRPr="1B9E7434">
        <w:rPr>
          <w:lang w:val="fr-FR"/>
        </w:rPr>
        <w:t xml:space="preserve"> est vrai.</w:t>
      </w:r>
    </w:p>
    <w:p w14:paraId="2E9BE9A1" w14:textId="77777777" w:rsidR="0084489F" w:rsidRDefault="00110FE6">
      <w:pPr>
        <w:pStyle w:val="BodyText"/>
      </w:pPr>
      <w:r>
        <w:t>Cette propriété fait partie de l’ensemble des propriétés temporelles P173 à P176 et P182 à P185.</w:t>
      </w:r>
    </w:p>
    <w:p w14:paraId="2E5E9630" w14:textId="77777777" w:rsidR="0084489F" w:rsidRDefault="00110FE6">
      <w:pPr>
        <w:pStyle w:val="BodyText"/>
      </w:pPr>
      <w:r>
        <w:t>Cette propriété correspond à une disjonction (OU logique) des relations définies par l’algèbre des intervalles d’Allen suivantes (Allen, 1983) : {se déroule avant, rencontre, chevauche, démarre, se déroule pendant}.</w:t>
      </w:r>
    </w:p>
    <w:p w14:paraId="7DB47AF6" w14:textId="77777777" w:rsidR="0084489F" w:rsidRDefault="00110FE6">
      <w:pPr>
        <w:pStyle w:val="BodyText"/>
      </w:pPr>
      <w:r>
        <w:t>Cette propriété est transitive et asymétrique.</w:t>
      </w:r>
    </w:p>
    <w:p w14:paraId="0FDE332B" w14:textId="77777777" w:rsidR="0084489F" w:rsidRDefault="00110FE6">
      <w:pPr>
        <w:pStyle w:val="BodyText"/>
      </w:pPr>
      <w:r>
        <w:rPr>
          <w:noProof/>
        </w:rPr>
        <w:drawing>
          <wp:inline distT="0" distB="0" distL="0" distR="0" wp14:anchorId="13515AE9" wp14:editId="331951D8">
            <wp:extent cx="6858000" cy="3349540"/>
            <wp:effectExtent l="0" t="0" r="0" b="0"/>
            <wp:docPr id="473" name="Picture" descr="Un diagramme illustre le fonctionnement de la propriété P185_se_termine_avant_la_fin_de (se_termine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74" name="Picture" descr="/Users/trangdang/Documents/CHIN/Work/documentation/cidoc_crm_fr-ca/docs/v7.1.3/figures/Fig_22_FR.png"/>
                    <pic:cNvPicPr>
                      <a:picLocks noChangeAspect="1" noChangeArrowheads="1"/>
                    </pic:cNvPicPr>
                  </pic:nvPicPr>
                  <pic:blipFill>
                    <a:blip r:embed="rId325"/>
                    <a:stretch>
                      <a:fillRect/>
                    </a:stretch>
                  </pic:blipFill>
                  <pic:spPr bwMode="auto">
                    <a:xfrm>
                      <a:off x="0" y="0"/>
                      <a:ext cx="6858000" cy="3349540"/>
                    </a:xfrm>
                    <a:prstGeom prst="rect">
                      <a:avLst/>
                    </a:prstGeom>
                    <a:noFill/>
                    <a:ln w="9525">
                      <a:noFill/>
                      <a:headEnd/>
                      <a:tailEnd/>
                    </a:ln>
                  </pic:spPr>
                </pic:pic>
              </a:graphicData>
            </a:graphic>
          </wp:inline>
        </w:drawing>
      </w:r>
    </w:p>
    <w:p w14:paraId="5A5DBF94" w14:textId="77777777" w:rsidR="0084489F" w:rsidRPr="0002044A" w:rsidRDefault="00110FE6" w:rsidP="1B9E7434">
      <w:pPr>
        <w:pStyle w:val="BodyText"/>
        <w:rPr>
          <w:sz w:val="20"/>
          <w:szCs w:val="20"/>
          <w:lang w:val="fr-FR"/>
        </w:rPr>
      </w:pPr>
      <w:commentRangeStart w:id="588"/>
      <w:r w:rsidRPr="1B9E7434">
        <w:rPr>
          <w:i/>
          <w:iCs/>
          <w:sz w:val="20"/>
          <w:szCs w:val="20"/>
          <w:lang w:val="fr-FR"/>
        </w:rPr>
        <w:t>Figure 22 : L'entité temporelle A termine avant la fin de l'entité temporelle B. Ici, A est plus long que B.</w:t>
      </w:r>
      <w:commentRangeEnd w:id="588"/>
      <w:r>
        <w:rPr>
          <w:rStyle w:val="CommentReference"/>
        </w:rPr>
        <w:commentReference w:id="588"/>
      </w:r>
    </w:p>
    <w:p w14:paraId="598B6B21" w14:textId="77777777" w:rsidR="0084489F" w:rsidRDefault="0084489F">
      <w:pPr>
        <w:pStyle w:val="BodyText"/>
      </w:pPr>
    </w:p>
    <w:p w14:paraId="5499AD13" w14:textId="77777777" w:rsidR="0084489F" w:rsidRDefault="00110FE6">
      <w:pPr>
        <w:pStyle w:val="BodyText"/>
      </w:pPr>
      <w:r>
        <w:rPr>
          <w:noProof/>
        </w:rPr>
        <w:drawing>
          <wp:inline distT="0" distB="0" distL="0" distR="0" wp14:anchorId="6D65A3F5" wp14:editId="6F4FDBB2">
            <wp:extent cx="6743700" cy="3479800"/>
            <wp:effectExtent l="0" t="0" r="0" b="0"/>
            <wp:docPr id="476" name="Picture" descr="Un diagramme illustre le fonctionnement de la propriété P185_se_termine_avant_la_fin_de (se_termine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77" name="Picture" descr="/Users/trangdang/Documents/CHIN/Work/documentation/cidoc_crm_fr-ca/docs/v7.1.3/figures/Fig_23_FR.png"/>
                    <pic:cNvPicPr>
                      <a:picLocks noChangeAspect="1" noChangeArrowheads="1"/>
                    </pic:cNvPicPr>
                  </pic:nvPicPr>
                  <pic:blipFill>
                    <a:blip r:embed="rId326"/>
                    <a:stretch>
                      <a:fillRect/>
                    </a:stretch>
                  </pic:blipFill>
                  <pic:spPr bwMode="auto">
                    <a:xfrm>
                      <a:off x="0" y="0"/>
                      <a:ext cx="6743700" cy="3479800"/>
                    </a:xfrm>
                    <a:prstGeom prst="rect">
                      <a:avLst/>
                    </a:prstGeom>
                    <a:noFill/>
                    <a:ln w="9525">
                      <a:noFill/>
                      <a:headEnd/>
                      <a:tailEnd/>
                    </a:ln>
                  </pic:spPr>
                </pic:pic>
              </a:graphicData>
            </a:graphic>
          </wp:inline>
        </w:drawing>
      </w:r>
    </w:p>
    <w:p w14:paraId="269194CF" w14:textId="77777777" w:rsidR="0084489F" w:rsidRPr="0047520B" w:rsidRDefault="00110FE6" w:rsidP="1B9E7434">
      <w:pPr>
        <w:pStyle w:val="BodyText"/>
        <w:rPr>
          <w:sz w:val="20"/>
          <w:szCs w:val="20"/>
          <w:lang w:val="fr-FR"/>
        </w:rPr>
      </w:pPr>
      <w:commentRangeStart w:id="589"/>
      <w:r w:rsidRPr="1B9E7434">
        <w:rPr>
          <w:i/>
          <w:iCs/>
          <w:sz w:val="20"/>
          <w:szCs w:val="20"/>
          <w:lang w:val="fr-FR"/>
        </w:rPr>
        <w:t>Figure 23 : L'entité temporelle A termine avant la fin de l'entité temporelle B. Ici, A est plus court que B.</w:t>
      </w:r>
      <w:commentRangeEnd w:id="589"/>
      <w:r>
        <w:rPr>
          <w:rStyle w:val="CommentReference"/>
        </w:rPr>
        <w:commentReference w:id="589"/>
      </w:r>
    </w:p>
    <w:p w14:paraId="3A069A0C" w14:textId="77777777" w:rsidR="0084489F" w:rsidRDefault="00110FE6">
      <w:pPr>
        <w:pStyle w:val="BodyText"/>
      </w:pPr>
      <w:r>
        <w:rPr>
          <w:b/>
          <w:bCs/>
        </w:rPr>
        <w:t>Exemples</w:t>
      </w:r>
    </w:p>
    <w:p w14:paraId="2A5097D3" w14:textId="0C70439C" w:rsidR="0084489F" w:rsidRDefault="00110FE6" w:rsidP="00806324">
      <w:pPr>
        <w:numPr>
          <w:ilvl w:val="0"/>
          <w:numId w:val="288"/>
        </w:numPr>
      </w:pPr>
      <w:r w:rsidRPr="1B9E7434">
        <w:rPr>
          <w:lang w:val="fr-FR"/>
        </w:rPr>
        <w:t>L'abbaye de Godstow, dans l'Oxfordshire au Royaume-Uni, en tant qu'abbaye fonctionnelle (</w:t>
      </w:r>
      <w:r w:rsidRPr="1B9E7434">
        <w:rPr>
          <w:rStyle w:val="VerbatimChar"/>
          <w:lang w:val="fr-FR"/>
        </w:rPr>
        <w:t>E4_Période</w:t>
      </w:r>
      <w:r w:rsidRPr="1B9E7434">
        <w:rPr>
          <w:lang w:val="fr-FR"/>
        </w:rPr>
        <w:t>) se termine avant la fin du (</w:t>
      </w:r>
      <w:r w:rsidRPr="1B9E7434">
        <w:rPr>
          <w:rStyle w:val="VerbatimChar"/>
          <w:lang w:val="fr-FR"/>
        </w:rPr>
        <w:t>P185_se_termine_avant_la_fin_de</w:t>
      </w:r>
      <w:r w:rsidRPr="1B9E7434">
        <w:rPr>
          <w:lang w:val="fr-FR"/>
        </w:rPr>
        <w:t>) règne de Henry VIII (</w:t>
      </w:r>
      <w:r w:rsidRPr="1B9E7434">
        <w:rPr>
          <w:rStyle w:val="VerbatimChar"/>
          <w:lang w:val="fr-FR"/>
        </w:rPr>
        <w:t>E4_Période</w:t>
      </w:r>
      <w:r w:rsidRPr="1B9E7434">
        <w:rPr>
          <w:lang w:val="fr-FR"/>
        </w:rPr>
        <w:t>)</w:t>
      </w:r>
    </w:p>
    <w:p w14:paraId="70DD4ED8" w14:textId="77777777" w:rsidR="0084489F" w:rsidRDefault="00110FE6">
      <w:pPr>
        <w:pStyle w:val="FirstParagraph"/>
      </w:pPr>
      <w:r>
        <w:rPr>
          <w:b/>
          <w:bCs/>
        </w:rPr>
        <w:t>Logique</w:t>
      </w:r>
    </w:p>
    <w:p w14:paraId="7526A276" w14:textId="77777777" w:rsidR="0084489F" w:rsidRDefault="00110FE6">
      <w:pPr>
        <w:pStyle w:val="BodyText"/>
      </w:pPr>
      <w:r w:rsidRPr="1B9E7434">
        <w:rPr>
          <w:lang w:val="fr-FR"/>
        </w:rPr>
        <w:t>P185(x,y) ⇒ E2(x)</w:t>
      </w:r>
    </w:p>
    <w:p w14:paraId="66337B95" w14:textId="77777777" w:rsidR="0084489F" w:rsidRDefault="00110FE6">
      <w:pPr>
        <w:pStyle w:val="BodyText"/>
      </w:pPr>
      <w:r w:rsidRPr="1B9E7434">
        <w:rPr>
          <w:lang w:val="fr-FR"/>
        </w:rPr>
        <w:t>P185(x,y) ⇒ E2(y)</w:t>
      </w:r>
    </w:p>
    <w:p w14:paraId="6018E090" w14:textId="77777777" w:rsidR="0084489F" w:rsidRDefault="00110FE6">
      <w:pPr>
        <w:pStyle w:val="BodyText"/>
      </w:pPr>
      <w:r w:rsidRPr="1B9E7434">
        <w:rPr>
          <w:lang w:val="fr-FR"/>
        </w:rPr>
        <w:t>P185(x,y) ⇒ P184(x,y)</w:t>
      </w:r>
    </w:p>
    <w:p w14:paraId="356BE18F" w14:textId="77777777" w:rsidR="0084489F" w:rsidRDefault="00110FE6">
      <w:pPr>
        <w:pStyle w:val="BodyText"/>
      </w:pPr>
      <w:r w:rsidRPr="1B9E7434">
        <w:rPr>
          <w:lang w:val="fr-FR"/>
        </w:rPr>
        <w:t>[P185(x,y) ∧ P185(y,z)] ⇒ P185(x,z)P185(x,y) ⇒ ¬P185(y,x)</w:t>
      </w:r>
    </w:p>
    <w:p w14:paraId="06B8FE59" w14:textId="77777777" w:rsidR="0084489F" w:rsidRDefault="00110FE6">
      <w:pPr>
        <w:pStyle w:val="BodyText"/>
      </w:pPr>
      <w:r>
        <w:rPr>
          <w:b/>
          <w:bCs/>
        </w:rPr>
        <w:t>Propriétés</w:t>
      </w:r>
    </w:p>
    <w:p w14:paraId="0202562E" w14:textId="77777777" w:rsidR="0084489F" w:rsidRDefault="00110FE6">
      <w:pPr>
        <w:pStyle w:val="BlockText"/>
      </w:pPr>
      <w:r>
        <w:rPr>
          <w:b/>
          <w:bCs/>
          <w:i/>
          <w:iCs/>
        </w:rPr>
        <w:t>Note de traduction</w:t>
      </w:r>
    </w:p>
    <w:p w14:paraId="2EB0DEE1" w14:textId="77777777" w:rsidR="0084489F" w:rsidRDefault="00110FE6">
      <w:pPr>
        <w:pStyle w:val="BlockText"/>
      </w:pPr>
      <w:r>
        <w:rPr>
          <w:b/>
          <w:bCs/>
          <w:i/>
          <w:iCs/>
        </w:rPr>
        <w:t>Références</w:t>
      </w:r>
    </w:p>
    <w:p w14:paraId="5263321C" w14:textId="77777777" w:rsidR="0084489F" w:rsidRDefault="00110FE6">
      <w:pPr>
        <w:pStyle w:val="BlockText"/>
      </w:pPr>
      <w:r>
        <w:t xml:space="preserve">Wikipédia. « Algèbre des intervalles d’Allen ». Dans </w:t>
      </w:r>
      <w:r>
        <w:rPr>
          <w:i/>
          <w:iCs/>
        </w:rPr>
        <w:t>Wikipédia</w:t>
      </w:r>
      <w:r>
        <w:t xml:space="preserve">. </w:t>
      </w:r>
      <w:r w:rsidRPr="008C0D99">
        <w:rPr>
          <w:lang w:val="en-CA"/>
        </w:rPr>
        <w:t>San Francisco, US-CA: Wikipédia, 14 janvier 2021.</w:t>
      </w:r>
      <w:hyperlink r:id="rId327">
        <w:r w:rsidRPr="008C0D99">
          <w:rPr>
            <w:rStyle w:val="Hyperlink"/>
            <w:lang w:val="en-CA"/>
          </w:rPr>
          <w:t xml:space="preserve"> </w:t>
        </w:r>
      </w:hyperlink>
      <w:hyperlink r:id="rId328">
        <w:r>
          <w:rPr>
            <w:rStyle w:val="Hyperlink"/>
          </w:rPr>
          <w:t>https://fr.wikipedia.org/wiki/Alg%C3%A8bre_des_intervalles_d%27Allen</w:t>
        </w:r>
      </w:hyperlink>
      <w:r>
        <w:t>.</w:t>
      </w:r>
    </w:p>
    <w:p w14:paraId="4AB6B243" w14:textId="77777777" w:rsidR="000B7F5F" w:rsidRPr="000B7F5F" w:rsidRDefault="000B7F5F" w:rsidP="000B7F5F">
      <w:pPr>
        <w:pStyle w:val="BodyText"/>
      </w:pPr>
    </w:p>
    <w:p w14:paraId="42863AE2" w14:textId="77777777" w:rsidR="0084489F" w:rsidRDefault="00110FE6">
      <w:pPr>
        <w:pStyle w:val="Heading2"/>
      </w:pPr>
      <w:bookmarkStart w:id="590" w:name="_Toc176864667"/>
      <w:bookmarkStart w:id="591" w:name="X11e61e6f8751689395f13bdd23ebb43656582f6"/>
      <w:bookmarkEnd w:id="587"/>
      <w:r>
        <w:t>P186 a produit la chose du type (est produit par)</w:t>
      </w:r>
      <w:bookmarkEnd w:id="590"/>
    </w:p>
    <w:p w14:paraId="328DBA5B" w14:textId="77777777" w:rsidR="0084489F" w:rsidRDefault="00110FE6">
      <w:pPr>
        <w:pStyle w:val="FirstParagraph"/>
      </w:pPr>
      <w:r>
        <w:rPr>
          <w:b/>
          <w:bCs/>
        </w:rPr>
        <w:t>Domaine</w:t>
      </w:r>
    </w:p>
    <w:p w14:paraId="02330F20" w14:textId="77777777" w:rsidR="0084489F" w:rsidRDefault="00110FE6">
      <w:pPr>
        <w:pStyle w:val="BodyText"/>
      </w:pPr>
      <w:r>
        <w:rPr>
          <w:rStyle w:val="VerbatimChar"/>
        </w:rPr>
        <w:t>E12_Production</w:t>
      </w:r>
    </w:p>
    <w:p w14:paraId="7BD7FED6" w14:textId="77777777" w:rsidR="0084489F" w:rsidRDefault="00110FE6" w:rsidP="0047520B">
      <w:pPr>
        <w:pStyle w:val="BodyText"/>
        <w:keepNext/>
      </w:pPr>
      <w:r>
        <w:rPr>
          <w:b/>
          <w:bCs/>
        </w:rPr>
        <w:t>Portée</w:t>
      </w:r>
    </w:p>
    <w:p w14:paraId="28584B23" w14:textId="77777777" w:rsidR="0084489F" w:rsidRDefault="00110FE6" w:rsidP="0047520B">
      <w:pPr>
        <w:pStyle w:val="BodyText"/>
        <w:keepNext/>
      </w:pPr>
      <w:r>
        <w:rPr>
          <w:rStyle w:val="VerbatimChar"/>
        </w:rPr>
        <w:t>E99_Modèle_de_produit</w:t>
      </w:r>
    </w:p>
    <w:p w14:paraId="5E473DC7" w14:textId="77777777" w:rsidR="0084489F" w:rsidRDefault="00110FE6">
      <w:pPr>
        <w:pStyle w:val="BodyText"/>
      </w:pPr>
      <w:r>
        <w:rPr>
          <w:b/>
          <w:bCs/>
        </w:rPr>
        <w:t>Sous-propriété de</w:t>
      </w:r>
    </w:p>
    <w:p w14:paraId="6E19E0BE" w14:textId="77777777" w:rsidR="0084489F" w:rsidRDefault="00110FE6">
      <w:pPr>
        <w:pStyle w:val="BodyText"/>
      </w:pPr>
      <w:r>
        <w:rPr>
          <w:b/>
          <w:bCs/>
        </w:rPr>
        <w:t>Super-propriété de</w:t>
      </w:r>
    </w:p>
    <w:p w14:paraId="71CFD6FA" w14:textId="77777777" w:rsidR="0084489F" w:rsidRDefault="00110FE6">
      <w:pPr>
        <w:pStyle w:val="BodyText"/>
      </w:pPr>
      <w:r>
        <w:rPr>
          <w:b/>
          <w:bCs/>
        </w:rPr>
        <w:t>Quantification</w:t>
      </w:r>
    </w:p>
    <w:p w14:paraId="4D771BB2" w14:textId="77777777" w:rsidR="0084489F" w:rsidRDefault="00110FE6">
      <w:pPr>
        <w:pStyle w:val="BodyText"/>
      </w:pPr>
      <w:r w:rsidRPr="1B9E7434">
        <w:rPr>
          <w:lang w:val="fr-FR"/>
        </w:rPr>
        <w:t>plusieurs à plusieurs (0,n:0,n)</w:t>
      </w:r>
    </w:p>
    <w:p w14:paraId="6D6E64A3" w14:textId="77777777" w:rsidR="0084489F" w:rsidRDefault="00110FE6">
      <w:pPr>
        <w:pStyle w:val="BodyText"/>
      </w:pPr>
      <w:r>
        <w:rPr>
          <w:b/>
          <w:bCs/>
        </w:rPr>
        <w:t>Note d’application</w:t>
      </w:r>
    </w:p>
    <w:p w14:paraId="3F17AD69" w14:textId="77777777" w:rsidR="0084489F" w:rsidRDefault="00110FE6">
      <w:pPr>
        <w:pStyle w:val="BodyText"/>
      </w:pPr>
      <w:r>
        <w:t xml:space="preserve">Cette propriété associe une instance de </w:t>
      </w:r>
      <w:r>
        <w:rPr>
          <w:rStyle w:val="VerbatimChar"/>
        </w:rPr>
        <w:t>E12_Production</w:t>
      </w:r>
      <w:r>
        <w:t xml:space="preserve"> avec l’instance de </w:t>
      </w:r>
      <w:r>
        <w:rPr>
          <w:rStyle w:val="VerbatimChar"/>
        </w:rPr>
        <w:t>E99_Modèle_de_produit</w:t>
      </w:r>
      <w:r>
        <w:t xml:space="preserve"> qui identifie le modèle de la chose produite.</w:t>
      </w:r>
    </w:p>
    <w:p w14:paraId="0A647A14" w14:textId="77777777" w:rsidR="0084489F" w:rsidRDefault="00110FE6">
      <w:pPr>
        <w:pStyle w:val="BodyText"/>
      </w:pPr>
      <w:r>
        <w:rPr>
          <w:b/>
          <w:bCs/>
        </w:rPr>
        <w:t>Exemples</w:t>
      </w:r>
    </w:p>
    <w:p w14:paraId="4BABF814" w14:textId="2A3F17A4" w:rsidR="0084489F" w:rsidRDefault="00110FE6" w:rsidP="00806324">
      <w:pPr>
        <w:numPr>
          <w:ilvl w:val="0"/>
          <w:numId w:val="289"/>
        </w:numPr>
      </w:pPr>
      <w:r w:rsidRPr="1B9E7434">
        <w:rPr>
          <w:lang w:val="fr-FR"/>
        </w:rPr>
        <w:t>L’activité de production reliée à la « Standard Limousine Type II » de l’usine Volkswagen entre 1949 et 1953 (</w:t>
      </w:r>
      <w:r w:rsidRPr="1B9E7434">
        <w:rPr>
          <w:rStyle w:val="VerbatimChar"/>
          <w:lang w:val="fr-FR"/>
        </w:rPr>
        <w:t>E12_Production</w:t>
      </w:r>
      <w:r w:rsidRPr="1B9E7434">
        <w:rPr>
          <w:lang w:val="fr-FR"/>
        </w:rPr>
        <w:t>) a produit une chose du type (</w:t>
      </w:r>
      <w:r w:rsidRPr="1B9E7434">
        <w:rPr>
          <w:rStyle w:val="VerbatimChar"/>
          <w:lang w:val="fr-FR"/>
        </w:rPr>
        <w:t>P186_a_produit_la_chose_du_type</w:t>
      </w:r>
      <w:r w:rsidRPr="1B9E7434">
        <w:rPr>
          <w:lang w:val="fr-FR"/>
        </w:rPr>
        <w:t>) Volkswagen Type 11 (Beetle) (</w:t>
      </w:r>
      <w:r w:rsidRPr="1B9E7434">
        <w:rPr>
          <w:rStyle w:val="VerbatimChar"/>
          <w:lang w:val="fr-FR"/>
        </w:rPr>
        <w:t>E99_Modèle_de_produit</w:t>
      </w:r>
      <w:r w:rsidRPr="1B9E7434">
        <w:rPr>
          <w:lang w:val="fr-FR"/>
        </w:rPr>
        <w:t>) (Rieger, 2013)</w:t>
      </w:r>
    </w:p>
    <w:p w14:paraId="1F58F48E" w14:textId="77777777" w:rsidR="0084489F" w:rsidRDefault="00110FE6">
      <w:pPr>
        <w:pStyle w:val="FirstParagraph"/>
      </w:pPr>
      <w:r>
        <w:rPr>
          <w:b/>
          <w:bCs/>
        </w:rPr>
        <w:t>Logique</w:t>
      </w:r>
    </w:p>
    <w:p w14:paraId="32AAA488" w14:textId="77777777" w:rsidR="0084489F" w:rsidRDefault="00110FE6">
      <w:pPr>
        <w:pStyle w:val="BodyText"/>
      </w:pPr>
      <w:r w:rsidRPr="1B9E7434">
        <w:rPr>
          <w:lang w:val="fr-FR"/>
        </w:rPr>
        <w:t>P186(x,y) ⇒ E12(x)</w:t>
      </w:r>
    </w:p>
    <w:p w14:paraId="5776D10B" w14:textId="77777777" w:rsidR="0084489F" w:rsidRDefault="00110FE6">
      <w:pPr>
        <w:pStyle w:val="BodyText"/>
      </w:pPr>
      <w:r w:rsidRPr="1B9E7434">
        <w:rPr>
          <w:lang w:val="fr-FR"/>
        </w:rPr>
        <w:t>P186(x,y) ⇒ E99(y)</w:t>
      </w:r>
    </w:p>
    <w:p w14:paraId="043E7275" w14:textId="77777777" w:rsidR="0084489F" w:rsidRDefault="00110FE6">
      <w:pPr>
        <w:pStyle w:val="BodyText"/>
      </w:pPr>
      <w:r w:rsidRPr="1B9E7434">
        <w:rPr>
          <w:lang w:val="fr-FR"/>
        </w:rPr>
        <w:t>P186(x,y) ⇒ (∃z) [E24(z) ∧ P108(x,z) ∧ P2(z,y)]</w:t>
      </w:r>
    </w:p>
    <w:p w14:paraId="6AB9B5B6" w14:textId="77777777" w:rsidR="0084489F" w:rsidRDefault="00110FE6">
      <w:pPr>
        <w:pStyle w:val="BodyText"/>
      </w:pPr>
      <w:r>
        <w:rPr>
          <w:b/>
          <w:bCs/>
        </w:rPr>
        <w:t>Propriétés</w:t>
      </w:r>
    </w:p>
    <w:p w14:paraId="717D04B2" w14:textId="77777777" w:rsidR="0084489F" w:rsidRDefault="00110FE6">
      <w:pPr>
        <w:pStyle w:val="BlockText"/>
      </w:pPr>
      <w:r>
        <w:rPr>
          <w:b/>
          <w:bCs/>
          <w:i/>
          <w:iCs/>
        </w:rPr>
        <w:t>Note de traduction</w:t>
      </w:r>
    </w:p>
    <w:p w14:paraId="642A0AFC" w14:textId="77777777" w:rsidR="0084489F" w:rsidRDefault="00110FE6">
      <w:pPr>
        <w:pStyle w:val="BlockText"/>
        <w:rPr>
          <w:b/>
          <w:bCs/>
          <w:i/>
          <w:iCs/>
        </w:rPr>
      </w:pPr>
      <w:r>
        <w:rPr>
          <w:b/>
          <w:bCs/>
          <w:i/>
          <w:iCs/>
        </w:rPr>
        <w:t>Références</w:t>
      </w:r>
    </w:p>
    <w:p w14:paraId="5493F051" w14:textId="77777777" w:rsidR="0047520B" w:rsidRPr="0047520B" w:rsidRDefault="0047520B" w:rsidP="0047520B">
      <w:pPr>
        <w:pStyle w:val="BodyText"/>
      </w:pPr>
    </w:p>
    <w:p w14:paraId="288058FA" w14:textId="77777777" w:rsidR="0084489F" w:rsidRDefault="00110FE6">
      <w:pPr>
        <w:pStyle w:val="Heading2"/>
      </w:pPr>
      <w:bookmarkStart w:id="592" w:name="_Toc176864668"/>
      <w:bookmarkStart w:id="593" w:name="X04db28084428cbda12797f2b954cc46fd19093e"/>
      <w:bookmarkEnd w:id="591"/>
      <w:r>
        <w:t>P187 a pour plan de production (est le plan de production de)</w:t>
      </w:r>
      <w:bookmarkEnd w:id="592"/>
    </w:p>
    <w:p w14:paraId="5EE23E9E" w14:textId="77777777" w:rsidR="0084489F" w:rsidRDefault="00110FE6">
      <w:pPr>
        <w:pStyle w:val="FirstParagraph"/>
      </w:pPr>
      <w:r>
        <w:rPr>
          <w:b/>
          <w:bCs/>
        </w:rPr>
        <w:t>Domaine</w:t>
      </w:r>
    </w:p>
    <w:p w14:paraId="28891E66" w14:textId="77777777" w:rsidR="0084489F" w:rsidRDefault="00110FE6">
      <w:pPr>
        <w:pStyle w:val="BodyText"/>
      </w:pPr>
      <w:r>
        <w:rPr>
          <w:rStyle w:val="VerbatimChar"/>
        </w:rPr>
        <w:t>E99_Modèle_de_produit</w:t>
      </w:r>
    </w:p>
    <w:p w14:paraId="2F5FF138" w14:textId="77777777" w:rsidR="0084489F" w:rsidRDefault="00110FE6">
      <w:pPr>
        <w:pStyle w:val="BodyText"/>
      </w:pPr>
      <w:r>
        <w:rPr>
          <w:b/>
          <w:bCs/>
        </w:rPr>
        <w:t>Portée</w:t>
      </w:r>
    </w:p>
    <w:p w14:paraId="0EB5B3BC" w14:textId="77777777" w:rsidR="0084489F" w:rsidRDefault="00110FE6">
      <w:pPr>
        <w:pStyle w:val="BodyText"/>
      </w:pPr>
      <w:r>
        <w:rPr>
          <w:rStyle w:val="VerbatimChar"/>
        </w:rPr>
        <w:t>E29_Conceptualisation_ou_procédure</w:t>
      </w:r>
    </w:p>
    <w:p w14:paraId="6BBCE439" w14:textId="77777777" w:rsidR="0084489F" w:rsidRDefault="00110FE6">
      <w:pPr>
        <w:pStyle w:val="BodyText"/>
      </w:pPr>
      <w:r>
        <w:rPr>
          <w:b/>
          <w:bCs/>
        </w:rPr>
        <w:t>Sous-propriété de</w:t>
      </w:r>
    </w:p>
    <w:p w14:paraId="488C5000" w14:textId="77777777" w:rsidR="0084489F" w:rsidRDefault="00110FE6">
      <w:pPr>
        <w:pStyle w:val="BodyText"/>
      </w:pPr>
      <w:r>
        <w:rPr>
          <w:b/>
          <w:bCs/>
        </w:rPr>
        <w:t>Super-propriété de</w:t>
      </w:r>
    </w:p>
    <w:p w14:paraId="49E5DC0D" w14:textId="77777777" w:rsidR="0084489F" w:rsidRDefault="00110FE6">
      <w:pPr>
        <w:pStyle w:val="BodyText"/>
      </w:pPr>
      <w:r>
        <w:rPr>
          <w:b/>
          <w:bCs/>
        </w:rPr>
        <w:t>Quantification</w:t>
      </w:r>
    </w:p>
    <w:p w14:paraId="1237C694" w14:textId="77777777" w:rsidR="0084489F" w:rsidRDefault="00110FE6">
      <w:pPr>
        <w:pStyle w:val="BodyText"/>
      </w:pPr>
      <w:r w:rsidRPr="1B9E7434">
        <w:rPr>
          <w:lang w:val="fr-FR"/>
        </w:rPr>
        <w:t>un à plusieurs, nécessaire (1,n:0,1)</w:t>
      </w:r>
    </w:p>
    <w:p w14:paraId="00C9C5CE" w14:textId="77777777" w:rsidR="0084489F" w:rsidRDefault="00110FE6" w:rsidP="0047520B">
      <w:pPr>
        <w:pStyle w:val="BodyText"/>
        <w:keepNext/>
      </w:pPr>
      <w:r>
        <w:rPr>
          <w:b/>
          <w:bCs/>
        </w:rPr>
        <w:t>Note d’application</w:t>
      </w:r>
    </w:p>
    <w:p w14:paraId="57B61F7D" w14:textId="77777777" w:rsidR="0084489F" w:rsidRDefault="00110FE6" w:rsidP="0047520B">
      <w:pPr>
        <w:pStyle w:val="BodyText"/>
        <w:keepNext/>
      </w:pPr>
      <w:r>
        <w:t xml:space="preserve">Cette propriété associe une instance de </w:t>
      </w:r>
      <w:r>
        <w:rPr>
          <w:rStyle w:val="VerbatimChar"/>
        </w:rPr>
        <w:t>E99_Modèle_de_produit</w:t>
      </w:r>
      <w:r>
        <w:t xml:space="preserve"> à une instance de </w:t>
      </w:r>
      <w:r>
        <w:rPr>
          <w:rStyle w:val="VerbatimChar"/>
        </w:rPr>
        <w:t>E29_Conceptualisation_ou_procédure</w:t>
      </w:r>
      <w:r>
        <w:t xml:space="preserve"> qui détermine la production d'instances de </w:t>
      </w:r>
      <w:r>
        <w:rPr>
          <w:rStyle w:val="VerbatimChar"/>
        </w:rPr>
        <w:t>E18_Chose_matérielle</w:t>
      </w:r>
      <w:r>
        <w:t xml:space="preserve"> dans son entièreté. Les instances de </w:t>
      </w:r>
      <w:r>
        <w:rPr>
          <w:rStyle w:val="VerbatimChar"/>
        </w:rPr>
        <w:t>E18_Chose_matérielle</w:t>
      </w:r>
      <w:r>
        <w:t xml:space="preserve"> qui résultent de ce processus sont considérées comme des exemples de cette instance de </w:t>
      </w:r>
      <w:r>
        <w:rPr>
          <w:rStyle w:val="VerbatimChar"/>
        </w:rPr>
        <w:t>E99_Modèle_de_produit</w:t>
      </w:r>
      <w:r>
        <w:t xml:space="preserve"> tant que le processus spécifié a été correctement exécuté.</w:t>
      </w:r>
    </w:p>
    <w:p w14:paraId="00E2EC56" w14:textId="77777777" w:rsidR="0084489F" w:rsidRDefault="00110FE6">
      <w:pPr>
        <w:pStyle w:val="BodyText"/>
      </w:pPr>
      <w:r>
        <w:t xml:space="preserve">Il est important de noter que l'instance de </w:t>
      </w:r>
      <w:r>
        <w:rPr>
          <w:rStyle w:val="VerbatimChar"/>
        </w:rPr>
        <w:t>E29_Conceptualisation_ou_procédure</w:t>
      </w:r>
      <w:r>
        <w:t xml:space="preserve"> peut ne pas être fixée dans une forme écrite ou graphique. Ainsi, elle peut nécessiter l'utilisation de modèles ou d'outils qui sont spécifiques à son modèle de produit.</w:t>
      </w:r>
    </w:p>
    <w:p w14:paraId="1C9149BB" w14:textId="77777777" w:rsidR="0084489F" w:rsidRDefault="00110FE6">
      <w:pPr>
        <w:pStyle w:val="BodyText"/>
      </w:pPr>
      <w:r>
        <w:t xml:space="preserve">Une même instance de </w:t>
      </w:r>
      <w:r>
        <w:rPr>
          <w:rStyle w:val="VerbatimChar"/>
        </w:rPr>
        <w:t>E99_Modèle_de_produit</w:t>
      </w:r>
      <w:r>
        <w:t xml:space="preserve"> peut être associée à de nombreux plans différents.</w:t>
      </w:r>
    </w:p>
    <w:p w14:paraId="0CC63E0A" w14:textId="77777777" w:rsidR="0084489F" w:rsidRDefault="00110FE6">
      <w:pPr>
        <w:pStyle w:val="BodyText"/>
      </w:pPr>
      <w:r>
        <w:rPr>
          <w:b/>
          <w:bCs/>
        </w:rPr>
        <w:t>Exemples</w:t>
      </w:r>
    </w:p>
    <w:p w14:paraId="2C46BFF7" w14:textId="77777777" w:rsidR="0084489F" w:rsidRDefault="00110FE6" w:rsidP="00806324">
      <w:pPr>
        <w:numPr>
          <w:ilvl w:val="0"/>
          <w:numId w:val="290"/>
        </w:numPr>
      </w:pPr>
      <w:r>
        <w:t>La Volkswagen « Type 11 (Coccinelle) » (</w:t>
      </w:r>
      <w:r>
        <w:rPr>
          <w:rStyle w:val="VerbatimChar"/>
        </w:rPr>
        <w:t>E99_Modèle_de_produit</w:t>
      </w:r>
      <w:r>
        <w:t>) a les plans de production (</w:t>
      </w:r>
      <w:r>
        <w:rPr>
          <w:rStyle w:val="VerbatimChar"/>
        </w:rPr>
        <w:t>E29_Conceptualisation_ou_procédure</w:t>
      </w:r>
      <w:r>
        <w:t>) (Rieger, 2013)</w:t>
      </w:r>
    </w:p>
    <w:p w14:paraId="313F3D03" w14:textId="77777777" w:rsidR="0084489F" w:rsidRDefault="00110FE6">
      <w:pPr>
        <w:pStyle w:val="FirstParagraph"/>
      </w:pPr>
      <w:r>
        <w:rPr>
          <w:b/>
          <w:bCs/>
        </w:rPr>
        <w:t>Logique</w:t>
      </w:r>
    </w:p>
    <w:p w14:paraId="621468DA" w14:textId="77777777" w:rsidR="0084489F" w:rsidRDefault="00110FE6">
      <w:pPr>
        <w:pStyle w:val="BodyText"/>
      </w:pPr>
      <w:r w:rsidRPr="1B9E7434">
        <w:rPr>
          <w:lang w:val="fr-FR"/>
        </w:rPr>
        <w:t>P187(x,y) ⇒ E99(x)</w:t>
      </w:r>
    </w:p>
    <w:p w14:paraId="440763B3" w14:textId="77777777" w:rsidR="0084489F" w:rsidRDefault="00110FE6">
      <w:pPr>
        <w:pStyle w:val="BodyText"/>
      </w:pPr>
      <w:r w:rsidRPr="1B9E7434">
        <w:rPr>
          <w:lang w:val="fr-FR"/>
        </w:rPr>
        <w:t>P187(x,y) ⇒ E29(y)</w:t>
      </w:r>
    </w:p>
    <w:p w14:paraId="6A88ACC8" w14:textId="77777777" w:rsidR="0084489F" w:rsidRDefault="00110FE6">
      <w:pPr>
        <w:pStyle w:val="BodyText"/>
      </w:pPr>
      <w:r>
        <w:rPr>
          <w:b/>
          <w:bCs/>
        </w:rPr>
        <w:t>Propriétés</w:t>
      </w:r>
    </w:p>
    <w:p w14:paraId="18595DEF" w14:textId="77777777" w:rsidR="0084489F" w:rsidRDefault="00110FE6">
      <w:pPr>
        <w:pStyle w:val="BlockText"/>
      </w:pPr>
      <w:r>
        <w:rPr>
          <w:b/>
          <w:bCs/>
          <w:i/>
          <w:iCs/>
        </w:rPr>
        <w:t>Note de traduction</w:t>
      </w:r>
    </w:p>
    <w:p w14:paraId="3775552B" w14:textId="77777777" w:rsidR="0084489F" w:rsidRDefault="00110FE6">
      <w:pPr>
        <w:pStyle w:val="BlockText"/>
      </w:pPr>
      <w:r>
        <w:rPr>
          <w:b/>
          <w:bCs/>
          <w:i/>
          <w:iCs/>
        </w:rPr>
        <w:t>Références</w:t>
      </w:r>
    </w:p>
    <w:p w14:paraId="2B512711" w14:textId="77777777" w:rsidR="0084489F" w:rsidRDefault="0084489F">
      <w:pPr>
        <w:pStyle w:val="BlockText"/>
      </w:pPr>
    </w:p>
    <w:p w14:paraId="635485D9" w14:textId="77777777" w:rsidR="0084489F" w:rsidRDefault="00110FE6">
      <w:pPr>
        <w:pStyle w:val="Heading2"/>
      </w:pPr>
      <w:bookmarkStart w:id="594" w:name="_Toc176864669"/>
      <w:bookmarkStart w:id="595" w:name="Xc9b86990ba096d42a7981122bba4e44ef591902"/>
      <w:bookmarkEnd w:id="593"/>
      <w:r>
        <w:t>P188 nécessite l'outil (est l'outil de production de)</w:t>
      </w:r>
      <w:bookmarkEnd w:id="594"/>
    </w:p>
    <w:p w14:paraId="3C9FCB65" w14:textId="77777777" w:rsidR="0084489F" w:rsidRDefault="00110FE6">
      <w:pPr>
        <w:pStyle w:val="FirstParagraph"/>
      </w:pPr>
      <w:r>
        <w:rPr>
          <w:b/>
          <w:bCs/>
        </w:rPr>
        <w:t>Domaine</w:t>
      </w:r>
    </w:p>
    <w:p w14:paraId="594ABB4E" w14:textId="77777777" w:rsidR="0084489F" w:rsidRDefault="00110FE6">
      <w:pPr>
        <w:pStyle w:val="BodyText"/>
      </w:pPr>
      <w:r>
        <w:rPr>
          <w:rStyle w:val="VerbatimChar"/>
        </w:rPr>
        <w:t>E99_Modèle_de_produit</w:t>
      </w:r>
    </w:p>
    <w:p w14:paraId="23008278" w14:textId="77777777" w:rsidR="0084489F" w:rsidRDefault="00110FE6">
      <w:pPr>
        <w:pStyle w:val="BodyText"/>
      </w:pPr>
      <w:r>
        <w:rPr>
          <w:b/>
          <w:bCs/>
        </w:rPr>
        <w:t>Portée</w:t>
      </w:r>
    </w:p>
    <w:p w14:paraId="6599F4FB" w14:textId="77777777" w:rsidR="0084489F" w:rsidRDefault="00110FE6">
      <w:pPr>
        <w:pStyle w:val="BodyText"/>
      </w:pPr>
      <w:r>
        <w:rPr>
          <w:rStyle w:val="VerbatimChar"/>
        </w:rPr>
        <w:t>E19_Objet_matériel</w:t>
      </w:r>
    </w:p>
    <w:p w14:paraId="5E5834A6" w14:textId="77777777" w:rsidR="0084489F" w:rsidRDefault="00110FE6">
      <w:pPr>
        <w:pStyle w:val="BodyText"/>
      </w:pPr>
      <w:r>
        <w:rPr>
          <w:b/>
          <w:bCs/>
        </w:rPr>
        <w:t>Sous-propriété de</w:t>
      </w:r>
    </w:p>
    <w:p w14:paraId="78E89A9E" w14:textId="77777777" w:rsidR="0084489F" w:rsidRDefault="00110FE6">
      <w:pPr>
        <w:pStyle w:val="BodyText"/>
      </w:pPr>
      <w:r>
        <w:rPr>
          <w:b/>
          <w:bCs/>
        </w:rPr>
        <w:t>Super-propriété de</w:t>
      </w:r>
    </w:p>
    <w:p w14:paraId="0E80A932" w14:textId="77777777" w:rsidR="0084489F" w:rsidRDefault="00110FE6">
      <w:pPr>
        <w:pStyle w:val="BodyText"/>
      </w:pPr>
      <w:r>
        <w:rPr>
          <w:b/>
          <w:bCs/>
        </w:rPr>
        <w:t>Quantification</w:t>
      </w:r>
    </w:p>
    <w:p w14:paraId="78E79823" w14:textId="77777777" w:rsidR="0084489F" w:rsidRDefault="00110FE6">
      <w:pPr>
        <w:pStyle w:val="BodyText"/>
      </w:pPr>
      <w:r w:rsidRPr="1B9E7434">
        <w:rPr>
          <w:lang w:val="fr-FR"/>
        </w:rPr>
        <w:t>plusieurs à plusieurs (0,n:0,n)</w:t>
      </w:r>
    </w:p>
    <w:p w14:paraId="67C460A9" w14:textId="77777777" w:rsidR="0084489F" w:rsidRDefault="00110FE6">
      <w:pPr>
        <w:pStyle w:val="BodyText"/>
      </w:pPr>
      <w:r>
        <w:rPr>
          <w:b/>
          <w:bCs/>
        </w:rPr>
        <w:t>Note d’application</w:t>
      </w:r>
    </w:p>
    <w:p w14:paraId="73BD2D9A" w14:textId="77777777" w:rsidR="0084489F" w:rsidRDefault="00110FE6">
      <w:pPr>
        <w:pStyle w:val="BodyText"/>
      </w:pPr>
      <w:r>
        <w:t xml:space="preserve">Cette propriété associe une instance de </w:t>
      </w:r>
      <w:r>
        <w:rPr>
          <w:rStyle w:val="VerbatimChar"/>
        </w:rPr>
        <w:t>E99_Modèle_de_produit</w:t>
      </w:r>
      <w:r>
        <w:t xml:space="preserve"> à une instance de </w:t>
      </w:r>
      <w:r>
        <w:rPr>
          <w:rStyle w:val="VerbatimChar"/>
        </w:rPr>
        <w:t>E19_Objet_matériel</w:t>
      </w:r>
      <w:r>
        <w:t xml:space="preserve"> nécessaire à la production d'une instance de </w:t>
      </w:r>
      <w:r>
        <w:rPr>
          <w:rStyle w:val="VerbatimChar"/>
        </w:rPr>
        <w:t>E18_Chose_matérielle</w:t>
      </w:r>
      <w:r>
        <w:t xml:space="preserve">. Lorsque le processus de production est exécuté adéquatement – conformément au plan et en utilisant l'instance indiquée de </w:t>
      </w:r>
      <w:r>
        <w:rPr>
          <w:rStyle w:val="VerbatimChar"/>
        </w:rPr>
        <w:t>E19_Objet_matériel</w:t>
      </w:r>
      <w:r>
        <w:t xml:space="preserve"> – l'instance de </w:t>
      </w:r>
      <w:r>
        <w:rPr>
          <w:rStyle w:val="VerbatimChar"/>
        </w:rPr>
        <w:t>E18_Chose_matérielle</w:t>
      </w:r>
      <w:r>
        <w:t xml:space="preserve"> qui en résulte est considérée comme des exemples de cette instance de </w:t>
      </w:r>
      <w:r>
        <w:rPr>
          <w:rStyle w:val="VerbatimChar"/>
        </w:rPr>
        <w:t>E99_Modèle_de_produit</w:t>
      </w:r>
      <w:r>
        <w:t xml:space="preserve">. Cette instance de </w:t>
      </w:r>
      <w:r>
        <w:rPr>
          <w:rStyle w:val="VerbatimChar"/>
        </w:rPr>
        <w:t>E19_Objet_matériel</w:t>
      </w:r>
      <w:r>
        <w:t xml:space="preserve"> peut avoir des caractéristiques distinctes qui sont transformées en caractéristiques typiques de l'instance résultante de </w:t>
      </w:r>
      <w:r>
        <w:rPr>
          <w:rStyle w:val="VerbatimChar"/>
        </w:rPr>
        <w:t>E18_Chose_matérielle</w:t>
      </w:r>
      <w:r>
        <w:t>, comme c'est le cas de modèles ou de moules.</w:t>
      </w:r>
    </w:p>
    <w:p w14:paraId="3B8B509A" w14:textId="77777777" w:rsidR="0084489F" w:rsidRDefault="00110FE6">
      <w:pPr>
        <w:pStyle w:val="BodyText"/>
      </w:pPr>
      <w:r>
        <w:rPr>
          <w:b/>
          <w:bCs/>
        </w:rPr>
        <w:t>Exemples</w:t>
      </w:r>
    </w:p>
    <w:p w14:paraId="6A9FEDE6" w14:textId="77777777" w:rsidR="0084489F" w:rsidRDefault="00110FE6" w:rsidP="00806324">
      <w:pPr>
        <w:numPr>
          <w:ilvl w:val="0"/>
          <w:numId w:val="291"/>
        </w:numPr>
      </w:pPr>
      <w:r>
        <w:t>La Volkswagen « Type 11 (Coccinelle) » (</w:t>
      </w:r>
      <w:r>
        <w:rPr>
          <w:rStyle w:val="VerbatimChar"/>
        </w:rPr>
        <w:t>E99_Modèle_de_produit</w:t>
      </w:r>
      <w:r>
        <w:t>) nécessite (</w:t>
      </w:r>
      <w:r>
        <w:rPr>
          <w:rStyle w:val="VerbatimChar"/>
        </w:rPr>
        <w:t>P188_nécessite_l’outil</w:t>
      </w:r>
      <w:r>
        <w:t>) un moule pour la production de son coffre à bagages (</w:t>
      </w:r>
      <w:r>
        <w:rPr>
          <w:rStyle w:val="VerbatimChar"/>
        </w:rPr>
        <w:t>E19_Objet_matériel</w:t>
      </w:r>
      <w:r>
        <w:t>) [voir l'image du moule (</w:t>
      </w:r>
      <w:hyperlink r:id="rId329">
        <w:r>
          <w:rPr>
            <w:rStyle w:val="Hyperlink"/>
          </w:rPr>
          <w:t>https://upload.wikimedia.org/wikipedia/commons/thumb/b/b5/Volkswagen_Type_1_(Auto_classique_St._Lazare_%2710).jpg/220px-Volkswagen_Type_1_(Auto_classique_St._Lazare_%2710).jpg</w:t>
        </w:r>
      </w:hyperlink>
      <w:r>
        <w:t>)] (Rieger, 2013)</w:t>
      </w:r>
    </w:p>
    <w:p w14:paraId="1476751D" w14:textId="77777777" w:rsidR="0084489F" w:rsidRDefault="00110FE6">
      <w:pPr>
        <w:pStyle w:val="FirstParagraph"/>
      </w:pPr>
      <w:r>
        <w:rPr>
          <w:b/>
          <w:bCs/>
        </w:rPr>
        <w:t>Logique</w:t>
      </w:r>
    </w:p>
    <w:p w14:paraId="1F7783DF" w14:textId="77777777" w:rsidR="0084489F" w:rsidRDefault="00110FE6">
      <w:pPr>
        <w:pStyle w:val="BodyText"/>
      </w:pPr>
      <w:r w:rsidRPr="1B9E7434">
        <w:rPr>
          <w:lang w:val="fr-FR"/>
        </w:rPr>
        <w:t>P188(x,y) ⇒ E99(x)</w:t>
      </w:r>
    </w:p>
    <w:p w14:paraId="470ACD8A" w14:textId="77777777" w:rsidR="0084489F" w:rsidRDefault="00110FE6">
      <w:pPr>
        <w:pStyle w:val="BodyText"/>
      </w:pPr>
      <w:r w:rsidRPr="1B9E7434">
        <w:rPr>
          <w:lang w:val="fr-FR"/>
        </w:rPr>
        <w:t>P188(x,y) ⇒ E19(y)</w:t>
      </w:r>
    </w:p>
    <w:p w14:paraId="047C0493" w14:textId="77777777" w:rsidR="0084489F" w:rsidRDefault="00110FE6">
      <w:pPr>
        <w:pStyle w:val="BodyText"/>
      </w:pPr>
      <w:r>
        <w:rPr>
          <w:b/>
          <w:bCs/>
        </w:rPr>
        <w:t>Propriétés</w:t>
      </w:r>
    </w:p>
    <w:p w14:paraId="24C81BEC" w14:textId="77777777" w:rsidR="0084489F" w:rsidRDefault="00110FE6">
      <w:pPr>
        <w:pStyle w:val="BlockText"/>
      </w:pPr>
      <w:r>
        <w:rPr>
          <w:b/>
          <w:bCs/>
          <w:i/>
          <w:iCs/>
        </w:rPr>
        <w:t>Note de traduction</w:t>
      </w:r>
    </w:p>
    <w:p w14:paraId="2BE40022" w14:textId="77777777" w:rsidR="0084489F" w:rsidRDefault="00110FE6">
      <w:pPr>
        <w:pStyle w:val="BlockText"/>
      </w:pPr>
      <w:r>
        <w:rPr>
          <w:b/>
          <w:bCs/>
          <w:i/>
          <w:iCs/>
        </w:rPr>
        <w:t>Références</w:t>
      </w:r>
    </w:p>
    <w:p w14:paraId="64E5D232" w14:textId="77777777" w:rsidR="0084489F" w:rsidRDefault="0084489F">
      <w:pPr>
        <w:pStyle w:val="BlockText"/>
      </w:pPr>
    </w:p>
    <w:p w14:paraId="5FBDAAB1" w14:textId="77777777" w:rsidR="0084489F" w:rsidRDefault="00110FE6">
      <w:pPr>
        <w:pStyle w:val="Heading2"/>
      </w:pPr>
      <w:bookmarkStart w:id="596" w:name="_Toc176864670"/>
      <w:bookmarkStart w:id="597" w:name="p189-approxime-(est-approxime-par)"/>
      <w:bookmarkEnd w:id="595"/>
      <w:r>
        <w:t>P189 approxime (est approximé par)</w:t>
      </w:r>
      <w:bookmarkEnd w:id="596"/>
    </w:p>
    <w:p w14:paraId="0A4A4309" w14:textId="77777777" w:rsidR="0084489F" w:rsidRDefault="00110FE6">
      <w:pPr>
        <w:pStyle w:val="FirstParagraph"/>
      </w:pPr>
      <w:r>
        <w:rPr>
          <w:b/>
          <w:bCs/>
        </w:rPr>
        <w:t>Domaine</w:t>
      </w:r>
    </w:p>
    <w:p w14:paraId="5DFA77F9" w14:textId="77777777" w:rsidR="0084489F" w:rsidRDefault="00110FE6">
      <w:pPr>
        <w:pStyle w:val="BodyText"/>
      </w:pPr>
      <w:r>
        <w:rPr>
          <w:rStyle w:val="VerbatimChar"/>
        </w:rPr>
        <w:t>E53_Lieu</w:t>
      </w:r>
    </w:p>
    <w:p w14:paraId="6CD98523" w14:textId="77777777" w:rsidR="0084489F" w:rsidRDefault="00110FE6">
      <w:pPr>
        <w:pStyle w:val="BodyText"/>
      </w:pPr>
      <w:r>
        <w:rPr>
          <w:b/>
          <w:bCs/>
        </w:rPr>
        <w:t>Portée</w:t>
      </w:r>
    </w:p>
    <w:p w14:paraId="6FD58F51" w14:textId="77777777" w:rsidR="0084489F" w:rsidRDefault="00110FE6">
      <w:pPr>
        <w:pStyle w:val="BodyText"/>
      </w:pPr>
      <w:r>
        <w:rPr>
          <w:rStyle w:val="VerbatimChar"/>
        </w:rPr>
        <w:t>E53_Lieu</w:t>
      </w:r>
    </w:p>
    <w:p w14:paraId="6EE7FD26" w14:textId="77777777" w:rsidR="0084489F" w:rsidRDefault="00110FE6">
      <w:pPr>
        <w:pStyle w:val="BodyText"/>
      </w:pPr>
      <w:r>
        <w:rPr>
          <w:b/>
          <w:bCs/>
        </w:rPr>
        <w:t>Sous-propriété de</w:t>
      </w:r>
    </w:p>
    <w:p w14:paraId="54E79C34" w14:textId="77777777" w:rsidR="0084489F" w:rsidRDefault="00110FE6">
      <w:pPr>
        <w:pStyle w:val="BodyText"/>
      </w:pPr>
      <w:r>
        <w:rPr>
          <w:b/>
          <w:bCs/>
        </w:rPr>
        <w:t>Super-propriété de</w:t>
      </w:r>
    </w:p>
    <w:p w14:paraId="54606B67" w14:textId="77777777" w:rsidR="0084489F" w:rsidRDefault="00110FE6">
      <w:pPr>
        <w:pStyle w:val="BodyText"/>
      </w:pPr>
      <w:r>
        <w:rPr>
          <w:b/>
          <w:bCs/>
        </w:rPr>
        <w:t>Quantification</w:t>
      </w:r>
    </w:p>
    <w:p w14:paraId="12053992" w14:textId="77777777" w:rsidR="0084489F" w:rsidRDefault="00110FE6">
      <w:pPr>
        <w:pStyle w:val="BodyText"/>
      </w:pPr>
      <w:r w:rsidRPr="1B9E7434">
        <w:rPr>
          <w:lang w:val="fr-FR"/>
        </w:rPr>
        <w:t>plusieurs à plusieurs (0,n:0,n)</w:t>
      </w:r>
    </w:p>
    <w:p w14:paraId="6D7E3FC6" w14:textId="77777777" w:rsidR="0084489F" w:rsidRDefault="00110FE6" w:rsidP="000B7F5F">
      <w:pPr>
        <w:pStyle w:val="BodyText"/>
        <w:keepNext/>
      </w:pPr>
      <w:r>
        <w:rPr>
          <w:b/>
          <w:bCs/>
        </w:rPr>
        <w:t>Note d’application</w:t>
      </w:r>
    </w:p>
    <w:p w14:paraId="1F616F71" w14:textId="77777777" w:rsidR="0084489F" w:rsidRDefault="00110FE6" w:rsidP="000B7F5F">
      <w:pPr>
        <w:pStyle w:val="BodyText"/>
        <w:keepNext/>
      </w:pPr>
      <w:r>
        <w:t xml:space="preserve">Cette propriété associe une instance de </w:t>
      </w:r>
      <w:r>
        <w:rPr>
          <w:rStyle w:val="VerbatimChar"/>
        </w:rPr>
        <w:t>E53_Lieu</w:t>
      </w:r>
      <w:r>
        <w:t xml:space="preserve"> à une autre instance de </w:t>
      </w:r>
      <w:r>
        <w:rPr>
          <w:rStyle w:val="VerbatimChar"/>
        </w:rPr>
        <w:t>E53_Lieu</w:t>
      </w:r>
      <w:r>
        <w:t xml:space="preserve"> qui est définie dans le même espace de référence et qui est utilisée pour approximer la première. La propriété n'indique pas nécessairement la qualité ou l'exactitude de cette approximation, mais plutôt l'utilisation de la première instance de lieu pour approximer la seconde.</w:t>
      </w:r>
    </w:p>
    <w:p w14:paraId="77FCF3BA" w14:textId="77777777" w:rsidR="0084489F" w:rsidRDefault="00110FE6">
      <w:pPr>
        <w:pStyle w:val="BodyText"/>
      </w:pPr>
      <w:r>
        <w:t>Dans les pratiques courantes en documentation, les lieux ou points de rencontre, par exemple en archéologie, en botanique ou en zoologie, sont souvent liés au village, à la rivière ou à tout autre lieu nommé le plus proche sans que la relation avec ce lieu soit détaillée, par exemple s'il est situé dans le village ou à une certaine distance du lieu spécifié. Dans ce cas, le lieu « phénoménal » indiqué dans la documentation peut être considéré comme une approximation du lieu de rencontre réel sans connaissances plus spécifiques.</w:t>
      </w:r>
    </w:p>
    <w:p w14:paraId="3E1F10D2" w14:textId="77777777" w:rsidR="0084489F" w:rsidRDefault="00110FE6">
      <w:pPr>
        <w:pStyle w:val="BodyText"/>
      </w:pPr>
      <w:r>
        <w:t xml:space="preserve">Dans la documentation plus récente, l'information sur les coordonnées de points est souvent fournie à partir de mesures GPS ou d'un géoréférencement provenant d'une carte. Cette information sur les coordonnées de points n'indique pas le lieu réel du point de rencontre, mais l'approxime plutôt avec un lieu « déclaratif ». L'exactitude de cette information dépend de la méthodologie utilisée lors de la création de ces coordonnées. Elle peut dépendre de limitations techniques comme la précision du GPS, mais également de la méthode par laquelle la position GPS est définie par rapport à la caractéristique mesurée. Si la méthodologie est connue, un écart maximal par rapport au point mesuré peut être calculé et le point de rencontre ou la caractéristique de ce lieu peut être lié à l'aire résultante en utilisant une instance de </w:t>
      </w:r>
      <w:r>
        <w:rPr>
          <w:rStyle w:val="VerbatimChar"/>
        </w:rPr>
        <w:t>P171_quelque_part_dans</w:t>
      </w:r>
      <w:r>
        <w:t>.</w:t>
      </w:r>
    </w:p>
    <w:p w14:paraId="48D511A5" w14:textId="77777777" w:rsidR="0084489F" w:rsidRDefault="00110FE6">
      <w:pPr>
        <w:pStyle w:val="BodyText"/>
      </w:pPr>
      <w:r>
        <w:t>Cette propriété n'est pas transitive et est réflexive.</w:t>
      </w:r>
    </w:p>
    <w:p w14:paraId="3112BA1D" w14:textId="77777777" w:rsidR="0084489F" w:rsidRDefault="00110FE6">
      <w:pPr>
        <w:pStyle w:val="BodyText"/>
      </w:pPr>
      <w:r>
        <w:rPr>
          <w:b/>
          <w:bCs/>
        </w:rPr>
        <w:t>Exemples</w:t>
      </w:r>
    </w:p>
    <w:p w14:paraId="367AB5D7" w14:textId="1400F85E" w:rsidR="0084489F" w:rsidRDefault="00110FE6" w:rsidP="00806324">
      <w:pPr>
        <w:numPr>
          <w:ilvl w:val="0"/>
          <w:numId w:val="292"/>
        </w:numPr>
      </w:pPr>
      <w:r w:rsidRPr="1B9E7434">
        <w:rPr>
          <w:lang w:val="fr-FR"/>
        </w:rPr>
        <w:t>[40°31'17.9"N 21°15'48.3"E] (</w:t>
      </w:r>
      <w:r w:rsidRPr="1B9E7434">
        <w:rPr>
          <w:rStyle w:val="VerbatimChar"/>
          <w:lang w:val="fr-FR"/>
        </w:rPr>
        <w:t>E53_Lieu</w:t>
      </w:r>
      <w:r w:rsidRPr="1B9E7434">
        <w:rPr>
          <w:lang w:val="fr-FR"/>
        </w:rPr>
        <w:t>) approxime (</w:t>
      </w:r>
      <w:r w:rsidRPr="1B9E7434">
        <w:rPr>
          <w:rStyle w:val="VerbatimChar"/>
          <w:lang w:val="fr-FR"/>
        </w:rPr>
        <w:t>P189_approxime</w:t>
      </w:r>
      <w:r w:rsidRPr="1B9E7434">
        <w:rPr>
          <w:lang w:val="fr-FR"/>
        </w:rPr>
        <w:t>) Kastoria, en Grèce, dont l'identifiant du Getty Thesaurus of Geographic Names (TGN) est « 7010880 » (</w:t>
      </w:r>
      <w:r w:rsidRPr="1B9E7434">
        <w:rPr>
          <w:rStyle w:val="VerbatimChar"/>
          <w:lang w:val="fr-FR"/>
        </w:rPr>
        <w:t>E53_Lieu</w:t>
      </w:r>
      <w:r w:rsidRPr="1B9E7434">
        <w:rPr>
          <w:lang w:val="fr-FR"/>
        </w:rPr>
        <w:t>). [Le lieu déclaratif approximé par un point est défini par les coordonnées tirées de https://sws.geonames.org/735927]</w:t>
      </w:r>
    </w:p>
    <w:p w14:paraId="1C9EC1A3" w14:textId="778C91D1" w:rsidR="0084489F" w:rsidRDefault="00110FE6" w:rsidP="00806324">
      <w:pPr>
        <w:numPr>
          <w:ilvl w:val="0"/>
          <w:numId w:val="292"/>
        </w:numPr>
      </w:pPr>
      <w:r w:rsidRPr="1B9E7434">
        <w:rPr>
          <w:lang w:val="fr-FR"/>
        </w:rPr>
        <w:t>[40°31'00.1"N 21°16'00.1"E] (</w:t>
      </w:r>
      <w:r w:rsidRPr="1B9E7434">
        <w:rPr>
          <w:rStyle w:val="VerbatimChar"/>
          <w:lang w:val="fr-FR"/>
        </w:rPr>
        <w:t>E53_Lieu</w:t>
      </w:r>
      <w:r w:rsidRPr="1B9E7434">
        <w:rPr>
          <w:lang w:val="fr-FR"/>
        </w:rPr>
        <w:t>) approxime (</w:t>
      </w:r>
      <w:r w:rsidRPr="1B9E7434">
        <w:rPr>
          <w:rStyle w:val="VerbatimChar"/>
          <w:lang w:val="fr-FR"/>
        </w:rPr>
        <w:t>P189_approxime</w:t>
      </w:r>
      <w:r w:rsidRPr="1B9E7434">
        <w:rPr>
          <w:lang w:val="fr-FR"/>
        </w:rPr>
        <w:t>) Kastoria, en Grèce, dont l'identifiant du Getty Thesaurus of Geographic Names (TGN) est « 7010880 » (</w:t>
      </w:r>
      <w:r w:rsidRPr="1B9E7434">
        <w:rPr>
          <w:rStyle w:val="VerbatimChar"/>
          <w:lang w:val="fr-FR"/>
        </w:rPr>
        <w:t>E53_Lieu</w:t>
      </w:r>
      <w:r w:rsidRPr="1B9E7434">
        <w:rPr>
          <w:lang w:val="fr-FR"/>
        </w:rPr>
        <w:t>). [Le lieu déclaratif approximé par un point est défini par les coordonnées tirées de http://vocab.getty.edu/page/tgn/7010880]</w:t>
      </w:r>
    </w:p>
    <w:p w14:paraId="11775D77" w14:textId="77777777" w:rsidR="0084489F" w:rsidRDefault="00110FE6" w:rsidP="00806324">
      <w:pPr>
        <w:numPr>
          <w:ilvl w:val="0"/>
          <w:numId w:val="292"/>
        </w:numPr>
      </w:pPr>
      <w:r>
        <w:t>[40°04'60.0"N 22°21'00.0"E] (</w:t>
      </w:r>
      <w:r>
        <w:rPr>
          <w:rStyle w:val="VerbatimChar"/>
        </w:rPr>
        <w:t>E53_Lieu</w:t>
      </w:r>
      <w:r>
        <w:t>) approxime (</w:t>
      </w:r>
      <w:r>
        <w:rPr>
          <w:rStyle w:val="VerbatimChar"/>
        </w:rPr>
        <w:t>P189_approxime</w:t>
      </w:r>
      <w:r>
        <w:t>) le Parc national du Mont Olympe, en Grèce (</w:t>
      </w:r>
      <w:r>
        <w:rPr>
          <w:rStyle w:val="VerbatimChar"/>
        </w:rPr>
        <w:t>E53_Lieu</w:t>
      </w:r>
      <w:r>
        <w:t>). [Le lieu déclaratif approximé par un point est défini par les coordonnées tirées de https://www.geonames.org/6941814]</w:t>
      </w:r>
    </w:p>
    <w:p w14:paraId="2B494A24" w14:textId="77777777" w:rsidR="0084489F" w:rsidRDefault="00110FE6">
      <w:pPr>
        <w:pStyle w:val="FirstParagraph"/>
      </w:pPr>
      <w:r>
        <w:rPr>
          <w:b/>
          <w:bCs/>
        </w:rPr>
        <w:t>Logique</w:t>
      </w:r>
    </w:p>
    <w:p w14:paraId="35AE0B7D" w14:textId="77777777" w:rsidR="0084489F" w:rsidRDefault="00110FE6">
      <w:pPr>
        <w:pStyle w:val="BodyText"/>
      </w:pPr>
      <w:r w:rsidRPr="1B9E7434">
        <w:rPr>
          <w:lang w:val="fr-FR"/>
        </w:rPr>
        <w:t>P189(x,y) ⇒ E53(x)</w:t>
      </w:r>
    </w:p>
    <w:p w14:paraId="70FB8E07" w14:textId="77777777" w:rsidR="0084489F" w:rsidRDefault="00110FE6">
      <w:pPr>
        <w:pStyle w:val="BodyText"/>
      </w:pPr>
      <w:r w:rsidRPr="1B9E7434">
        <w:rPr>
          <w:lang w:val="fr-FR"/>
        </w:rPr>
        <w:t>P189(x,y) ⇒ E53 (y)</w:t>
      </w:r>
    </w:p>
    <w:p w14:paraId="7D8497A7" w14:textId="77777777" w:rsidR="0084489F" w:rsidRDefault="00110FE6">
      <w:pPr>
        <w:pStyle w:val="BodyText"/>
      </w:pPr>
      <w:r w:rsidRPr="1B9E7434">
        <w:rPr>
          <w:lang w:val="fr-FR"/>
        </w:rPr>
        <w:t>P189(x,y,z) ⇒ [P189(x,y) ∧ E55(z)]</w:t>
      </w:r>
    </w:p>
    <w:p w14:paraId="62BADE46" w14:textId="77777777" w:rsidR="0084489F" w:rsidRDefault="00110FE6">
      <w:pPr>
        <w:pStyle w:val="BodyText"/>
      </w:pPr>
      <w:r w:rsidRPr="1B9E7434">
        <w:rPr>
          <w:lang w:val="fr-FR"/>
        </w:rPr>
        <w:t>P189(x,x)</w:t>
      </w:r>
    </w:p>
    <w:p w14:paraId="35EDFFF8" w14:textId="77777777" w:rsidR="0084489F" w:rsidRDefault="00110FE6">
      <w:pPr>
        <w:pStyle w:val="BodyText"/>
      </w:pPr>
      <w:r>
        <w:rPr>
          <w:b/>
          <w:bCs/>
        </w:rPr>
        <w:t>Propriétés</w:t>
      </w:r>
    </w:p>
    <w:p w14:paraId="06818D16" w14:textId="77777777" w:rsidR="0084489F" w:rsidRDefault="00110FE6">
      <w:pPr>
        <w:pStyle w:val="BodyText"/>
      </w:pPr>
      <w:r>
        <w:rPr>
          <w:rStyle w:val="VerbatimChar"/>
        </w:rPr>
        <w:t>P189.1_a_pour_type</w:t>
      </w:r>
      <w:r>
        <w:t xml:space="preserve"> : </w:t>
      </w:r>
      <w:r>
        <w:rPr>
          <w:rStyle w:val="VerbatimChar"/>
        </w:rPr>
        <w:t>E55_Type</w:t>
      </w:r>
    </w:p>
    <w:p w14:paraId="330E3D1D" w14:textId="77777777" w:rsidR="0084489F" w:rsidRDefault="00110FE6">
      <w:pPr>
        <w:pStyle w:val="BlockText"/>
      </w:pPr>
      <w:r>
        <w:rPr>
          <w:b/>
          <w:bCs/>
          <w:i/>
          <w:iCs/>
        </w:rPr>
        <w:t>Note de traduction</w:t>
      </w:r>
    </w:p>
    <w:p w14:paraId="444B5D3F" w14:textId="77777777" w:rsidR="0084489F" w:rsidRDefault="00110FE6">
      <w:pPr>
        <w:pStyle w:val="BlockText"/>
      </w:pPr>
      <w:r>
        <w:rPr>
          <w:b/>
          <w:bCs/>
          <w:i/>
          <w:iCs/>
        </w:rPr>
        <w:t>Références</w:t>
      </w:r>
    </w:p>
    <w:p w14:paraId="1A452051" w14:textId="77777777" w:rsidR="0084489F" w:rsidRDefault="0084489F">
      <w:pPr>
        <w:pStyle w:val="BlockText"/>
      </w:pPr>
    </w:p>
    <w:p w14:paraId="68F58283" w14:textId="77777777" w:rsidR="0084489F" w:rsidRDefault="00110FE6">
      <w:pPr>
        <w:pStyle w:val="Heading2"/>
      </w:pPr>
      <w:bookmarkStart w:id="598" w:name="_Toc176864671"/>
      <w:bookmarkStart w:id="599" w:name="p190-a-pour-contenu-symbolique"/>
      <w:bookmarkEnd w:id="597"/>
      <w:r>
        <w:t>P190 a pour contenu symbolique</w:t>
      </w:r>
      <w:bookmarkEnd w:id="598"/>
    </w:p>
    <w:p w14:paraId="2D9CD98C" w14:textId="77777777" w:rsidR="0084489F" w:rsidRDefault="00110FE6">
      <w:pPr>
        <w:pStyle w:val="FirstParagraph"/>
      </w:pPr>
      <w:r>
        <w:rPr>
          <w:b/>
          <w:bCs/>
        </w:rPr>
        <w:t>Domaine</w:t>
      </w:r>
    </w:p>
    <w:p w14:paraId="7552904B" w14:textId="77777777" w:rsidR="0084489F" w:rsidRDefault="00110FE6">
      <w:pPr>
        <w:pStyle w:val="BodyText"/>
      </w:pPr>
      <w:r>
        <w:rPr>
          <w:rStyle w:val="VerbatimChar"/>
        </w:rPr>
        <w:t>E90_Objet_symbolique</w:t>
      </w:r>
    </w:p>
    <w:p w14:paraId="7B76958A" w14:textId="77777777" w:rsidR="0084489F" w:rsidRDefault="00110FE6">
      <w:pPr>
        <w:pStyle w:val="BodyText"/>
      </w:pPr>
      <w:r>
        <w:rPr>
          <w:b/>
          <w:bCs/>
        </w:rPr>
        <w:t>Portée</w:t>
      </w:r>
    </w:p>
    <w:p w14:paraId="0F53B88F" w14:textId="77777777" w:rsidR="0084489F" w:rsidRDefault="00110FE6">
      <w:pPr>
        <w:pStyle w:val="BodyText"/>
      </w:pPr>
      <w:r>
        <w:rPr>
          <w:rStyle w:val="VerbatimChar"/>
        </w:rPr>
        <w:t>E62_Chaîne_de_caractères</w:t>
      </w:r>
    </w:p>
    <w:p w14:paraId="19DC0F4F" w14:textId="77777777" w:rsidR="0084489F" w:rsidRDefault="00110FE6" w:rsidP="0047520B">
      <w:pPr>
        <w:pStyle w:val="BodyText"/>
        <w:keepNext/>
      </w:pPr>
      <w:r>
        <w:rPr>
          <w:b/>
          <w:bCs/>
        </w:rPr>
        <w:t>Sous-propriété de</w:t>
      </w:r>
    </w:p>
    <w:p w14:paraId="2A43F682" w14:textId="77777777" w:rsidR="0084489F" w:rsidRDefault="00110FE6" w:rsidP="0047520B">
      <w:pPr>
        <w:pStyle w:val="BodyText"/>
        <w:keepNext/>
      </w:pPr>
      <w:r>
        <w:rPr>
          <w:rStyle w:val="VerbatimChar"/>
        </w:rPr>
        <w:t>E1_Entité_CRM</w:t>
      </w:r>
      <w:r>
        <w:t xml:space="preserve">. </w:t>
      </w:r>
      <w:r>
        <w:rPr>
          <w:rStyle w:val="VerbatimChar"/>
        </w:rPr>
        <w:t>P3_a_pour_note</w:t>
      </w:r>
      <w:r>
        <w:t xml:space="preserve"> : </w:t>
      </w:r>
      <w:r>
        <w:rPr>
          <w:rStyle w:val="VerbatimChar"/>
        </w:rPr>
        <w:t>E62_Chaîne_de_caractères</w:t>
      </w:r>
    </w:p>
    <w:p w14:paraId="0C54A488" w14:textId="77777777" w:rsidR="0084489F" w:rsidRDefault="00110FE6">
      <w:pPr>
        <w:pStyle w:val="BodyText"/>
      </w:pPr>
      <w:r>
        <w:rPr>
          <w:b/>
          <w:bCs/>
        </w:rPr>
        <w:t>Super-propriété de</w:t>
      </w:r>
    </w:p>
    <w:p w14:paraId="2638BDF0" w14:textId="77777777" w:rsidR="0084489F" w:rsidRDefault="00110FE6">
      <w:pPr>
        <w:pStyle w:val="BodyText"/>
      </w:pPr>
      <w:r>
        <w:rPr>
          <w:b/>
          <w:bCs/>
        </w:rPr>
        <w:t>Quantification</w:t>
      </w:r>
    </w:p>
    <w:p w14:paraId="69DB736E" w14:textId="77777777" w:rsidR="0084489F" w:rsidRDefault="00110FE6">
      <w:pPr>
        <w:pStyle w:val="BodyText"/>
      </w:pPr>
      <w:r w:rsidRPr="1B9E7434">
        <w:rPr>
          <w:lang w:val="fr-FR"/>
        </w:rPr>
        <w:t>plusieurs à plusieurs (0,n:0,n)</w:t>
      </w:r>
    </w:p>
    <w:p w14:paraId="22E83B99" w14:textId="77777777" w:rsidR="0084489F" w:rsidRDefault="00110FE6">
      <w:pPr>
        <w:pStyle w:val="BodyText"/>
      </w:pPr>
      <w:r>
        <w:rPr>
          <w:b/>
          <w:bCs/>
        </w:rPr>
        <w:t>Note d’application</w:t>
      </w:r>
    </w:p>
    <w:p w14:paraId="424320FE" w14:textId="77777777" w:rsidR="0084489F" w:rsidRDefault="00110FE6">
      <w:pPr>
        <w:pStyle w:val="BodyText"/>
      </w:pPr>
      <w:r>
        <w:t xml:space="preserve">Cette propriété associe une instance de </w:t>
      </w:r>
      <w:r>
        <w:rPr>
          <w:rStyle w:val="VerbatimChar"/>
        </w:rPr>
        <w:t>E90_Objet_symbolique</w:t>
      </w:r>
      <w:r>
        <w:t xml:space="preserve"> avec une représentation complète et identifiable de son contenu sous la forme d’une instance de </w:t>
      </w:r>
      <w:r>
        <w:rPr>
          <w:rStyle w:val="VerbatimChar"/>
        </w:rPr>
        <w:t>E62_Chaîne_de_caractères</w:t>
      </w:r>
      <w:r>
        <w:t>.</w:t>
      </w:r>
    </w:p>
    <w:p w14:paraId="245583E5" w14:textId="77777777" w:rsidR="0084489F" w:rsidRDefault="00110FE6">
      <w:pPr>
        <w:pStyle w:val="BodyText"/>
      </w:pPr>
      <w:r>
        <w:t xml:space="preserve">Cette propriété ne s’applique qu’aux instances de </w:t>
      </w:r>
      <w:r>
        <w:rPr>
          <w:rStyle w:val="VerbatimChar"/>
        </w:rPr>
        <w:t>E90_Objet_symbolique</w:t>
      </w:r>
      <w:r>
        <w:t xml:space="preserve"> qui peuvent être complètement représentées sous cette forme. La représentation peut être plus spécifique que le niveau symbolique définissant la condition identitaire de l’objet représenté. Cela dépend du type d’objet symbolique représenté. Par exemple, si un nom a pour type « séquence de caractères en grec moderne », il peut être représenté par une transcription en alphabet latin sans perte de sens, signifiant la séquence de lettres grecques.</w:t>
      </w:r>
    </w:p>
    <w:p w14:paraId="7FB1B6F0" w14:textId="77777777" w:rsidR="0084489F" w:rsidRDefault="00110FE6">
      <w:pPr>
        <w:pStyle w:val="BodyText"/>
      </w:pPr>
      <w:r w:rsidRPr="1B9E7434">
        <w:rPr>
          <w:lang w:val="fr-FR"/>
        </w:rPr>
        <w:t>Selon un autre exemple, si l’objet représenté a pour type « séquence de mots anglais », les variantes orthographiques d’anglais américain ou d’anglais britannique peuvent être choisies pour représenter le mot anglais « colour », sans devoir recourir à un objet symbolique différent. Si un nom a pour type « nom traditionnel européen », aucune chaîne de caractères particulière ne peut définir son contenu.</w:t>
      </w:r>
    </w:p>
    <w:p w14:paraId="5FC411B7" w14:textId="77777777" w:rsidR="0084489F" w:rsidRDefault="00110FE6">
      <w:pPr>
        <w:pStyle w:val="BodyText"/>
      </w:pPr>
      <w:r>
        <w:rPr>
          <w:b/>
          <w:bCs/>
        </w:rPr>
        <w:t>Exemples</w:t>
      </w:r>
    </w:p>
    <w:p w14:paraId="7FE8957C" w14:textId="77777777" w:rsidR="0084489F" w:rsidRDefault="00110FE6" w:rsidP="00806324">
      <w:pPr>
        <w:numPr>
          <w:ilvl w:val="0"/>
          <w:numId w:val="293"/>
        </w:numPr>
      </w:pPr>
      <w:r>
        <w:t>La description des matériaux de l'œuvre peinte (</w:t>
      </w:r>
      <w:r>
        <w:rPr>
          <w:rStyle w:val="VerbatimChar"/>
        </w:rPr>
        <w:t>E33_Objet_linguistique</w:t>
      </w:r>
      <w:r>
        <w:t>) a pour contenu symbolique (</w:t>
      </w:r>
      <w:r>
        <w:rPr>
          <w:rStyle w:val="VerbatimChar"/>
        </w:rPr>
        <w:t>P190_a_pour_contenu_symbolique</w:t>
      </w:r>
      <w:r>
        <w:t>) « Huile, aquarelle française sur papier, graphite et encre sur toile, avec cadre en chêne » (</w:t>
      </w:r>
      <w:r>
        <w:rPr>
          <w:rStyle w:val="VerbatimChar"/>
        </w:rPr>
        <w:t>E62_Chaîne_de_caractères</w:t>
      </w:r>
      <w:r>
        <w:t>)</w:t>
      </w:r>
    </w:p>
    <w:p w14:paraId="18BBA77E" w14:textId="77777777" w:rsidR="0084489F" w:rsidRDefault="00110FE6" w:rsidP="00806324">
      <w:pPr>
        <w:numPr>
          <w:ilvl w:val="0"/>
          <w:numId w:val="293"/>
        </w:numPr>
      </w:pPr>
      <w:r>
        <w:t>Le titre du texte d’Einstein rédigé en 1915 (</w:t>
      </w:r>
      <w:r>
        <w:rPr>
          <w:rStyle w:val="VerbatimChar"/>
        </w:rPr>
        <w:t>E35_Titre</w:t>
      </w:r>
      <w:r>
        <w:t>) a pour contenu symbolique (</w:t>
      </w:r>
      <w:r>
        <w:rPr>
          <w:rStyle w:val="VerbatimChar"/>
        </w:rPr>
        <w:t>P190_a_pour_contenu_symbolique</w:t>
      </w:r>
      <w:r>
        <w:t>) « La Relativité » (</w:t>
      </w:r>
      <w:r>
        <w:rPr>
          <w:rStyle w:val="VerbatimChar"/>
        </w:rPr>
        <w:t>E62_Chaîne_de_caractères</w:t>
      </w:r>
      <w:r>
        <w:t>) (Einstein, 2001)</w:t>
      </w:r>
    </w:p>
    <w:p w14:paraId="7215408C" w14:textId="77777777" w:rsidR="0084489F" w:rsidRDefault="00110FE6" w:rsidP="00806324">
      <w:pPr>
        <w:numPr>
          <w:ilvl w:val="0"/>
          <w:numId w:val="293"/>
        </w:numPr>
      </w:pPr>
      <w:r>
        <w:t>L’histoire du Petit chaperon rouge (</w:t>
      </w:r>
      <w:r>
        <w:rPr>
          <w:rStyle w:val="VerbatimChar"/>
        </w:rPr>
        <w:t>E33_Objet_linguistique</w:t>
      </w:r>
      <w:r>
        <w:t>) a pour contenu symbolique (</w:t>
      </w:r>
      <w:r>
        <w:rPr>
          <w:rStyle w:val="VerbatimChar"/>
        </w:rPr>
        <w:t>P190_a_pour_contenu_symbolique</w:t>
      </w:r>
      <w:r>
        <w:t>) « Il était une fois une petite fille de village » (</w:t>
      </w:r>
      <w:r>
        <w:rPr>
          <w:rStyle w:val="VerbatimChar"/>
        </w:rPr>
        <w:t>E62_Chaîne_de_caractères</w:t>
      </w:r>
      <w:r>
        <w:t>) (Lang, 1965)</w:t>
      </w:r>
    </w:p>
    <w:p w14:paraId="345A2868" w14:textId="3E690939" w:rsidR="0084489F" w:rsidRDefault="00110FE6" w:rsidP="00806324">
      <w:pPr>
        <w:numPr>
          <w:ilvl w:val="0"/>
          <w:numId w:val="293"/>
        </w:numPr>
      </w:pPr>
      <w:r w:rsidRPr="1B9E7434">
        <w:rPr>
          <w:lang w:val="fr-FR"/>
        </w:rPr>
        <w:t>L’inscription sur l’objet SK-A-1601 du Rijksmuseum (</w:t>
      </w:r>
      <w:r w:rsidRPr="1B9E7434">
        <w:rPr>
          <w:rStyle w:val="VerbatimChar"/>
          <w:lang w:val="fr-FR"/>
        </w:rPr>
        <w:t>E34_Inscription</w:t>
      </w:r>
      <w:r w:rsidRPr="1B9E7434">
        <w:rPr>
          <w:lang w:val="fr-FR"/>
        </w:rPr>
        <w:t>) a pour contenu symbolique (</w:t>
      </w:r>
      <w:r w:rsidRPr="1B9E7434">
        <w:rPr>
          <w:rStyle w:val="VerbatimChar"/>
          <w:lang w:val="fr-FR"/>
        </w:rPr>
        <w:t>P190_a_pour_contenu_symbolique</w:t>
      </w:r>
      <w:r w:rsidRPr="1B9E7434">
        <w:rPr>
          <w:lang w:val="fr-FR"/>
        </w:rPr>
        <w:t>) « B » (</w:t>
      </w:r>
      <w:r w:rsidRPr="1B9E7434">
        <w:rPr>
          <w:rStyle w:val="VerbatimChar"/>
          <w:lang w:val="fr-FR"/>
        </w:rPr>
        <w:t>E62_Chaîne_de_caractères</w:t>
      </w:r>
      <w:r w:rsidRPr="1B9E7434">
        <w:rPr>
          <w:lang w:val="fr-FR"/>
        </w:rPr>
        <w:t>) [référence : https://www.rijksmuseum.nl/en/collection/SK-A-1601/catalogue-entry (accédé le 7 mars 2022)]</w:t>
      </w:r>
    </w:p>
    <w:p w14:paraId="01CCE6D7" w14:textId="77777777" w:rsidR="0084489F" w:rsidRDefault="00110FE6">
      <w:pPr>
        <w:pStyle w:val="FirstParagraph"/>
      </w:pPr>
      <w:r>
        <w:rPr>
          <w:b/>
          <w:bCs/>
        </w:rPr>
        <w:t>Logique</w:t>
      </w:r>
    </w:p>
    <w:p w14:paraId="2CC07D67" w14:textId="77777777" w:rsidR="0084489F" w:rsidRDefault="00110FE6">
      <w:pPr>
        <w:pStyle w:val="BodyText"/>
      </w:pPr>
      <w:r w:rsidRPr="1B9E7434">
        <w:rPr>
          <w:lang w:val="fr-FR"/>
        </w:rPr>
        <w:t>P190(x,y) ⇒ E90(x)</w:t>
      </w:r>
    </w:p>
    <w:p w14:paraId="6F97B434" w14:textId="77777777" w:rsidR="0084489F" w:rsidRDefault="00110FE6">
      <w:pPr>
        <w:pStyle w:val="BodyText"/>
      </w:pPr>
      <w:r w:rsidRPr="1B9E7434">
        <w:rPr>
          <w:lang w:val="fr-FR"/>
        </w:rPr>
        <w:t>P190(x,y) ⇒ E62(y)</w:t>
      </w:r>
    </w:p>
    <w:p w14:paraId="29E9334A" w14:textId="77777777" w:rsidR="0084489F" w:rsidRDefault="00110FE6">
      <w:pPr>
        <w:pStyle w:val="BodyText"/>
      </w:pPr>
      <w:r>
        <w:rPr>
          <w:b/>
          <w:bCs/>
        </w:rPr>
        <w:t>Propriétés</w:t>
      </w:r>
    </w:p>
    <w:p w14:paraId="72617638" w14:textId="77777777" w:rsidR="0084489F" w:rsidRDefault="00110FE6">
      <w:pPr>
        <w:pStyle w:val="BlockText"/>
      </w:pPr>
      <w:r>
        <w:rPr>
          <w:b/>
          <w:bCs/>
          <w:i/>
          <w:iCs/>
        </w:rPr>
        <w:t>Note de traduction</w:t>
      </w:r>
    </w:p>
    <w:p w14:paraId="20014878" w14:textId="77777777" w:rsidR="0084489F" w:rsidRDefault="00110FE6">
      <w:pPr>
        <w:pStyle w:val="BlockText"/>
      </w:pPr>
      <w:r w:rsidRPr="1B9E7434">
        <w:rPr>
          <w:lang w:val="fr-FR"/>
        </w:rPr>
        <w:t xml:space="preserve">Le titre </w:t>
      </w:r>
      <w:r w:rsidRPr="1B9E7434">
        <w:rPr>
          <w:i/>
          <w:iCs/>
          <w:lang w:val="fr-FR"/>
        </w:rPr>
        <w:t>La Relativité</w:t>
      </w:r>
      <w:r w:rsidRPr="1B9E7434">
        <w:rPr>
          <w:lang w:val="fr-FR"/>
        </w:rPr>
        <w:t xml:space="preserve"> a été retenu comme traduction de </w:t>
      </w:r>
      <w:r w:rsidRPr="1B9E7434">
        <w:rPr>
          <w:i/>
          <w:iCs/>
          <w:lang w:val="fr-FR"/>
        </w:rPr>
        <w:t>Relativity, the Special and the General Theory</w:t>
      </w:r>
      <w:r w:rsidRPr="1B9E7434">
        <w:rPr>
          <w:lang w:val="fr-FR"/>
        </w:rPr>
        <w:t>. Cette décision est basée sur le fait qu’il s’agit du titre de couverture en français retenu du côté de la Bibliothèque nationale de France ainsi que du côté de Wikipédia.</w:t>
      </w:r>
    </w:p>
    <w:p w14:paraId="6C45DC76" w14:textId="77777777" w:rsidR="0084489F" w:rsidRDefault="00110FE6">
      <w:pPr>
        <w:pStyle w:val="BlockText"/>
      </w:pPr>
      <w:r>
        <w:rPr>
          <w:b/>
          <w:bCs/>
          <w:i/>
          <w:iCs/>
        </w:rPr>
        <w:t>Références</w:t>
      </w:r>
    </w:p>
    <w:p w14:paraId="4F2795E6" w14:textId="77777777" w:rsidR="0084489F" w:rsidRDefault="00110FE6">
      <w:pPr>
        <w:pStyle w:val="BlockText"/>
      </w:pPr>
      <w:r w:rsidRPr="1B9E7434">
        <w:rPr>
          <w:lang w:val="fr-FR"/>
        </w:rPr>
        <w:t xml:space="preserve">Einstein, Albert. </w:t>
      </w:r>
      <w:r w:rsidRPr="1B9E7434">
        <w:rPr>
          <w:i/>
          <w:iCs/>
          <w:lang w:val="fr-FR"/>
        </w:rPr>
        <w:t>La relativité : théorie de la relativité restreinte et générale, la relativité et le problème de l’espace</w:t>
      </w:r>
      <w:r w:rsidRPr="1B9E7434">
        <w:rPr>
          <w:lang w:val="fr-FR"/>
        </w:rPr>
        <w:t>. Traduit par Maurice Solovine. Petite bibliothèque Payot 25. Paris, FR-IDF: Payot &amp; Rivages, 2001.</w:t>
      </w:r>
    </w:p>
    <w:p w14:paraId="3CAE7C49" w14:textId="77777777" w:rsidR="0084489F" w:rsidRDefault="00110FE6">
      <w:pPr>
        <w:pStyle w:val="BlockText"/>
      </w:pPr>
      <w:r>
        <w:t xml:space="preserve">Wikipédia. « La Relativité ». Dans </w:t>
      </w:r>
      <w:r>
        <w:rPr>
          <w:i/>
          <w:iCs/>
        </w:rPr>
        <w:t>Wikipédia</w:t>
      </w:r>
      <w:r>
        <w:t xml:space="preserve">. </w:t>
      </w:r>
      <w:r w:rsidRPr="008C0D99">
        <w:rPr>
          <w:lang w:val="en-CA"/>
        </w:rPr>
        <w:t>San Francisco, US-CA: Wikipédia, 14 octobre 2022.</w:t>
      </w:r>
      <w:hyperlink r:id="rId330">
        <w:r w:rsidRPr="008C0D99">
          <w:rPr>
            <w:rStyle w:val="Hyperlink"/>
            <w:lang w:val="en-CA"/>
          </w:rPr>
          <w:t xml:space="preserve"> </w:t>
        </w:r>
      </w:hyperlink>
      <w:hyperlink r:id="rId331">
        <w:r>
          <w:rPr>
            <w:rStyle w:val="Hyperlink"/>
          </w:rPr>
          <w:t>https://fr.wikipedia.org/w/index.php?title=La_Relativit%C3%A9&amp;oldid=197771496</w:t>
        </w:r>
      </w:hyperlink>
      <w:r>
        <w:t>.</w:t>
      </w:r>
    </w:p>
    <w:p w14:paraId="0CE2CD4C" w14:textId="77777777" w:rsidR="0084489F" w:rsidRDefault="00110FE6">
      <w:pPr>
        <w:pStyle w:val="Heading2"/>
      </w:pPr>
      <w:bookmarkStart w:id="600" w:name="_Toc176864672"/>
      <w:bookmarkStart w:id="601" w:name="p191-a-eu-pour-duree-(etait-la-duree-de)"/>
      <w:bookmarkEnd w:id="599"/>
      <w:r w:rsidRPr="1B9E7434">
        <w:rPr>
          <w:lang w:val="fr-FR"/>
        </w:rPr>
        <w:t>P191 a eu pour durée (était la durée de)</w:t>
      </w:r>
      <w:bookmarkEnd w:id="600"/>
    </w:p>
    <w:p w14:paraId="73EA88BD" w14:textId="77777777" w:rsidR="0084489F" w:rsidRDefault="00110FE6">
      <w:pPr>
        <w:pStyle w:val="FirstParagraph"/>
      </w:pPr>
      <w:r>
        <w:rPr>
          <w:b/>
          <w:bCs/>
        </w:rPr>
        <w:t>Domaine</w:t>
      </w:r>
    </w:p>
    <w:p w14:paraId="078CBA57" w14:textId="77777777" w:rsidR="0084489F" w:rsidRDefault="00110FE6">
      <w:pPr>
        <w:pStyle w:val="BodyText"/>
      </w:pPr>
      <w:r>
        <w:rPr>
          <w:rStyle w:val="VerbatimChar"/>
        </w:rPr>
        <w:t>E52_Intervalle_temporel</w:t>
      </w:r>
    </w:p>
    <w:p w14:paraId="3CD562DD" w14:textId="77777777" w:rsidR="0084489F" w:rsidRDefault="00110FE6">
      <w:pPr>
        <w:pStyle w:val="BodyText"/>
      </w:pPr>
      <w:r>
        <w:rPr>
          <w:b/>
          <w:bCs/>
        </w:rPr>
        <w:t>Portée</w:t>
      </w:r>
    </w:p>
    <w:p w14:paraId="613E8828" w14:textId="77777777" w:rsidR="0084489F" w:rsidRDefault="00110FE6">
      <w:pPr>
        <w:pStyle w:val="BodyText"/>
      </w:pPr>
      <w:r>
        <w:rPr>
          <w:rStyle w:val="VerbatimChar"/>
        </w:rPr>
        <w:t>E54_Dimension</w:t>
      </w:r>
    </w:p>
    <w:p w14:paraId="36FA5880" w14:textId="77777777" w:rsidR="0084489F" w:rsidRDefault="00110FE6">
      <w:pPr>
        <w:pStyle w:val="BodyText"/>
      </w:pPr>
      <w:r>
        <w:rPr>
          <w:b/>
          <w:bCs/>
        </w:rPr>
        <w:t>Sous-propriété de</w:t>
      </w:r>
    </w:p>
    <w:p w14:paraId="3D21E48B" w14:textId="77777777" w:rsidR="0084489F" w:rsidRDefault="00110FE6">
      <w:pPr>
        <w:pStyle w:val="BodyText"/>
      </w:pPr>
      <w:r>
        <w:rPr>
          <w:b/>
          <w:bCs/>
        </w:rPr>
        <w:t>Super-propriété de</w:t>
      </w:r>
    </w:p>
    <w:p w14:paraId="58496B42" w14:textId="77777777" w:rsidR="0084489F" w:rsidRDefault="00110FE6">
      <w:pPr>
        <w:pStyle w:val="BodyText"/>
      </w:pPr>
      <w:r>
        <w:rPr>
          <w:b/>
          <w:bCs/>
        </w:rPr>
        <w:t>Quantification</w:t>
      </w:r>
    </w:p>
    <w:p w14:paraId="13A496C0" w14:textId="77777777" w:rsidR="0084489F" w:rsidRDefault="00110FE6">
      <w:pPr>
        <w:pStyle w:val="BodyText"/>
      </w:pPr>
      <w:r w:rsidRPr="1B9E7434">
        <w:rPr>
          <w:lang w:val="fr-FR"/>
        </w:rPr>
        <w:t>un à un (1,1:1,1)</w:t>
      </w:r>
    </w:p>
    <w:p w14:paraId="2C37FA13" w14:textId="77777777" w:rsidR="0084489F" w:rsidRDefault="00110FE6">
      <w:pPr>
        <w:pStyle w:val="BodyText"/>
      </w:pPr>
      <w:r>
        <w:rPr>
          <w:b/>
          <w:bCs/>
        </w:rPr>
        <w:t>Note d’application</w:t>
      </w:r>
    </w:p>
    <w:p w14:paraId="7A8178D3" w14:textId="77777777" w:rsidR="0084489F" w:rsidRDefault="00110FE6">
      <w:pPr>
        <w:pStyle w:val="BodyText"/>
      </w:pPr>
      <w:r>
        <w:t xml:space="preserve">Cette propriété décrit la durée de temps couverte par une instance de </w:t>
      </w:r>
      <w:r>
        <w:rPr>
          <w:rStyle w:val="VerbatimChar"/>
        </w:rPr>
        <w:t>E52_Intervalle_temporel</w:t>
      </w:r>
      <w:r>
        <w:t xml:space="preserve">. Elle permet d'associer une instance de </w:t>
      </w:r>
      <w:r>
        <w:rPr>
          <w:rStyle w:val="VerbatimChar"/>
        </w:rPr>
        <w:t>E52_Intervalle_temporel</w:t>
      </w:r>
      <w:r>
        <w:t xml:space="preserve"> à une instance de </w:t>
      </w:r>
      <w:r>
        <w:rPr>
          <w:rStyle w:val="VerbatimChar"/>
        </w:rPr>
        <w:t>E54_Dimension</w:t>
      </w:r>
      <w:r>
        <w:t xml:space="preserve"> représentant une durée de temps indépendante du début et de la fin réels. L'indétermination de la valeur de la durée peut être exprimée en attribuant un intervalle numérique à la propriété </w:t>
      </w:r>
      <w:r>
        <w:rPr>
          <w:rStyle w:val="VerbatimChar"/>
        </w:rPr>
        <w:t>P90_a_pour_valeur</w:t>
      </w:r>
      <w:r>
        <w:t xml:space="preserve"> de </w:t>
      </w:r>
      <w:r>
        <w:rPr>
          <w:rStyle w:val="VerbatimChar"/>
        </w:rPr>
        <w:t>E54_Dimension</w:t>
      </w:r>
      <w:r>
        <w:t>.</w:t>
      </w:r>
    </w:p>
    <w:p w14:paraId="54053342" w14:textId="77777777" w:rsidR="0084489F" w:rsidRDefault="00110FE6">
      <w:pPr>
        <w:pStyle w:val="BodyText"/>
      </w:pPr>
      <w:r>
        <w:rPr>
          <w:b/>
          <w:bCs/>
        </w:rPr>
        <w:t>Exemples</w:t>
      </w:r>
    </w:p>
    <w:p w14:paraId="668C4783" w14:textId="3081DECD" w:rsidR="0084489F" w:rsidRDefault="00110FE6" w:rsidP="00806324">
      <w:pPr>
        <w:numPr>
          <w:ilvl w:val="0"/>
          <w:numId w:val="294"/>
        </w:numPr>
      </w:pPr>
      <w:r w:rsidRPr="1B9E7434">
        <w:rPr>
          <w:lang w:val="fr-FR"/>
        </w:rPr>
        <w:t>L’intervalle temporel de la bataille d'Issos 333 AEC (</w:t>
      </w:r>
      <w:r w:rsidRPr="1B9E7434">
        <w:rPr>
          <w:rStyle w:val="VerbatimChar"/>
          <w:lang w:val="fr-FR"/>
        </w:rPr>
        <w:t>E52_Intervalle_temporel</w:t>
      </w:r>
      <w:r w:rsidRPr="1B9E7434">
        <w:rPr>
          <w:lang w:val="fr-FR"/>
        </w:rPr>
        <w:t>) a eu pour durée (</w:t>
      </w:r>
      <w:r w:rsidRPr="1B9E7434">
        <w:rPr>
          <w:rStyle w:val="VerbatimChar"/>
          <w:lang w:val="fr-FR"/>
        </w:rPr>
        <w:t>P191_a_eu_pour_durée</w:t>
      </w:r>
      <w:r w:rsidRPr="1B9E7434">
        <w:rPr>
          <w:lang w:val="fr-FR"/>
        </w:rPr>
        <w:t>) la durée de la bataille d'Issos (</w:t>
      </w:r>
      <w:r w:rsidRPr="1B9E7434">
        <w:rPr>
          <w:rStyle w:val="VerbatimChar"/>
          <w:lang w:val="fr-FR"/>
        </w:rPr>
        <w:t>E54_Dimension</w:t>
      </w:r>
      <w:r w:rsidRPr="1B9E7434">
        <w:rPr>
          <w:lang w:val="fr-FR"/>
        </w:rPr>
        <w:t>) (Howard, 2012)</w:t>
      </w:r>
    </w:p>
    <w:p w14:paraId="2EA052F1" w14:textId="77777777" w:rsidR="0084489F" w:rsidRDefault="00110FE6">
      <w:pPr>
        <w:pStyle w:val="FirstParagraph"/>
      </w:pPr>
      <w:r>
        <w:rPr>
          <w:b/>
          <w:bCs/>
        </w:rPr>
        <w:t>Logique</w:t>
      </w:r>
    </w:p>
    <w:p w14:paraId="579AC609" w14:textId="77777777" w:rsidR="0084489F" w:rsidRDefault="00110FE6">
      <w:pPr>
        <w:pStyle w:val="BodyText"/>
      </w:pPr>
      <w:r w:rsidRPr="1B9E7434">
        <w:rPr>
          <w:lang w:val="fr-FR"/>
        </w:rPr>
        <w:t>P191(x,y) ⇒ E52(x)</w:t>
      </w:r>
    </w:p>
    <w:p w14:paraId="67AC22FB" w14:textId="77777777" w:rsidR="0084489F" w:rsidRDefault="00110FE6">
      <w:pPr>
        <w:pStyle w:val="BodyText"/>
      </w:pPr>
      <w:r w:rsidRPr="1B9E7434">
        <w:rPr>
          <w:lang w:val="fr-FR"/>
        </w:rPr>
        <w:t>P191(x,y) ⇒ E54(y)</w:t>
      </w:r>
    </w:p>
    <w:p w14:paraId="51C6DD9C" w14:textId="77777777" w:rsidR="0084489F" w:rsidRDefault="00110FE6">
      <w:pPr>
        <w:pStyle w:val="BodyText"/>
      </w:pPr>
      <w:r>
        <w:rPr>
          <w:b/>
          <w:bCs/>
        </w:rPr>
        <w:t>Propriétés</w:t>
      </w:r>
    </w:p>
    <w:p w14:paraId="55308F20" w14:textId="77777777" w:rsidR="0084489F" w:rsidRDefault="00110FE6">
      <w:pPr>
        <w:pStyle w:val="BlockText"/>
      </w:pPr>
      <w:r>
        <w:rPr>
          <w:b/>
          <w:bCs/>
          <w:i/>
          <w:iCs/>
        </w:rPr>
        <w:t>Note de traduction</w:t>
      </w:r>
    </w:p>
    <w:p w14:paraId="42EF9637" w14:textId="77777777" w:rsidR="0084489F" w:rsidRDefault="00110FE6">
      <w:pPr>
        <w:pStyle w:val="BlockText"/>
      </w:pPr>
      <w:r>
        <w:rPr>
          <w:b/>
          <w:bCs/>
          <w:i/>
          <w:iCs/>
        </w:rPr>
        <w:t>Références</w:t>
      </w:r>
    </w:p>
    <w:p w14:paraId="7C62A2C7" w14:textId="77777777" w:rsidR="0084489F" w:rsidRDefault="0084489F">
      <w:pPr>
        <w:pStyle w:val="BlockText"/>
      </w:pPr>
    </w:p>
    <w:p w14:paraId="6F0BB496" w14:textId="77777777" w:rsidR="0084489F" w:rsidRDefault="00110FE6">
      <w:pPr>
        <w:pStyle w:val="Heading2"/>
      </w:pPr>
      <w:bookmarkStart w:id="602" w:name="_Toc176864673"/>
      <w:bookmarkStart w:id="603" w:name="X29be38c3cb2adc06f181b8813797b82a9fc182a"/>
      <w:bookmarkEnd w:id="601"/>
      <w:r>
        <w:t>P195 a été une présence de (a eu pour présence)</w:t>
      </w:r>
      <w:bookmarkEnd w:id="602"/>
    </w:p>
    <w:p w14:paraId="2F1BC7EB" w14:textId="77777777" w:rsidR="0084489F" w:rsidRDefault="00110FE6">
      <w:pPr>
        <w:pStyle w:val="FirstParagraph"/>
      </w:pPr>
      <w:r>
        <w:rPr>
          <w:b/>
          <w:bCs/>
        </w:rPr>
        <w:t>Domaine</w:t>
      </w:r>
    </w:p>
    <w:p w14:paraId="57D14BBA" w14:textId="77777777" w:rsidR="0084489F" w:rsidRDefault="00110FE6">
      <w:pPr>
        <w:pStyle w:val="BodyText"/>
      </w:pPr>
      <w:r>
        <w:rPr>
          <w:rStyle w:val="VerbatimChar"/>
        </w:rPr>
        <w:t>E93_Présence</w:t>
      </w:r>
    </w:p>
    <w:p w14:paraId="1352F1BE" w14:textId="77777777" w:rsidR="0084489F" w:rsidRDefault="00110FE6" w:rsidP="0047520B">
      <w:pPr>
        <w:pStyle w:val="BodyText"/>
        <w:keepNext/>
      </w:pPr>
      <w:r>
        <w:rPr>
          <w:b/>
          <w:bCs/>
        </w:rPr>
        <w:t>Portée</w:t>
      </w:r>
    </w:p>
    <w:p w14:paraId="7010D153" w14:textId="77777777" w:rsidR="0084489F" w:rsidRDefault="00110FE6" w:rsidP="0047520B">
      <w:pPr>
        <w:pStyle w:val="BodyText"/>
        <w:keepNext/>
      </w:pPr>
      <w:r>
        <w:rPr>
          <w:rStyle w:val="VerbatimChar"/>
        </w:rPr>
        <w:t>E18_Chose_matérielle</w:t>
      </w:r>
    </w:p>
    <w:p w14:paraId="503B4C0C" w14:textId="77777777" w:rsidR="0084489F" w:rsidRDefault="00110FE6">
      <w:pPr>
        <w:pStyle w:val="BodyText"/>
      </w:pPr>
      <w:r>
        <w:rPr>
          <w:b/>
          <w:bCs/>
        </w:rPr>
        <w:t>Sous-propriété de</w:t>
      </w:r>
    </w:p>
    <w:p w14:paraId="0DE13B9C" w14:textId="77777777" w:rsidR="0084489F" w:rsidRDefault="00110FE6">
      <w:pPr>
        <w:pStyle w:val="BodyText"/>
      </w:pPr>
      <w:r>
        <w:rPr>
          <w:b/>
          <w:bCs/>
        </w:rPr>
        <w:t>Super-propriété de</w:t>
      </w:r>
    </w:p>
    <w:p w14:paraId="14B87B95" w14:textId="77777777" w:rsidR="0084489F" w:rsidRDefault="00110FE6">
      <w:pPr>
        <w:pStyle w:val="BodyText"/>
      </w:pPr>
      <w:r>
        <w:rPr>
          <w:b/>
          <w:bCs/>
        </w:rPr>
        <w:t>Quantification</w:t>
      </w:r>
    </w:p>
    <w:p w14:paraId="0469C78B" w14:textId="77777777" w:rsidR="0084489F" w:rsidRDefault="00110FE6">
      <w:pPr>
        <w:pStyle w:val="BodyText"/>
      </w:pPr>
      <w:r w:rsidRPr="1B9E7434">
        <w:rPr>
          <w:lang w:val="fr-FR"/>
        </w:rPr>
        <w:t>plusieurs à un, nécessaire (1,1:0,n)</w:t>
      </w:r>
    </w:p>
    <w:p w14:paraId="6918CCC0" w14:textId="77777777" w:rsidR="0084489F" w:rsidRDefault="00110FE6">
      <w:pPr>
        <w:pStyle w:val="BodyText"/>
      </w:pPr>
      <w:r>
        <w:rPr>
          <w:b/>
          <w:bCs/>
        </w:rPr>
        <w:t>Note d’application</w:t>
      </w:r>
    </w:p>
    <w:p w14:paraId="7773D6DC" w14:textId="77777777" w:rsidR="0084489F" w:rsidRDefault="00110FE6">
      <w:pPr>
        <w:pStyle w:val="BodyText"/>
      </w:pPr>
      <w:r>
        <w:t xml:space="preserve">Cette propriété associe une instance de </w:t>
      </w:r>
      <w:r>
        <w:rPr>
          <w:rStyle w:val="VerbatimChar"/>
        </w:rPr>
        <w:t>E93_Présence</w:t>
      </w:r>
      <w:r>
        <w:t xml:space="preserve"> à l'instance de </w:t>
      </w:r>
      <w:r>
        <w:rPr>
          <w:rStyle w:val="VerbatimChar"/>
        </w:rPr>
        <w:t>E18_Chose_matérielle</w:t>
      </w:r>
      <w:r>
        <w:t xml:space="preserve"> dont elle représente une restriction temporelle (c.-à-d. une tranche de temps) de la trajectoire spatio-temporelle de la chose. En d'autres termes, elle décrit où l'instance de </w:t>
      </w:r>
      <w:r>
        <w:rPr>
          <w:rStyle w:val="VerbatimChar"/>
        </w:rPr>
        <w:t>E18_Chose_matérielle</w:t>
      </w:r>
      <w:r>
        <w:t xml:space="preserve"> était ou s'est déplacée dans un intervalle temporel donné. L'instanciation de cette propriété constitue une partie nécessaire de l'identité de l'instance de </w:t>
      </w:r>
      <w:r>
        <w:rPr>
          <w:rStyle w:val="VerbatimChar"/>
        </w:rPr>
        <w:t>E93_Présence</w:t>
      </w:r>
      <w:r>
        <w:t>.</w:t>
      </w:r>
    </w:p>
    <w:p w14:paraId="3206B274" w14:textId="77777777" w:rsidR="0084489F" w:rsidRDefault="00110FE6">
      <w:pPr>
        <w:pStyle w:val="BodyText"/>
      </w:pPr>
      <w:r w:rsidRPr="1B9E7434">
        <w:rPr>
          <w:lang w:val="fr-FR"/>
        </w:rPr>
        <w:t xml:space="preserve">Cette propriété est un raccourci du chemin sémantique suivant : </w:t>
      </w:r>
      <w:r w:rsidRPr="1B9E7434">
        <w:rPr>
          <w:rStyle w:val="VerbatimChar"/>
          <w:lang w:val="fr-FR"/>
        </w:rPr>
        <w:t>E18_Chose_matérielle</w:t>
      </w:r>
      <w:r w:rsidRPr="1B9E7434">
        <w:rPr>
          <w:lang w:val="fr-FR"/>
        </w:rPr>
        <w:t xml:space="preserve">, </w:t>
      </w:r>
      <w:r w:rsidRPr="1B9E7434">
        <w:rPr>
          <w:rStyle w:val="VerbatimChar"/>
          <w:lang w:val="fr-FR"/>
        </w:rPr>
        <w:t>P196_définit (est_défini_par)</w:t>
      </w:r>
      <w:r w:rsidRPr="1B9E7434">
        <w:rPr>
          <w:lang w:val="fr-FR"/>
        </w:rPr>
        <w:t xml:space="preserve">, </w:t>
      </w:r>
      <w:r w:rsidRPr="1B9E7434">
        <w:rPr>
          <w:rStyle w:val="VerbatimChar"/>
          <w:lang w:val="fr-FR"/>
        </w:rPr>
        <w:t>E92_Volume_spatio-temporel</w:t>
      </w:r>
      <w:r w:rsidRPr="1B9E7434">
        <w:rPr>
          <w:lang w:val="fr-FR"/>
        </w:rPr>
        <w:t xml:space="preserve">, </w:t>
      </w:r>
      <w:r w:rsidRPr="1B9E7434">
        <w:rPr>
          <w:rStyle w:val="VerbatimChar"/>
          <w:lang w:val="fr-FR"/>
        </w:rPr>
        <w:t>P166_a_été_une_présence_de (a_eu_pour_présence)</w:t>
      </w:r>
      <w:r w:rsidRPr="1B9E7434">
        <w:rPr>
          <w:lang w:val="fr-FR"/>
        </w:rPr>
        <w:t xml:space="preserve"> et </w:t>
      </w:r>
      <w:r w:rsidRPr="1B9E7434">
        <w:rPr>
          <w:rStyle w:val="VerbatimChar"/>
          <w:lang w:val="fr-FR"/>
        </w:rPr>
        <w:t>E93_Présence</w:t>
      </w:r>
      <w:r w:rsidRPr="1B9E7434">
        <w:rPr>
          <w:lang w:val="fr-FR"/>
        </w:rPr>
        <w:t>.</w:t>
      </w:r>
    </w:p>
    <w:p w14:paraId="45F8E1C9" w14:textId="77777777" w:rsidR="0084489F" w:rsidRDefault="00110FE6">
      <w:pPr>
        <w:pStyle w:val="BodyText"/>
      </w:pPr>
      <w:r>
        <w:rPr>
          <w:b/>
          <w:bCs/>
        </w:rPr>
        <w:t>Exemples</w:t>
      </w:r>
    </w:p>
    <w:p w14:paraId="77FAA718" w14:textId="7AE23034" w:rsidR="0084489F" w:rsidRDefault="00110FE6" w:rsidP="00806324">
      <w:pPr>
        <w:numPr>
          <w:ilvl w:val="0"/>
          <w:numId w:val="295"/>
        </w:numPr>
      </w:pPr>
      <w:r w:rsidRPr="1B9E7434">
        <w:rPr>
          <w:lang w:val="fr-FR"/>
        </w:rPr>
        <w:t>La localisation de Johann Joachim Winckelmann en décembre 1755 (</w:t>
      </w:r>
      <w:r w:rsidRPr="1B9E7434">
        <w:rPr>
          <w:rStyle w:val="VerbatimChar"/>
          <w:lang w:val="fr-FR"/>
        </w:rPr>
        <w:t>E93_Présence</w:t>
      </w:r>
      <w:r w:rsidRPr="1B9E7434">
        <w:rPr>
          <w:lang w:val="fr-FR"/>
        </w:rPr>
        <w:t>) a été une présence de (</w:t>
      </w:r>
      <w:r w:rsidRPr="1B9E7434">
        <w:rPr>
          <w:rStyle w:val="VerbatimChar"/>
          <w:lang w:val="fr-FR"/>
        </w:rPr>
        <w:t>P195_a_été_une_présence_de)</w:t>
      </w:r>
      <w:r w:rsidRPr="1B9E7434">
        <w:rPr>
          <w:lang w:val="fr-FR"/>
        </w:rPr>
        <w:t xml:space="preserve"> Johann Joachim Winckelmann (</w:t>
      </w:r>
      <w:r w:rsidRPr="1B9E7434">
        <w:rPr>
          <w:rStyle w:val="VerbatimChar"/>
          <w:lang w:val="fr-FR"/>
        </w:rPr>
        <w:t>E21_Personne</w:t>
      </w:r>
      <w:r w:rsidRPr="1B9E7434">
        <w:rPr>
          <w:lang w:val="fr-FR"/>
        </w:rPr>
        <w:t>) (Wiencke, 1998)</w:t>
      </w:r>
    </w:p>
    <w:p w14:paraId="65E94412" w14:textId="71D16F7D" w:rsidR="0084489F" w:rsidRDefault="00110FE6" w:rsidP="00806324">
      <w:pPr>
        <w:numPr>
          <w:ilvl w:val="0"/>
          <w:numId w:val="295"/>
        </w:numPr>
      </w:pPr>
      <w:r w:rsidRPr="1B9E7434">
        <w:rPr>
          <w:lang w:val="fr-FR"/>
        </w:rPr>
        <w:t>La localisation de Johann Joachim Winckelmann du 19 novembre 1755 au 9 avril 1768 (</w:t>
      </w:r>
      <w:r w:rsidRPr="1B9E7434">
        <w:rPr>
          <w:rStyle w:val="VerbatimChar"/>
          <w:lang w:val="fr-FR"/>
        </w:rPr>
        <w:t>E93_Présence</w:t>
      </w:r>
      <w:r w:rsidRPr="1B9E7434">
        <w:rPr>
          <w:lang w:val="fr-FR"/>
        </w:rPr>
        <w:t>) a été une présence de (</w:t>
      </w:r>
      <w:r w:rsidRPr="1B9E7434">
        <w:rPr>
          <w:rStyle w:val="VerbatimChar"/>
          <w:lang w:val="fr-FR"/>
        </w:rPr>
        <w:t>P195_a_été_une_présence_de</w:t>
      </w:r>
      <w:r w:rsidRPr="1B9E7434">
        <w:rPr>
          <w:lang w:val="fr-FR"/>
        </w:rPr>
        <w:t>) Johann Joachim Winckelmann (</w:t>
      </w:r>
      <w:r w:rsidRPr="1B9E7434">
        <w:rPr>
          <w:rStyle w:val="VerbatimChar"/>
          <w:lang w:val="fr-FR"/>
        </w:rPr>
        <w:t>E21_Personne</w:t>
      </w:r>
      <w:r w:rsidRPr="1B9E7434">
        <w:rPr>
          <w:lang w:val="fr-FR"/>
        </w:rPr>
        <w:t>) (Wiencke, 2020)</w:t>
      </w:r>
    </w:p>
    <w:p w14:paraId="40E54639" w14:textId="77777777" w:rsidR="0084489F" w:rsidRDefault="00110FE6">
      <w:pPr>
        <w:pStyle w:val="FirstParagraph"/>
      </w:pPr>
      <w:r>
        <w:rPr>
          <w:b/>
          <w:bCs/>
        </w:rPr>
        <w:t>Logique</w:t>
      </w:r>
    </w:p>
    <w:p w14:paraId="36C3D0D3" w14:textId="77777777" w:rsidR="0084489F" w:rsidRDefault="00110FE6">
      <w:pPr>
        <w:pStyle w:val="BodyText"/>
      </w:pPr>
      <w:r w:rsidRPr="1B9E7434">
        <w:rPr>
          <w:lang w:val="fr-FR"/>
        </w:rPr>
        <w:t>P195(x,y) ⇒ E93(x)</w:t>
      </w:r>
    </w:p>
    <w:p w14:paraId="112EF982" w14:textId="77777777" w:rsidR="0084489F" w:rsidRDefault="00110FE6">
      <w:pPr>
        <w:pStyle w:val="BodyText"/>
      </w:pPr>
      <w:r w:rsidRPr="1B9E7434">
        <w:rPr>
          <w:lang w:val="fr-FR"/>
        </w:rPr>
        <w:t>P195(x,y) ⇒ E18(y)</w:t>
      </w:r>
    </w:p>
    <w:p w14:paraId="5226B54F" w14:textId="77777777" w:rsidR="0084489F" w:rsidRDefault="00110FE6">
      <w:pPr>
        <w:pStyle w:val="BodyText"/>
      </w:pPr>
      <w:r w:rsidRPr="1B9E7434">
        <w:rPr>
          <w:lang w:val="fr-FR"/>
        </w:rPr>
        <w:t>P195(x,y) ⇔ (∃z)[E92(z) ∧ P166(z,x) ∧ P196i(z,y)]</w:t>
      </w:r>
    </w:p>
    <w:p w14:paraId="320683AC" w14:textId="77777777" w:rsidR="0084489F" w:rsidRDefault="00110FE6">
      <w:pPr>
        <w:pStyle w:val="BodyText"/>
      </w:pPr>
      <w:r>
        <w:rPr>
          <w:b/>
          <w:bCs/>
        </w:rPr>
        <w:t>Propriétés</w:t>
      </w:r>
    </w:p>
    <w:p w14:paraId="3EF62D82" w14:textId="77777777" w:rsidR="0084489F" w:rsidRDefault="00110FE6">
      <w:pPr>
        <w:pStyle w:val="BlockText"/>
      </w:pPr>
      <w:r>
        <w:rPr>
          <w:b/>
          <w:bCs/>
          <w:i/>
          <w:iCs/>
        </w:rPr>
        <w:t>Note de traduction</w:t>
      </w:r>
    </w:p>
    <w:p w14:paraId="053CADC5" w14:textId="77777777" w:rsidR="0084489F" w:rsidRDefault="00110FE6">
      <w:pPr>
        <w:pStyle w:val="BlockText"/>
      </w:pPr>
      <w:r>
        <w:rPr>
          <w:b/>
          <w:bCs/>
          <w:i/>
          <w:iCs/>
        </w:rPr>
        <w:t>Références</w:t>
      </w:r>
    </w:p>
    <w:p w14:paraId="03E3145E" w14:textId="77777777" w:rsidR="0084489F" w:rsidRDefault="0084489F">
      <w:pPr>
        <w:pStyle w:val="BlockText"/>
      </w:pPr>
    </w:p>
    <w:p w14:paraId="39911DA9" w14:textId="77777777" w:rsidR="0084489F" w:rsidRDefault="00110FE6">
      <w:pPr>
        <w:pStyle w:val="Heading2"/>
      </w:pPr>
      <w:bookmarkStart w:id="604" w:name="_Toc176864674"/>
      <w:bookmarkStart w:id="605" w:name="p196-definit-(est-defini-par)"/>
      <w:bookmarkEnd w:id="603"/>
      <w:r>
        <w:t>P196 définit (est défini par)</w:t>
      </w:r>
      <w:bookmarkEnd w:id="604"/>
    </w:p>
    <w:p w14:paraId="0F2BA920" w14:textId="77777777" w:rsidR="0084489F" w:rsidRDefault="00110FE6">
      <w:pPr>
        <w:pStyle w:val="FirstParagraph"/>
      </w:pPr>
      <w:r>
        <w:rPr>
          <w:b/>
          <w:bCs/>
        </w:rPr>
        <w:t>Domaine</w:t>
      </w:r>
    </w:p>
    <w:p w14:paraId="1903E41A" w14:textId="77777777" w:rsidR="0084489F" w:rsidRDefault="00110FE6">
      <w:pPr>
        <w:pStyle w:val="BodyText"/>
      </w:pPr>
      <w:r>
        <w:rPr>
          <w:rStyle w:val="VerbatimChar"/>
        </w:rPr>
        <w:t>E18_Chose_matérielle</w:t>
      </w:r>
    </w:p>
    <w:p w14:paraId="45528B1E" w14:textId="77777777" w:rsidR="0084489F" w:rsidRDefault="00110FE6">
      <w:pPr>
        <w:pStyle w:val="BodyText"/>
      </w:pPr>
      <w:r>
        <w:rPr>
          <w:b/>
          <w:bCs/>
        </w:rPr>
        <w:t>Portée</w:t>
      </w:r>
    </w:p>
    <w:p w14:paraId="0AAFD74B" w14:textId="77777777" w:rsidR="0084489F" w:rsidRDefault="00110FE6">
      <w:pPr>
        <w:pStyle w:val="BodyText"/>
      </w:pPr>
      <w:r>
        <w:rPr>
          <w:rStyle w:val="VerbatimChar"/>
        </w:rPr>
        <w:t>E92_Volume_spatio-temporel</w:t>
      </w:r>
    </w:p>
    <w:p w14:paraId="16E3001C" w14:textId="77777777" w:rsidR="0084489F" w:rsidRDefault="00110FE6">
      <w:pPr>
        <w:pStyle w:val="BodyText"/>
      </w:pPr>
      <w:r>
        <w:rPr>
          <w:b/>
          <w:bCs/>
        </w:rPr>
        <w:t>Sous-propriété de</w:t>
      </w:r>
    </w:p>
    <w:p w14:paraId="1D87FDED" w14:textId="77777777" w:rsidR="0084489F" w:rsidRDefault="00110FE6">
      <w:pPr>
        <w:pStyle w:val="BodyText"/>
      </w:pPr>
      <w:r>
        <w:rPr>
          <w:b/>
          <w:bCs/>
        </w:rPr>
        <w:t>Super-propriété de</w:t>
      </w:r>
    </w:p>
    <w:p w14:paraId="05253914" w14:textId="77777777" w:rsidR="0084489F" w:rsidRDefault="00110FE6">
      <w:pPr>
        <w:pStyle w:val="BodyText"/>
      </w:pPr>
      <w:r>
        <w:rPr>
          <w:b/>
          <w:bCs/>
        </w:rPr>
        <w:t>Quantification</w:t>
      </w:r>
    </w:p>
    <w:p w14:paraId="000B6ECA" w14:textId="77777777" w:rsidR="0084489F" w:rsidRDefault="00110FE6">
      <w:pPr>
        <w:pStyle w:val="BodyText"/>
      </w:pPr>
      <w:r w:rsidRPr="1B9E7434">
        <w:rPr>
          <w:lang w:val="fr-FR"/>
        </w:rPr>
        <w:t>un à un, nécessaire (1,1:0,1)</w:t>
      </w:r>
    </w:p>
    <w:p w14:paraId="51A5E98A" w14:textId="77777777" w:rsidR="0084489F" w:rsidRDefault="00110FE6">
      <w:pPr>
        <w:pStyle w:val="BodyText"/>
      </w:pPr>
      <w:r>
        <w:rPr>
          <w:b/>
          <w:bCs/>
        </w:rPr>
        <w:t>Note d’application</w:t>
      </w:r>
    </w:p>
    <w:p w14:paraId="64FD28C6" w14:textId="77777777" w:rsidR="0084489F" w:rsidRDefault="00110FE6">
      <w:pPr>
        <w:pStyle w:val="BodyText"/>
      </w:pPr>
      <w:r>
        <w:t xml:space="preserve">Cette propriété associe une instance de </w:t>
      </w:r>
      <w:r>
        <w:rPr>
          <w:rStyle w:val="VerbatimChar"/>
        </w:rPr>
        <w:t>E18_Chose_matérielle</w:t>
      </w:r>
      <w:r>
        <w:t xml:space="preserve"> à l'instance de </w:t>
      </w:r>
      <w:r>
        <w:rPr>
          <w:rStyle w:val="VerbatimChar"/>
        </w:rPr>
        <w:t>E92_Volume_spatio-temporel</w:t>
      </w:r>
      <w:r>
        <w:t xml:space="preserve"> qui constitue la trajectoire complète de son étendue géométrique à travers l'espace-temps pendant toute la durée de l'existence de l'instance de </w:t>
      </w:r>
      <w:r>
        <w:rPr>
          <w:rStyle w:val="VerbatimChar"/>
        </w:rPr>
        <w:t>E18_Chose_matérielle</w:t>
      </w:r>
      <w:r>
        <w:t>.</w:t>
      </w:r>
    </w:p>
    <w:p w14:paraId="5F123302" w14:textId="77777777" w:rsidR="0084489F" w:rsidRDefault="00110FE6">
      <w:pPr>
        <w:pStyle w:val="BodyText"/>
      </w:pPr>
      <w:r w:rsidRPr="1B9E7434">
        <w:rPr>
          <w:lang w:val="fr-FR"/>
        </w:rPr>
        <w:t xml:space="preserve">Une instance de </w:t>
      </w:r>
      <w:r w:rsidRPr="1B9E7434">
        <w:rPr>
          <w:rStyle w:val="VerbatimChar"/>
          <w:lang w:val="fr-FR"/>
        </w:rPr>
        <w:t>E18_Chose_matérielle</w:t>
      </w:r>
      <w:r w:rsidRPr="1B9E7434">
        <w:rPr>
          <w:lang w:val="fr-FR"/>
        </w:rPr>
        <w:t xml:space="preserve"> n'occupe pas seulement un espace géométrique particulier à chaque instant de son existence, mais elle suit également, au cours de son existence, une trajectoire à travers l'espace-temps. Cette trajectoire occupe un volume réel (phénoménal) dans l'espace-temps. Ce dernier est l'instance de </w:t>
      </w:r>
      <w:r w:rsidRPr="1B9E7434">
        <w:rPr>
          <w:rStyle w:val="VerbatimChar"/>
          <w:lang w:val="fr-FR"/>
        </w:rPr>
        <w:t>E92_Volume_spatio-temporel</w:t>
      </w:r>
      <w:r w:rsidRPr="1B9E7434">
        <w:rPr>
          <w:lang w:val="fr-FR"/>
        </w:rPr>
        <w:t xml:space="preserve"> associée à cette propriété. Cette étendue spatio-temporelle réelle de l'instance de </w:t>
      </w:r>
      <w:r w:rsidRPr="1B9E7434">
        <w:rPr>
          <w:rStyle w:val="VerbatimChar"/>
          <w:lang w:val="fr-FR"/>
        </w:rPr>
        <w:t>E18_Chose_matérielle</w:t>
      </w:r>
      <w:r w:rsidRPr="1B9E7434">
        <w:rPr>
          <w:lang w:val="fr-FR"/>
        </w:rPr>
        <w:t xml:space="preserve"> est considérée comme unique, dans tous ses détails et son flou. L'identité et l'existence de l'instance de </w:t>
      </w:r>
      <w:r w:rsidRPr="1B9E7434">
        <w:rPr>
          <w:rStyle w:val="VerbatimChar"/>
          <w:lang w:val="fr-FR"/>
        </w:rPr>
        <w:t>E92_Volume_spatio-temporel</w:t>
      </w:r>
      <w:r w:rsidRPr="1B9E7434">
        <w:rPr>
          <w:lang w:val="fr-FR"/>
        </w:rPr>
        <w:t xml:space="preserve"> dépendent uniquement de l'identité de l'instance de </w:t>
      </w:r>
      <w:r w:rsidRPr="1B9E7434">
        <w:rPr>
          <w:rStyle w:val="VerbatimChar"/>
          <w:lang w:val="fr-FR"/>
        </w:rPr>
        <w:t>E18_Chose_matérielle</w:t>
      </w:r>
      <w:r w:rsidRPr="1B9E7434">
        <w:rPr>
          <w:lang w:val="fr-FR"/>
        </w:rPr>
        <w:t>, dont l'existence les définit. Cette étendue spatio-temporelle réelle constitue un volume spatio-temporel phénoménal tel que défini dans CRMgeo (Doerr &amp; Hiebel, 2013).</w:t>
      </w:r>
    </w:p>
    <w:p w14:paraId="583BAFF6" w14:textId="77777777" w:rsidR="0084489F" w:rsidRDefault="00110FE6">
      <w:pPr>
        <w:pStyle w:val="BodyText"/>
      </w:pPr>
      <w:r>
        <w:t>Les espaces remplis par la matière de la chose matérielle et tout espace interne qui peut exister, comme l'intérieur d'une boîte, sont inclus dans ce volume spatio-temporel. Les choses matérielles constituées d'agrégations d'objets physiquement non connectés, comme un jeu d'échecs, occupent un nombre fini de sous-ensembles individuellement contigus de ce volume d'espace-temps égal au nombre d'objets qui constituent l'ensemble et qui ne sont jamais connectés pendant son existence.</w:t>
      </w:r>
    </w:p>
    <w:p w14:paraId="04DA6137" w14:textId="77777777" w:rsidR="0084489F" w:rsidRDefault="00110FE6">
      <w:pPr>
        <w:pStyle w:val="BodyText"/>
      </w:pPr>
      <w:r>
        <w:rPr>
          <w:b/>
          <w:bCs/>
        </w:rPr>
        <w:t>Exemples</w:t>
      </w:r>
    </w:p>
    <w:p w14:paraId="48D01D39" w14:textId="29917E90" w:rsidR="0084489F" w:rsidRDefault="00110FE6" w:rsidP="00806324">
      <w:pPr>
        <w:numPr>
          <w:ilvl w:val="0"/>
          <w:numId w:val="296"/>
        </w:numPr>
      </w:pPr>
      <w:r w:rsidRPr="1B9E7434">
        <w:rPr>
          <w:lang w:val="fr-FR"/>
        </w:rPr>
        <w:t>HMS Temeraire (</w:t>
      </w:r>
      <w:r w:rsidRPr="1B9E7434">
        <w:rPr>
          <w:rStyle w:val="VerbatimChar"/>
          <w:lang w:val="fr-FR"/>
        </w:rPr>
        <w:t>E22_Objet_élaboré_par_l’humain</w:t>
      </w:r>
      <w:r w:rsidRPr="1B9E7434">
        <w:rPr>
          <w:lang w:val="fr-FR"/>
        </w:rPr>
        <w:t>) définit (</w:t>
      </w:r>
      <w:r w:rsidRPr="1B9E7434">
        <w:rPr>
          <w:rStyle w:val="VerbatimChar"/>
          <w:lang w:val="fr-FR"/>
        </w:rPr>
        <w:t>P196_définit</w:t>
      </w:r>
      <w:r w:rsidRPr="1B9E7434">
        <w:rPr>
          <w:lang w:val="fr-FR"/>
        </w:rPr>
        <w:t>) le volume spatio-temporel du HMS Temeraire (</w:t>
      </w:r>
      <w:r w:rsidRPr="1B9E7434">
        <w:rPr>
          <w:rStyle w:val="VerbatimChar"/>
          <w:lang w:val="fr-FR"/>
        </w:rPr>
        <w:t>E92_Volume_spatio-temporel</w:t>
      </w:r>
      <w:r w:rsidRPr="1B9E7434">
        <w:rPr>
          <w:lang w:val="fr-FR"/>
        </w:rPr>
        <w:t>) [il a été construit en 1798, à Chatham, et détruit en 1838, à Rotherhithe] (Willis, 2010)</w:t>
      </w:r>
    </w:p>
    <w:p w14:paraId="72FDEDEB" w14:textId="5CB28560" w:rsidR="0084489F" w:rsidRDefault="00110FE6" w:rsidP="00806324">
      <w:pPr>
        <w:numPr>
          <w:ilvl w:val="0"/>
          <w:numId w:val="296"/>
        </w:numPr>
      </w:pPr>
      <w:r w:rsidRPr="1B9E7434">
        <w:rPr>
          <w:lang w:val="fr-FR"/>
        </w:rPr>
        <w:t>Le reliquaire de saint Tite (</w:t>
      </w:r>
      <w:r w:rsidRPr="1B9E7434">
        <w:rPr>
          <w:rStyle w:val="VerbatimChar"/>
          <w:lang w:val="fr-FR"/>
        </w:rPr>
        <w:t>E22_Objet_élaboré_par_l’humain</w:t>
      </w:r>
      <w:r w:rsidRPr="1B9E7434">
        <w:rPr>
          <w:lang w:val="fr-FR"/>
        </w:rPr>
        <w:t>) définit (</w:t>
      </w:r>
      <w:r w:rsidRPr="1B9E7434">
        <w:rPr>
          <w:rStyle w:val="VerbatimChar"/>
          <w:lang w:val="fr-FR"/>
        </w:rPr>
        <w:t>P196_définit</w:t>
      </w:r>
      <w:r w:rsidRPr="1B9E7434">
        <w:rPr>
          <w:lang w:val="fr-FR"/>
        </w:rPr>
        <w:t>) le volume spatio-temporel du reliquaire de saint Tite (</w:t>
      </w:r>
      <w:r w:rsidRPr="1B9E7434">
        <w:rPr>
          <w:rStyle w:val="VerbatimChar"/>
          <w:lang w:val="fr-FR"/>
        </w:rPr>
        <w:t>E92_Volume_spatio-temporel</w:t>
      </w:r>
      <w:r w:rsidRPr="1B9E7434">
        <w:rPr>
          <w:lang w:val="fr-FR"/>
        </w:rPr>
        <w:t>) [le reliquaire a été produit par l'atelier des frères Vogiatzis situé à Monastiraki à Athènes en 1966 comme contenant pour le crâne de saint Tite. Le crâne a été placé à l'intérieur au même moment et a continué d'être dans le volume spatio-temporel du conteneur depuis ce jour. Le reliquaire contenant le crâne est conservé dans l'église Saint-Titus d'Héraklion en Crète depuis 1966] (Fisher &amp; Garvey, 2010 ; Panotis, 2016)</w:t>
      </w:r>
    </w:p>
    <w:p w14:paraId="129D44E3" w14:textId="77777777" w:rsidR="0084489F" w:rsidRDefault="00110FE6">
      <w:pPr>
        <w:pStyle w:val="FirstParagraph"/>
      </w:pPr>
      <w:r>
        <w:rPr>
          <w:b/>
          <w:bCs/>
        </w:rPr>
        <w:t>Logique</w:t>
      </w:r>
    </w:p>
    <w:p w14:paraId="36687D53" w14:textId="77777777" w:rsidR="0084489F" w:rsidRDefault="00110FE6">
      <w:pPr>
        <w:pStyle w:val="BodyText"/>
      </w:pPr>
      <w:r w:rsidRPr="1B9E7434">
        <w:rPr>
          <w:lang w:val="fr-FR"/>
        </w:rPr>
        <w:t>P196(x,y) ⇒ E18(x)</w:t>
      </w:r>
    </w:p>
    <w:p w14:paraId="619CB038" w14:textId="77777777" w:rsidR="0084489F" w:rsidRDefault="00110FE6">
      <w:pPr>
        <w:pStyle w:val="BodyText"/>
      </w:pPr>
      <w:r w:rsidRPr="1B9E7434">
        <w:rPr>
          <w:lang w:val="fr-FR"/>
        </w:rPr>
        <w:t>P196(x,y) ⇒ E92(y)</w:t>
      </w:r>
    </w:p>
    <w:p w14:paraId="532130BB" w14:textId="77777777" w:rsidR="0084489F" w:rsidRDefault="00110FE6">
      <w:pPr>
        <w:pStyle w:val="BodyText"/>
      </w:pPr>
      <w:r>
        <w:rPr>
          <w:b/>
          <w:bCs/>
        </w:rPr>
        <w:t>Propriétés</w:t>
      </w:r>
    </w:p>
    <w:p w14:paraId="3B574E59" w14:textId="77777777" w:rsidR="0084489F" w:rsidRDefault="00110FE6">
      <w:pPr>
        <w:pStyle w:val="BlockText"/>
      </w:pPr>
      <w:r>
        <w:rPr>
          <w:b/>
          <w:bCs/>
          <w:i/>
          <w:iCs/>
        </w:rPr>
        <w:t>Note de traduction</w:t>
      </w:r>
    </w:p>
    <w:p w14:paraId="1F659310" w14:textId="77777777" w:rsidR="0084489F" w:rsidRDefault="00110FE6">
      <w:pPr>
        <w:pStyle w:val="BlockText"/>
      </w:pPr>
      <w:r>
        <w:rPr>
          <w:b/>
          <w:bCs/>
          <w:i/>
          <w:iCs/>
        </w:rPr>
        <w:t>Références</w:t>
      </w:r>
    </w:p>
    <w:p w14:paraId="16C7816A" w14:textId="77777777" w:rsidR="0084489F" w:rsidRDefault="0084489F">
      <w:pPr>
        <w:pStyle w:val="BlockText"/>
      </w:pPr>
    </w:p>
    <w:p w14:paraId="7EBC869C" w14:textId="77777777" w:rsidR="0084489F" w:rsidRDefault="00110FE6">
      <w:pPr>
        <w:pStyle w:val="Heading2"/>
      </w:pPr>
      <w:bookmarkStart w:id="606" w:name="_Toc176864675"/>
      <w:bookmarkStart w:id="607" w:name="Xb5a00c69bda07e7838e83d03af62d60c19a8631"/>
      <w:bookmarkEnd w:id="605"/>
      <w:r>
        <w:t>P197 a couvert des parties de (a été partiellement couvert par)</w:t>
      </w:r>
      <w:bookmarkEnd w:id="606"/>
    </w:p>
    <w:p w14:paraId="21851D56" w14:textId="77777777" w:rsidR="0084489F" w:rsidRDefault="00110FE6">
      <w:pPr>
        <w:pStyle w:val="FirstParagraph"/>
      </w:pPr>
      <w:r>
        <w:rPr>
          <w:b/>
          <w:bCs/>
        </w:rPr>
        <w:t>Domaine</w:t>
      </w:r>
    </w:p>
    <w:p w14:paraId="0AC34017" w14:textId="77777777" w:rsidR="0084489F" w:rsidRDefault="00110FE6">
      <w:pPr>
        <w:pStyle w:val="BodyText"/>
      </w:pPr>
      <w:r>
        <w:rPr>
          <w:rStyle w:val="VerbatimChar"/>
        </w:rPr>
        <w:t>E93_Présence</w:t>
      </w:r>
    </w:p>
    <w:p w14:paraId="7F7E6FA5" w14:textId="77777777" w:rsidR="0084489F" w:rsidRDefault="00110FE6">
      <w:pPr>
        <w:pStyle w:val="BodyText"/>
      </w:pPr>
      <w:r>
        <w:rPr>
          <w:b/>
          <w:bCs/>
        </w:rPr>
        <w:t>Portée</w:t>
      </w:r>
    </w:p>
    <w:p w14:paraId="308DFD1C" w14:textId="77777777" w:rsidR="0084489F" w:rsidRDefault="00110FE6">
      <w:pPr>
        <w:pStyle w:val="BodyText"/>
      </w:pPr>
      <w:r>
        <w:rPr>
          <w:rStyle w:val="VerbatimChar"/>
        </w:rPr>
        <w:t>E53_Lieu</w:t>
      </w:r>
    </w:p>
    <w:p w14:paraId="5233F1DD" w14:textId="77777777" w:rsidR="0084489F" w:rsidRDefault="00110FE6">
      <w:pPr>
        <w:pStyle w:val="BodyText"/>
      </w:pPr>
      <w:r>
        <w:rPr>
          <w:b/>
          <w:bCs/>
        </w:rPr>
        <w:t>Sous-propriété de</w:t>
      </w:r>
    </w:p>
    <w:p w14:paraId="2DD28B32" w14:textId="77777777" w:rsidR="0084489F" w:rsidRDefault="00110FE6">
      <w:pPr>
        <w:pStyle w:val="BodyText"/>
      </w:pPr>
      <w:r>
        <w:rPr>
          <w:b/>
          <w:bCs/>
        </w:rPr>
        <w:t>Super-propriété de</w:t>
      </w:r>
    </w:p>
    <w:p w14:paraId="0132C3D3" w14:textId="77777777" w:rsidR="0084489F" w:rsidRDefault="00110FE6">
      <w:pPr>
        <w:pStyle w:val="BodyText"/>
      </w:pPr>
      <w:r>
        <w:rPr>
          <w:b/>
          <w:bCs/>
        </w:rPr>
        <w:t>Quantification</w:t>
      </w:r>
    </w:p>
    <w:p w14:paraId="138F3425" w14:textId="77777777" w:rsidR="0084489F" w:rsidRDefault="00110FE6">
      <w:pPr>
        <w:pStyle w:val="BodyText"/>
      </w:pPr>
      <w:r w:rsidRPr="1B9E7434">
        <w:rPr>
          <w:lang w:val="fr-FR"/>
        </w:rPr>
        <w:t>plusieurs à plusieurs (0,n:0,n)</w:t>
      </w:r>
    </w:p>
    <w:p w14:paraId="77D035A6" w14:textId="77777777" w:rsidR="0084489F" w:rsidRDefault="00110FE6">
      <w:pPr>
        <w:pStyle w:val="BodyText"/>
      </w:pPr>
      <w:r>
        <w:rPr>
          <w:b/>
          <w:bCs/>
        </w:rPr>
        <w:t>Note d’application</w:t>
      </w:r>
    </w:p>
    <w:p w14:paraId="09A70E37" w14:textId="77777777" w:rsidR="0084489F" w:rsidRDefault="00110FE6">
      <w:pPr>
        <w:pStyle w:val="BodyText"/>
      </w:pPr>
      <w:r>
        <w:t xml:space="preserve">Cette propriété associe une instance de </w:t>
      </w:r>
      <w:r>
        <w:rPr>
          <w:rStyle w:val="VerbatimChar"/>
        </w:rPr>
        <w:t>E93_Présence</w:t>
      </w:r>
      <w:r>
        <w:t xml:space="preserve"> avec une instance de </w:t>
      </w:r>
      <w:r>
        <w:rPr>
          <w:rStyle w:val="VerbatimChar"/>
        </w:rPr>
        <w:t>E53_Lieu</w:t>
      </w:r>
      <w:r>
        <w:t xml:space="preserve"> qui recoupe géométriquement la projection spatiale de l’instance de </w:t>
      </w:r>
      <w:r>
        <w:rPr>
          <w:rStyle w:val="VerbatimChar"/>
        </w:rPr>
        <w:t>E93_Présence</w:t>
      </w:r>
      <w:r>
        <w:t xml:space="preserve">. Un cas d’utilisation de cette propriété serait d’indiquer par quels endroits un objet ou une instance de </w:t>
      </w:r>
      <w:r>
        <w:rPr>
          <w:rStyle w:val="VerbatimChar"/>
        </w:rPr>
        <w:t>E21_Personne</w:t>
      </w:r>
      <w:r>
        <w:t xml:space="preserve"> a bougé ou a été bougé dans un intervalle temporel. Cette propriété peut aussi être utilisée pour décrire une extension partielle ou complète, temporaire ou fixe de l’étendue spatiale d’un domaine dans une région voisine pendant un intervalle temporel donné.</w:t>
      </w:r>
    </w:p>
    <w:p w14:paraId="68D91B3C" w14:textId="77777777" w:rsidR="0084489F" w:rsidRDefault="00110FE6">
      <w:pPr>
        <w:pStyle w:val="BodyText"/>
      </w:pPr>
      <w:r w:rsidRPr="1B9E7434">
        <w:rPr>
          <w:rStyle w:val="VerbatimChar"/>
          <w:lang w:val="fr-FR"/>
        </w:rPr>
        <w:t>P197_a_couvert_des_parties_de (a_été_partiellement_couvert_par)</w:t>
      </w:r>
      <w:r w:rsidRPr="1B9E7434">
        <w:rPr>
          <w:lang w:val="fr-FR"/>
        </w:rPr>
        <w:t xml:space="preserve"> est un raccourci du chemin sémantique suivant : </w:t>
      </w:r>
      <w:r w:rsidRPr="1B9E7434">
        <w:rPr>
          <w:rStyle w:val="VerbatimChar"/>
          <w:lang w:val="fr-FR"/>
        </w:rPr>
        <w:t>E93_Présence</w:t>
      </w:r>
      <w:r w:rsidRPr="1B9E7434">
        <w:rPr>
          <w:lang w:val="fr-FR"/>
        </w:rPr>
        <w:t xml:space="preserve">, </w:t>
      </w:r>
      <w:r w:rsidRPr="1B9E7434">
        <w:rPr>
          <w:rStyle w:val="VerbatimChar"/>
          <w:lang w:val="fr-FR"/>
        </w:rPr>
        <w:t>P161_a_pour_projection_spatiale (est_la_projection_spatiale_de)</w:t>
      </w:r>
      <w:r w:rsidRPr="1B9E7434">
        <w:rPr>
          <w:lang w:val="fr-FR"/>
        </w:rPr>
        <w:t xml:space="preserve">, </w:t>
      </w:r>
      <w:r w:rsidRPr="1B9E7434">
        <w:rPr>
          <w:rStyle w:val="VerbatimChar"/>
          <w:lang w:val="fr-FR"/>
        </w:rPr>
        <w:t>E53_Lieu</w:t>
      </w:r>
      <w:r w:rsidRPr="1B9E7434">
        <w:rPr>
          <w:lang w:val="fr-FR"/>
        </w:rPr>
        <w:t xml:space="preserve">, </w:t>
      </w:r>
      <w:r w:rsidRPr="1B9E7434">
        <w:rPr>
          <w:rStyle w:val="VerbatimChar"/>
          <w:lang w:val="fr-FR"/>
        </w:rPr>
        <w:t>P121_se_superpose_partiellement_à</w:t>
      </w:r>
      <w:r w:rsidRPr="1B9E7434">
        <w:rPr>
          <w:lang w:val="fr-FR"/>
        </w:rPr>
        <w:t xml:space="preserve">, </w:t>
      </w:r>
      <w:r w:rsidRPr="1B9E7434">
        <w:rPr>
          <w:rStyle w:val="VerbatimChar"/>
          <w:lang w:val="fr-FR"/>
        </w:rPr>
        <w:t>E53_Lieu</w:t>
      </w:r>
      <w:r w:rsidRPr="1B9E7434">
        <w:rPr>
          <w:lang w:val="fr-FR"/>
        </w:rPr>
        <w:t>.</w:t>
      </w:r>
    </w:p>
    <w:p w14:paraId="6BF6C308" w14:textId="77777777" w:rsidR="0084489F" w:rsidRDefault="00110FE6">
      <w:pPr>
        <w:pStyle w:val="BodyText"/>
      </w:pPr>
      <w:r>
        <w:rPr>
          <w:b/>
          <w:bCs/>
        </w:rPr>
        <w:t>Exemples</w:t>
      </w:r>
    </w:p>
    <w:p w14:paraId="74A4FBDF" w14:textId="5F078144" w:rsidR="0084489F" w:rsidRDefault="00110FE6" w:rsidP="00806324">
      <w:pPr>
        <w:numPr>
          <w:ilvl w:val="0"/>
          <w:numId w:val="297"/>
        </w:numPr>
      </w:pPr>
      <w:r w:rsidRPr="1B9E7434">
        <w:rPr>
          <w:lang w:val="fr-FR"/>
        </w:rPr>
        <w:t>La localisation de Johann Joachim Winckelmann du 19 novembre 1755 au 9 avril 1768 (</w:t>
      </w:r>
      <w:r w:rsidRPr="1B9E7434">
        <w:rPr>
          <w:rStyle w:val="VerbatimChar"/>
          <w:lang w:val="fr-FR"/>
        </w:rPr>
        <w:t>E93_Présence</w:t>
      </w:r>
      <w:r w:rsidRPr="1B9E7434">
        <w:rPr>
          <w:lang w:val="fr-FR"/>
        </w:rPr>
        <w:t>) a couvert des parties de (</w:t>
      </w:r>
      <w:r w:rsidRPr="1B9E7434">
        <w:rPr>
          <w:rStyle w:val="VerbatimChar"/>
          <w:lang w:val="fr-FR"/>
        </w:rPr>
        <w:t>P197_a_couvert_des_parties_de</w:t>
      </w:r>
      <w:r w:rsidRPr="1B9E7434">
        <w:rPr>
          <w:lang w:val="fr-FR"/>
        </w:rPr>
        <w:t>) Pæstum, Italie (</w:t>
      </w:r>
      <w:r w:rsidRPr="1B9E7434">
        <w:rPr>
          <w:rStyle w:val="VerbatimChar"/>
          <w:lang w:val="fr-FR"/>
        </w:rPr>
        <w:t>E53_Lieu</w:t>
      </w:r>
      <w:r w:rsidRPr="1B9E7434">
        <w:rPr>
          <w:lang w:val="fr-FR"/>
        </w:rPr>
        <w:t>) (Wiencke, 1998)</w:t>
      </w:r>
    </w:p>
    <w:p w14:paraId="785F7E7D" w14:textId="77777777" w:rsidR="0084489F" w:rsidRDefault="00110FE6" w:rsidP="00806324">
      <w:pPr>
        <w:numPr>
          <w:ilvl w:val="0"/>
          <w:numId w:val="297"/>
        </w:numPr>
      </w:pPr>
      <w:r>
        <w:t>L’Empire byzantin en 1013 EC (</w:t>
      </w:r>
      <w:r>
        <w:rPr>
          <w:rStyle w:val="VerbatimChar"/>
        </w:rPr>
        <w:t>E93_Présence</w:t>
      </w:r>
      <w:r>
        <w:t>) a couvert des parties de (</w:t>
      </w:r>
      <w:r>
        <w:rPr>
          <w:rStyle w:val="VerbatimChar"/>
        </w:rPr>
        <w:t>P197_a_couvert_des_parties_de</w:t>
      </w:r>
      <w:r>
        <w:t>) la péninsule italienne (</w:t>
      </w:r>
      <w:r>
        <w:rPr>
          <w:rStyle w:val="VerbatimChar"/>
        </w:rPr>
        <w:t>E53_Lieu</w:t>
      </w:r>
      <w:r>
        <w:t>) (Browning, 1980)</w:t>
      </w:r>
    </w:p>
    <w:p w14:paraId="02847195" w14:textId="77777777" w:rsidR="0084489F" w:rsidRDefault="00110FE6">
      <w:pPr>
        <w:pStyle w:val="FirstParagraph"/>
      </w:pPr>
      <w:r>
        <w:rPr>
          <w:b/>
          <w:bCs/>
        </w:rPr>
        <w:t>Logique</w:t>
      </w:r>
    </w:p>
    <w:p w14:paraId="2E061176" w14:textId="77777777" w:rsidR="0084489F" w:rsidRDefault="00110FE6">
      <w:pPr>
        <w:pStyle w:val="BodyText"/>
      </w:pPr>
      <w:r w:rsidRPr="1B9E7434">
        <w:rPr>
          <w:lang w:val="fr-FR"/>
        </w:rPr>
        <w:t>P197(x,y) ⇒ E93(x)</w:t>
      </w:r>
    </w:p>
    <w:p w14:paraId="39D8956A" w14:textId="77777777" w:rsidR="0084489F" w:rsidRDefault="00110FE6">
      <w:pPr>
        <w:pStyle w:val="BodyText"/>
      </w:pPr>
      <w:r w:rsidRPr="1B9E7434">
        <w:rPr>
          <w:lang w:val="fr-FR"/>
        </w:rPr>
        <w:t>P197(x,y) ⇒ E53(y)</w:t>
      </w:r>
    </w:p>
    <w:p w14:paraId="44E8E12B" w14:textId="77777777" w:rsidR="0084489F" w:rsidRDefault="00110FE6">
      <w:pPr>
        <w:pStyle w:val="BodyText"/>
      </w:pPr>
      <w:r>
        <w:rPr>
          <w:b/>
          <w:bCs/>
        </w:rPr>
        <w:t>Propriétés</w:t>
      </w:r>
    </w:p>
    <w:p w14:paraId="35130A69" w14:textId="77777777" w:rsidR="0084489F" w:rsidRDefault="00110FE6">
      <w:pPr>
        <w:pStyle w:val="BlockText"/>
      </w:pPr>
      <w:r>
        <w:rPr>
          <w:b/>
          <w:bCs/>
          <w:i/>
          <w:iCs/>
        </w:rPr>
        <w:t>Note de traduction</w:t>
      </w:r>
    </w:p>
    <w:p w14:paraId="3683252D" w14:textId="77777777" w:rsidR="0084489F" w:rsidRDefault="00110FE6">
      <w:pPr>
        <w:pStyle w:val="BlockText"/>
      </w:pPr>
      <w:r>
        <w:rPr>
          <w:b/>
          <w:bCs/>
          <w:i/>
          <w:iCs/>
        </w:rPr>
        <w:t>Références</w:t>
      </w:r>
    </w:p>
    <w:p w14:paraId="603610AE" w14:textId="77777777" w:rsidR="0084489F" w:rsidRDefault="0084489F">
      <w:pPr>
        <w:pStyle w:val="BlockText"/>
      </w:pPr>
    </w:p>
    <w:p w14:paraId="152ABB2E" w14:textId="77777777" w:rsidR="0084489F" w:rsidRDefault="00110FE6">
      <w:pPr>
        <w:pStyle w:val="Heading2"/>
      </w:pPr>
      <w:bookmarkStart w:id="608" w:name="_Toc176864676"/>
      <w:bookmarkStart w:id="609" w:name="Xdda5283b0f3cfd261ff834b809ced2056de49ae"/>
      <w:bookmarkEnd w:id="607"/>
      <w:r>
        <w:t>P198 contient ou soutient (est contenu ou soutenu par)</w:t>
      </w:r>
      <w:bookmarkEnd w:id="608"/>
    </w:p>
    <w:p w14:paraId="235B90A1" w14:textId="77777777" w:rsidR="0084489F" w:rsidRDefault="00110FE6">
      <w:pPr>
        <w:pStyle w:val="FirstParagraph"/>
      </w:pPr>
      <w:r>
        <w:rPr>
          <w:b/>
          <w:bCs/>
        </w:rPr>
        <w:t>Domaine</w:t>
      </w:r>
    </w:p>
    <w:p w14:paraId="0AC83DD1" w14:textId="77777777" w:rsidR="0084489F" w:rsidRDefault="00110FE6">
      <w:pPr>
        <w:pStyle w:val="BodyText"/>
      </w:pPr>
      <w:r>
        <w:rPr>
          <w:rStyle w:val="VerbatimChar"/>
        </w:rPr>
        <w:t>E18_Chose_matérielle</w:t>
      </w:r>
    </w:p>
    <w:p w14:paraId="3EF83FC9" w14:textId="77777777" w:rsidR="0084489F" w:rsidRDefault="00110FE6">
      <w:pPr>
        <w:pStyle w:val="BodyText"/>
      </w:pPr>
      <w:r>
        <w:rPr>
          <w:b/>
          <w:bCs/>
        </w:rPr>
        <w:t>Portée</w:t>
      </w:r>
    </w:p>
    <w:p w14:paraId="54B3D916" w14:textId="77777777" w:rsidR="0084489F" w:rsidRDefault="00110FE6">
      <w:pPr>
        <w:pStyle w:val="BodyText"/>
      </w:pPr>
      <w:r>
        <w:rPr>
          <w:rStyle w:val="VerbatimChar"/>
        </w:rPr>
        <w:t>E18_Chose_matérielle</w:t>
      </w:r>
    </w:p>
    <w:p w14:paraId="129BFD62" w14:textId="77777777" w:rsidR="0084489F" w:rsidRDefault="00110FE6">
      <w:pPr>
        <w:pStyle w:val="BodyText"/>
      </w:pPr>
      <w:r>
        <w:rPr>
          <w:b/>
          <w:bCs/>
        </w:rPr>
        <w:t>Sous-propriété de</w:t>
      </w:r>
    </w:p>
    <w:p w14:paraId="05544AA8" w14:textId="77777777" w:rsidR="0084489F" w:rsidRDefault="00110FE6">
      <w:pPr>
        <w:pStyle w:val="BodyText"/>
      </w:pPr>
      <w:r>
        <w:rPr>
          <w:b/>
          <w:bCs/>
        </w:rPr>
        <w:t>Super-propriété de</w:t>
      </w:r>
    </w:p>
    <w:p w14:paraId="0DC0CF66" w14:textId="77777777" w:rsidR="0084489F" w:rsidRDefault="00110FE6">
      <w:pPr>
        <w:pStyle w:val="BodyText"/>
      </w:pPr>
      <w:r>
        <w:rPr>
          <w:b/>
          <w:bCs/>
        </w:rPr>
        <w:t>Quantification</w:t>
      </w:r>
    </w:p>
    <w:p w14:paraId="38E130A8" w14:textId="77777777" w:rsidR="0084489F" w:rsidRDefault="00110FE6">
      <w:pPr>
        <w:pStyle w:val="BodyText"/>
      </w:pPr>
      <w:r w:rsidRPr="1B9E7434">
        <w:rPr>
          <w:lang w:val="fr-FR"/>
        </w:rPr>
        <w:t>un à plusieurs (0,n:0,n)</w:t>
      </w:r>
    </w:p>
    <w:p w14:paraId="32146424" w14:textId="77777777" w:rsidR="0084489F" w:rsidRDefault="00110FE6">
      <w:pPr>
        <w:pStyle w:val="BodyText"/>
      </w:pPr>
      <w:r>
        <w:rPr>
          <w:b/>
          <w:bCs/>
        </w:rPr>
        <w:t>Note d’application</w:t>
      </w:r>
    </w:p>
    <w:p w14:paraId="53527B04" w14:textId="77777777" w:rsidR="0084489F" w:rsidRDefault="00110FE6">
      <w:pPr>
        <w:pStyle w:val="BodyText"/>
      </w:pPr>
      <w:r>
        <w:t xml:space="preserve">Cette propriété relie une instance de </w:t>
      </w:r>
      <w:r>
        <w:rPr>
          <w:rStyle w:val="VerbatimChar"/>
        </w:rPr>
        <w:t>E18_Chose_matérielle</w:t>
      </w:r>
      <w:r>
        <w:t xml:space="preserve"> qui sert de contenant ou de support à une instance de </w:t>
      </w:r>
      <w:r>
        <w:rPr>
          <w:rStyle w:val="VerbatimChar"/>
        </w:rPr>
        <w:t>E18_Chose_matérielle</w:t>
      </w:r>
      <w:r>
        <w:t xml:space="preserve"> qui est supportée ou contenue. Des exemples typiques d'instances de </w:t>
      </w:r>
      <w:r>
        <w:rPr>
          <w:rStyle w:val="VerbatimChar"/>
        </w:rPr>
        <w:t>E18_Chose_matérielle</w:t>
      </w:r>
      <w:r>
        <w:t xml:space="preserve"> qui ont pour fonction d'être un contenant ou un support comprennent des étagères, des dossiers ou des boîtes. Ces contenants ou supports fournissent une surface stable qui est destinée à recevoir sur elle d'autres objets physiques pour entreposage, affichage, transport ou d'autres fonctions similaires.</w:t>
      </w:r>
    </w:p>
    <w:p w14:paraId="1E461C4D" w14:textId="77777777" w:rsidR="0084489F" w:rsidRDefault="00110FE6">
      <w:pPr>
        <w:pStyle w:val="BodyText"/>
      </w:pPr>
      <w:r w:rsidRPr="1B9E7434">
        <w:rPr>
          <w:lang w:val="fr-FR"/>
        </w:rPr>
        <w:t xml:space="preserve">Cette propriété est un raccourci du chemin sémantique suivant : </w:t>
      </w:r>
      <w:r w:rsidRPr="1B9E7434">
        <w:rPr>
          <w:rStyle w:val="VerbatimChar"/>
          <w:lang w:val="fr-FR"/>
        </w:rPr>
        <w:t>E18_Chose_matérielle</w:t>
      </w:r>
      <w:r w:rsidRPr="1B9E7434">
        <w:rPr>
          <w:lang w:val="fr-FR"/>
        </w:rPr>
        <w:t xml:space="preserve">, </w:t>
      </w:r>
      <w:r w:rsidRPr="1B9E7434">
        <w:rPr>
          <w:rStyle w:val="VerbatimChar"/>
          <w:lang w:val="fr-FR"/>
        </w:rPr>
        <w:t>P59_a_pour_section</w:t>
      </w:r>
      <w:r w:rsidRPr="1B9E7434">
        <w:rPr>
          <w:lang w:val="fr-FR"/>
        </w:rPr>
        <w:t xml:space="preserve">, </w:t>
      </w:r>
      <w:r w:rsidRPr="1B9E7434">
        <w:rPr>
          <w:rStyle w:val="VerbatimChar"/>
          <w:lang w:val="fr-FR"/>
        </w:rPr>
        <w:t>E53_Lieu</w:t>
      </w:r>
      <w:r w:rsidRPr="1B9E7434">
        <w:rPr>
          <w:lang w:val="fr-FR"/>
        </w:rPr>
        <w:t xml:space="preserve">, </w:t>
      </w:r>
      <w:r w:rsidRPr="1B9E7434">
        <w:rPr>
          <w:rStyle w:val="VerbatimChar"/>
          <w:lang w:val="fr-FR"/>
        </w:rPr>
        <w:t>P53i_est_la_localisation_actuelle_ou_antérieure_de</w:t>
      </w:r>
      <w:r w:rsidRPr="1B9E7434">
        <w:rPr>
          <w:lang w:val="fr-FR"/>
        </w:rPr>
        <w:t xml:space="preserve">, </w:t>
      </w:r>
      <w:r w:rsidRPr="1B9E7434">
        <w:rPr>
          <w:rStyle w:val="VerbatimChar"/>
          <w:lang w:val="fr-FR"/>
        </w:rPr>
        <w:t>E18_Chose_matérielle</w:t>
      </w:r>
      <w:r w:rsidRPr="1B9E7434">
        <w:rPr>
          <w:lang w:val="fr-FR"/>
        </w:rPr>
        <w:t xml:space="preserve">. Il ne s'agit pas d'une sous-propriété de </w:t>
      </w:r>
      <w:r w:rsidRPr="1B9E7434">
        <w:rPr>
          <w:rStyle w:val="VerbatimChar"/>
          <w:lang w:val="fr-FR"/>
        </w:rPr>
        <w:t>P46_est_composé_de (fait_partie_de)</w:t>
      </w:r>
      <w:r w:rsidRPr="1B9E7434">
        <w:rPr>
          <w:lang w:val="fr-FR"/>
        </w:rPr>
        <w:t>, car l'objet contenu ou supporté n'est pas un composant du contenant ou du support.</w:t>
      </w:r>
    </w:p>
    <w:p w14:paraId="02B87345" w14:textId="77777777" w:rsidR="0084489F" w:rsidRDefault="00110FE6">
      <w:pPr>
        <w:pStyle w:val="BodyText"/>
      </w:pPr>
      <w:r>
        <w:t xml:space="preserve">Cette propriété peut être utilisée pour éviter l'instanciation explicite de la classe </w:t>
      </w:r>
      <w:r>
        <w:rPr>
          <w:rStyle w:val="VerbatimChar"/>
        </w:rPr>
        <w:t>E53_Lieu</w:t>
      </w:r>
      <w:r>
        <w:t xml:space="preserve"> qui est définie par une instance de </w:t>
      </w:r>
      <w:r>
        <w:rPr>
          <w:rStyle w:val="VerbatimChar"/>
        </w:rPr>
        <w:t>E18_Chose_matérielle</w:t>
      </w:r>
      <w:r>
        <w:t xml:space="preserve">, en particulier lorsque la seule utilisation prévue de cette dernière est d'être un contenant ou une surface pour l'entreposage d'autres instances de </w:t>
      </w:r>
      <w:r>
        <w:rPr>
          <w:rStyle w:val="VerbatimChar"/>
        </w:rPr>
        <w:t>E18_Chose_matérielle</w:t>
      </w:r>
      <w:r>
        <w:t xml:space="preserve">. L'existence du lieu est définie par l'existence du contenant ou de la surface et disparaîtra en même temps que l'instance de </w:t>
      </w:r>
      <w:r>
        <w:rPr>
          <w:rStyle w:val="VerbatimChar"/>
        </w:rPr>
        <w:t>E6_Destruction</w:t>
      </w:r>
      <w:r>
        <w:t xml:space="preserve"> du contenant ou de la surface.</w:t>
      </w:r>
    </w:p>
    <w:p w14:paraId="792AC181" w14:textId="77777777" w:rsidR="0084489F" w:rsidRDefault="00110FE6">
      <w:pPr>
        <w:pStyle w:val="BodyText"/>
      </w:pPr>
      <w:r>
        <w:t>Cette propriété est transitive et asymétrique.</w:t>
      </w:r>
    </w:p>
    <w:p w14:paraId="784E6ED8" w14:textId="77777777" w:rsidR="0084489F" w:rsidRDefault="00110FE6">
      <w:pPr>
        <w:pStyle w:val="BodyText"/>
      </w:pPr>
      <w:r>
        <w:rPr>
          <w:b/>
          <w:bCs/>
        </w:rPr>
        <w:t>Exemples</w:t>
      </w:r>
    </w:p>
    <w:p w14:paraId="73FF447C" w14:textId="6282A8E6" w:rsidR="0084489F" w:rsidRDefault="00110FE6" w:rsidP="00806324">
      <w:pPr>
        <w:numPr>
          <w:ilvl w:val="0"/>
          <w:numId w:val="298"/>
        </w:numPr>
      </w:pPr>
      <w:r w:rsidRPr="1B9E7434">
        <w:rPr>
          <w:lang w:val="fr-FR"/>
        </w:rPr>
        <w:t>Le dossier d'archives « 6 » (</w:t>
      </w:r>
      <w:r w:rsidRPr="1B9E7434">
        <w:rPr>
          <w:rStyle w:val="VerbatimChar"/>
          <w:lang w:val="fr-FR"/>
        </w:rPr>
        <w:t>E22_Objet_élaboré_par_l’humain</w:t>
      </w:r>
      <w:r w:rsidRPr="1B9E7434">
        <w:rPr>
          <w:lang w:val="fr-FR"/>
        </w:rPr>
        <w:t>) contient ou soutient (</w:t>
      </w:r>
      <w:r w:rsidRPr="1B9E7434">
        <w:rPr>
          <w:rStyle w:val="VerbatimChar"/>
          <w:lang w:val="fr-FR"/>
        </w:rPr>
        <w:t>P198_contient_ou_soutient</w:t>
      </w:r>
      <w:r w:rsidRPr="1B9E7434">
        <w:rPr>
          <w:lang w:val="fr-FR"/>
        </w:rPr>
        <w:t>) le morceau de papier portant le texte d'une lettre de Lawrence Alloway à Sylvia Sleigh (</w:t>
      </w:r>
      <w:r w:rsidRPr="1B9E7434">
        <w:rPr>
          <w:rStyle w:val="VerbatimChar"/>
          <w:lang w:val="fr-FR"/>
        </w:rPr>
        <w:t>E22_Objet_élaboré_par_l’humain</w:t>
      </w:r>
      <w:r w:rsidRPr="1B9E7434">
        <w:rPr>
          <w:lang w:val="fr-FR"/>
        </w:rPr>
        <w:t>) [</w:t>
      </w:r>
      <w:hyperlink r:id="rId332">
        <w:r w:rsidRPr="1B9E7434">
          <w:rPr>
            <w:rStyle w:val="Hyperlink"/>
            <w:lang w:val="fr-FR"/>
          </w:rPr>
          <w:t>http://archives2.getty.edu:8082/xtf/view?docId=ead/2003.M.46/2003.M.46.xml;chunk.id</w:t>
        </w:r>
      </w:hyperlink>
      <w:r w:rsidRPr="1B9E7434">
        <w:rPr>
          <w:lang w:val="fr-FR"/>
        </w:rPr>
        <w:t>]</w:t>
      </w:r>
    </w:p>
    <w:p w14:paraId="22F3382B" w14:textId="641A1770" w:rsidR="0084489F" w:rsidRDefault="00110FE6" w:rsidP="00806324">
      <w:pPr>
        <w:numPr>
          <w:ilvl w:val="0"/>
          <w:numId w:val="298"/>
        </w:numPr>
      </w:pPr>
      <w:r w:rsidRPr="1B9E7434">
        <w:rPr>
          <w:lang w:val="fr-FR"/>
        </w:rPr>
        <w:t>Le dossier d'archives « 17 » (</w:t>
      </w:r>
      <w:r w:rsidRPr="1B9E7434">
        <w:rPr>
          <w:rStyle w:val="VerbatimChar"/>
          <w:lang w:val="fr-FR"/>
        </w:rPr>
        <w:t>E22_Objet_élaboré_par_l’humain</w:t>
      </w:r>
      <w:r w:rsidRPr="1B9E7434">
        <w:rPr>
          <w:lang w:val="fr-FR"/>
        </w:rPr>
        <w:t>) contient ou soutient (</w:t>
      </w:r>
      <w:r w:rsidRPr="1B9E7434">
        <w:rPr>
          <w:rStyle w:val="VerbatimChar"/>
          <w:lang w:val="fr-FR"/>
        </w:rPr>
        <w:t>P198_contient_ou_soutient</w:t>
      </w:r>
      <w:r w:rsidRPr="1B9E7434">
        <w:rPr>
          <w:lang w:val="fr-FR"/>
        </w:rPr>
        <w:t>) le daguerréotype qui représente l'image de Henry Ward Beecher lorsqu'il était un jeune garçon (</w:t>
      </w:r>
      <w:r w:rsidRPr="1B9E7434">
        <w:rPr>
          <w:rStyle w:val="VerbatimChar"/>
          <w:lang w:val="fr-FR"/>
        </w:rPr>
        <w:t>E22_Objet_élaboré_par_l’humain</w:t>
      </w:r>
      <w:r w:rsidRPr="1B9E7434">
        <w:rPr>
          <w:lang w:val="fr-FR"/>
        </w:rPr>
        <w:t>) [</w:t>
      </w:r>
      <w:hyperlink r:id="rId333">
        <w:r w:rsidRPr="1B9E7434">
          <w:rPr>
            <w:rStyle w:val="Hyperlink"/>
            <w:lang w:val="fr-FR"/>
          </w:rPr>
          <w:t>https://archives.yale.edu/repositories/12/archival_objects/1402266</w:t>
        </w:r>
      </w:hyperlink>
      <w:r w:rsidRPr="1B9E7434">
        <w:rPr>
          <w:lang w:val="fr-FR"/>
        </w:rPr>
        <w:t>]</w:t>
      </w:r>
    </w:p>
    <w:p w14:paraId="67BE8B7B" w14:textId="77777777" w:rsidR="0084489F" w:rsidRDefault="00110FE6" w:rsidP="00806324">
      <w:pPr>
        <w:numPr>
          <w:ilvl w:val="0"/>
          <w:numId w:val="298"/>
        </w:numPr>
      </w:pPr>
      <w:r>
        <w:t>La boîte « 88 » (</w:t>
      </w:r>
      <w:r>
        <w:rPr>
          <w:rStyle w:val="VerbatimChar"/>
        </w:rPr>
        <w:t>E22_Objet_élaboré_par_l’humain</w:t>
      </w:r>
      <w:r>
        <w:t>) contient ou soutient (</w:t>
      </w:r>
      <w:r>
        <w:rPr>
          <w:rStyle w:val="VerbatimChar"/>
        </w:rPr>
        <w:t>P198_contient_ou_soutient</w:t>
      </w:r>
      <w:r>
        <w:t>) le dossier « 17 » (</w:t>
      </w:r>
      <w:r>
        <w:rPr>
          <w:rStyle w:val="VerbatimChar"/>
        </w:rPr>
        <w:t>E22_Objet_élaboré_par_l’humain</w:t>
      </w:r>
      <w:r>
        <w:t>) [</w:t>
      </w:r>
      <w:hyperlink r:id="rId334">
        <w:r>
          <w:rPr>
            <w:rStyle w:val="Hyperlink"/>
          </w:rPr>
          <w:t>https://archives.yale.edu/repositories/12/archival_objects/1402266</w:t>
        </w:r>
      </w:hyperlink>
      <w:r>
        <w:t>]</w:t>
      </w:r>
    </w:p>
    <w:p w14:paraId="13F9E0ED" w14:textId="6D1E8DC9" w:rsidR="0084489F" w:rsidRDefault="00110FE6" w:rsidP="00806324">
      <w:pPr>
        <w:numPr>
          <w:ilvl w:val="0"/>
          <w:numId w:val="298"/>
        </w:numPr>
      </w:pPr>
      <w:r w:rsidRPr="1B9E7434">
        <w:rPr>
          <w:lang w:val="fr-FR"/>
        </w:rPr>
        <w:t>L'étagère à livres « GRI-708.1 » (</w:t>
      </w:r>
      <w:r w:rsidRPr="1B9E7434">
        <w:rPr>
          <w:rStyle w:val="VerbatimChar"/>
          <w:lang w:val="fr-FR"/>
        </w:rPr>
        <w:t>E22_Objet_élaboré_par_l’humain</w:t>
      </w:r>
      <w:r w:rsidRPr="1B9E7434">
        <w:rPr>
          <w:lang w:val="fr-FR"/>
        </w:rPr>
        <w:t>) contient ou soutient (</w:t>
      </w:r>
      <w:r w:rsidRPr="1B9E7434">
        <w:rPr>
          <w:rStyle w:val="VerbatimChar"/>
          <w:lang w:val="fr-FR"/>
        </w:rPr>
        <w:t>P198_contient_ou_soutient</w:t>
      </w:r>
      <w:r w:rsidRPr="1B9E7434">
        <w:rPr>
          <w:lang w:val="fr-FR"/>
        </w:rPr>
        <w:t xml:space="preserve">) le livre intitulé </w:t>
      </w:r>
      <w:r w:rsidRPr="1B9E7434">
        <w:rPr>
          <w:i/>
          <w:iCs/>
          <w:lang w:val="fr-FR"/>
        </w:rPr>
        <w:t>Catalog of Paintings in the J. Paul Getty Museum</w:t>
      </w:r>
      <w:r w:rsidRPr="1B9E7434">
        <w:rPr>
          <w:lang w:val="fr-FR"/>
        </w:rPr>
        <w:t xml:space="preserve"> (</w:t>
      </w:r>
      <w:r w:rsidRPr="1B9E7434">
        <w:rPr>
          <w:rStyle w:val="VerbatimChar"/>
          <w:lang w:val="fr-FR"/>
        </w:rPr>
        <w:t>E22_Objet_élaboré_par_l’humain</w:t>
      </w:r>
      <w:r w:rsidRPr="1B9E7434">
        <w:rPr>
          <w:lang w:val="fr-FR"/>
        </w:rPr>
        <w:t>) (Potts, 2015)</w:t>
      </w:r>
    </w:p>
    <w:p w14:paraId="7436A582" w14:textId="77777777" w:rsidR="0084489F" w:rsidRDefault="00110FE6" w:rsidP="00A16253">
      <w:pPr>
        <w:pStyle w:val="FirstParagraph"/>
        <w:keepNext/>
      </w:pPr>
      <w:r>
        <w:rPr>
          <w:b/>
          <w:bCs/>
        </w:rPr>
        <w:t>Logique</w:t>
      </w:r>
    </w:p>
    <w:p w14:paraId="6F785C04" w14:textId="77777777" w:rsidR="0084489F" w:rsidRDefault="00110FE6" w:rsidP="00A16253">
      <w:pPr>
        <w:pStyle w:val="BodyText"/>
        <w:keepNext/>
      </w:pPr>
      <w:r w:rsidRPr="1B9E7434">
        <w:rPr>
          <w:lang w:val="fr-FR"/>
        </w:rPr>
        <w:t>P198(x,y) ⇒ E18(x)</w:t>
      </w:r>
    </w:p>
    <w:p w14:paraId="776F05F4" w14:textId="77777777" w:rsidR="0084489F" w:rsidRDefault="00110FE6">
      <w:pPr>
        <w:pStyle w:val="BodyText"/>
      </w:pPr>
      <w:r w:rsidRPr="1B9E7434">
        <w:rPr>
          <w:lang w:val="fr-FR"/>
        </w:rPr>
        <w:t>P198(x,y) ⇒ E18(y)</w:t>
      </w:r>
    </w:p>
    <w:p w14:paraId="79444F42" w14:textId="77777777" w:rsidR="0084489F" w:rsidRDefault="00110FE6">
      <w:pPr>
        <w:pStyle w:val="BodyText"/>
      </w:pPr>
      <w:r w:rsidRPr="1B9E7434">
        <w:rPr>
          <w:lang w:val="fr-FR"/>
        </w:rPr>
        <w:t>[P198(x,y) ∧ P198(y,z)] ⇒ P198(x,z)</w:t>
      </w:r>
    </w:p>
    <w:p w14:paraId="4CA18D4A" w14:textId="77777777" w:rsidR="0084489F" w:rsidRDefault="00110FE6">
      <w:pPr>
        <w:pStyle w:val="BodyText"/>
      </w:pPr>
      <w:r w:rsidRPr="1B9E7434">
        <w:rPr>
          <w:lang w:val="fr-FR"/>
        </w:rPr>
        <w:t>[P198(x,y) ∧ P198(z,y)] ⇒ [P198(x,z) ˅ P198(z,x)]</w:t>
      </w:r>
    </w:p>
    <w:p w14:paraId="6CB62287" w14:textId="77777777" w:rsidR="0084489F" w:rsidRDefault="00110FE6">
      <w:pPr>
        <w:pStyle w:val="BodyText"/>
      </w:pPr>
      <w:r w:rsidRPr="1B9E7434">
        <w:rPr>
          <w:lang w:val="fr-FR"/>
        </w:rPr>
        <w:t>P198(x,y) ⇐ (∃z) [E53(z) ˄ P59(x,z) ˄ P53i(z,y)]</w:t>
      </w:r>
    </w:p>
    <w:p w14:paraId="22577C4C" w14:textId="77777777" w:rsidR="0084489F" w:rsidRDefault="00110FE6">
      <w:pPr>
        <w:pStyle w:val="BodyText"/>
      </w:pPr>
      <w:r w:rsidRPr="1B9E7434">
        <w:rPr>
          <w:lang w:val="fr-FR"/>
        </w:rPr>
        <w:t>P198(x,y) ⇒ ¬P198(y,x)</w:t>
      </w:r>
    </w:p>
    <w:p w14:paraId="11482EC7" w14:textId="77777777" w:rsidR="0084489F" w:rsidRDefault="00110FE6">
      <w:pPr>
        <w:pStyle w:val="BodyText"/>
      </w:pPr>
      <w:r>
        <w:rPr>
          <w:b/>
          <w:bCs/>
        </w:rPr>
        <w:t>Propriétés</w:t>
      </w:r>
    </w:p>
    <w:p w14:paraId="1937407E" w14:textId="77777777" w:rsidR="0084489F" w:rsidRDefault="00110FE6">
      <w:pPr>
        <w:pStyle w:val="BlockText"/>
      </w:pPr>
      <w:r>
        <w:rPr>
          <w:b/>
          <w:bCs/>
          <w:i/>
          <w:iCs/>
        </w:rPr>
        <w:t>Note de traduction</w:t>
      </w:r>
    </w:p>
    <w:p w14:paraId="77B1DE16" w14:textId="77777777" w:rsidR="0084489F" w:rsidRDefault="00110FE6">
      <w:pPr>
        <w:pStyle w:val="BlockText"/>
      </w:pPr>
      <w:r>
        <w:rPr>
          <w:b/>
          <w:bCs/>
          <w:i/>
          <w:iCs/>
        </w:rPr>
        <w:t>Références</w:t>
      </w:r>
    </w:p>
    <w:p w14:paraId="7DA1FAA8" w14:textId="77777777" w:rsidR="0084489F" w:rsidRDefault="0084489F">
      <w:pPr>
        <w:pStyle w:val="BlockText"/>
      </w:pPr>
    </w:p>
    <w:p w14:paraId="4A1A0B39" w14:textId="77777777" w:rsidR="0084489F" w:rsidRDefault="00110FE6">
      <w:pPr>
        <w:pStyle w:val="Heading1"/>
      </w:pPr>
      <w:bookmarkStart w:id="610" w:name="_Toc176864677"/>
      <w:bookmarkStart w:id="611" w:name="bibliographie-du-cidoc-crm"/>
      <w:bookmarkEnd w:id="273"/>
      <w:bookmarkEnd w:id="609"/>
      <w:r>
        <w:t>Bibliographie du CIDOC CRM</w:t>
      </w:r>
      <w:bookmarkEnd w:id="610"/>
    </w:p>
    <w:p w14:paraId="642D5DDA" w14:textId="77777777" w:rsidR="0084489F" w:rsidRPr="008C0D99" w:rsidRDefault="00110FE6">
      <w:pPr>
        <w:pStyle w:val="FirstParagraph"/>
        <w:rPr>
          <w:lang w:val="en-CA"/>
        </w:rPr>
      </w:pPr>
      <w:r w:rsidRPr="008C0D99">
        <w:rPr>
          <w:lang w:val="en-CA"/>
        </w:rPr>
        <w:t xml:space="preserve">Aczel, Amir D. 2007. </w:t>
      </w:r>
      <w:r w:rsidRPr="008C0D99">
        <w:rPr>
          <w:i/>
          <w:iCs/>
          <w:lang w:val="en-CA"/>
        </w:rPr>
        <w:t>The artist and the mathematician: the story of Nicolas Bourbaki, the genius mathematician who never existed</w:t>
      </w:r>
      <w:r w:rsidRPr="008C0D99">
        <w:rPr>
          <w:lang w:val="en-CA"/>
        </w:rPr>
        <w:t>. London : High Stakes.</w:t>
      </w:r>
    </w:p>
    <w:p w14:paraId="3B764D5C" w14:textId="77777777" w:rsidR="0084489F" w:rsidRPr="008C0D99" w:rsidRDefault="00110FE6">
      <w:pPr>
        <w:pStyle w:val="BodyText"/>
        <w:rPr>
          <w:lang w:val="en-CA"/>
        </w:rPr>
      </w:pPr>
      <w:r w:rsidRPr="008C0D99">
        <w:rPr>
          <w:lang w:val="en-CA"/>
        </w:rPr>
        <w:t xml:space="preserve">Adkin, Mark. 2005. </w:t>
      </w:r>
      <w:r w:rsidRPr="008C0D99">
        <w:rPr>
          <w:i/>
          <w:iCs/>
          <w:lang w:val="en-CA"/>
        </w:rPr>
        <w:t>The Trafalgar companion: a guide to history’s most famous sea battle and the life of Admiral Lord Nelson</w:t>
      </w:r>
      <w:r w:rsidRPr="008C0D99">
        <w:rPr>
          <w:lang w:val="en-CA"/>
        </w:rPr>
        <w:t>. London : Aurum Press Ltd.</w:t>
      </w:r>
    </w:p>
    <w:p w14:paraId="4482A21B" w14:textId="77777777" w:rsidR="0084489F" w:rsidRPr="008C0D99" w:rsidRDefault="00110FE6">
      <w:pPr>
        <w:pStyle w:val="BodyText"/>
        <w:rPr>
          <w:lang w:val="en-CA"/>
        </w:rPr>
      </w:pPr>
      <w:r w:rsidRPr="008C0D99">
        <w:rPr>
          <w:lang w:val="en-CA"/>
        </w:rPr>
        <w:t xml:space="preserve">Aldridge, Rebecca. 2008. </w:t>
      </w:r>
      <w:r w:rsidRPr="008C0D99">
        <w:rPr>
          <w:i/>
          <w:iCs/>
          <w:lang w:val="en-CA"/>
        </w:rPr>
        <w:t>The Sinking of the Titanic.</w:t>
      </w:r>
      <w:r w:rsidRPr="008C0D99">
        <w:rPr>
          <w:lang w:val="en-CA"/>
        </w:rPr>
        <w:t xml:space="preserve"> New York : Infobase Pub.</w:t>
      </w:r>
    </w:p>
    <w:p w14:paraId="6291BDEC" w14:textId="77777777" w:rsidR="0084489F" w:rsidRPr="008C0D99" w:rsidRDefault="00110FE6">
      <w:pPr>
        <w:pStyle w:val="BodyText"/>
        <w:rPr>
          <w:lang w:val="en-CA"/>
        </w:rPr>
      </w:pPr>
      <w:r w:rsidRPr="008C0D99">
        <w:rPr>
          <w:lang w:val="en-CA"/>
        </w:rPr>
        <w:t xml:space="preserve">Alighieri, D. 1956. </w:t>
      </w:r>
      <w:r w:rsidRPr="008C0D99">
        <w:rPr>
          <w:i/>
          <w:iCs/>
          <w:lang w:val="en-CA"/>
        </w:rPr>
        <w:t>La Divina Commedia: Inferno</w:t>
      </w:r>
      <w:r w:rsidRPr="008C0D99">
        <w:rPr>
          <w:lang w:val="en-CA"/>
        </w:rPr>
        <w:t>. New York : Folways Records.</w:t>
      </w:r>
    </w:p>
    <w:p w14:paraId="0C2FF7F4" w14:textId="77777777" w:rsidR="0084489F" w:rsidRPr="008C0D99" w:rsidRDefault="00110FE6">
      <w:pPr>
        <w:pStyle w:val="BodyText"/>
        <w:rPr>
          <w:lang w:val="en-CA"/>
        </w:rPr>
      </w:pPr>
      <w:r w:rsidRPr="008C0D99">
        <w:rPr>
          <w:lang w:val="en-CA"/>
        </w:rPr>
        <w:t xml:space="preserve">Allen, James F. 1983. « Maintaining knowledge about temporal intervals ». </w:t>
      </w:r>
      <w:r w:rsidRPr="008C0D99">
        <w:rPr>
          <w:i/>
          <w:iCs/>
          <w:lang w:val="en-CA"/>
        </w:rPr>
        <w:t>Communications of the ACM</w:t>
      </w:r>
      <w:r w:rsidRPr="008C0D99">
        <w:rPr>
          <w:lang w:val="en-CA"/>
        </w:rPr>
        <w:t xml:space="preserve"> 26 (11) : 832‑43. </w:t>
      </w:r>
      <w:hyperlink r:id="rId335">
        <w:r w:rsidRPr="008C0D99">
          <w:rPr>
            <w:rStyle w:val="Hyperlink"/>
            <w:lang w:val="en-CA"/>
          </w:rPr>
          <w:t>https://doi.org/10.1145/182.358434</w:t>
        </w:r>
      </w:hyperlink>
      <w:r w:rsidRPr="008C0D99">
        <w:rPr>
          <w:lang w:val="en-CA"/>
        </w:rPr>
        <w:t>.</w:t>
      </w:r>
    </w:p>
    <w:p w14:paraId="274810BA" w14:textId="77777777" w:rsidR="0084489F" w:rsidRPr="008C0D99" w:rsidRDefault="00110FE6">
      <w:pPr>
        <w:pStyle w:val="BodyText"/>
        <w:rPr>
          <w:lang w:val="en-CA"/>
        </w:rPr>
      </w:pPr>
      <w:r w:rsidRPr="008C0D99">
        <w:rPr>
          <w:lang w:val="en-CA"/>
        </w:rPr>
        <w:t xml:space="preserve">Allen, Virginia French. 1987. </w:t>
      </w:r>
      <w:r w:rsidRPr="008C0D99">
        <w:rPr>
          <w:i/>
          <w:iCs/>
          <w:lang w:val="en-CA"/>
        </w:rPr>
        <w:t>Reading for life, a first book for adults and their tutors</w:t>
      </w:r>
      <w:r w:rsidRPr="008C0D99">
        <w:rPr>
          <w:lang w:val="en-CA"/>
        </w:rPr>
        <w:t>. Palm Springs, CA : ALTA English Publishers.</w:t>
      </w:r>
    </w:p>
    <w:p w14:paraId="12B6752F" w14:textId="77777777" w:rsidR="0084489F" w:rsidRPr="008C0D99" w:rsidRDefault="00110FE6">
      <w:pPr>
        <w:pStyle w:val="BodyText"/>
        <w:rPr>
          <w:lang w:val="en-CA"/>
        </w:rPr>
      </w:pPr>
      <w:r w:rsidRPr="008C0D99">
        <w:rPr>
          <w:lang w:val="en-CA"/>
        </w:rPr>
        <w:t xml:space="preserve">Andrews, Ian, et Peter Kesteven. 1977. </w:t>
      </w:r>
      <w:r w:rsidRPr="008C0D99">
        <w:rPr>
          <w:i/>
          <w:iCs/>
          <w:lang w:val="en-CA"/>
        </w:rPr>
        <w:t>Defeat in the forest</w:t>
      </w:r>
      <w:r w:rsidRPr="008C0D99">
        <w:rPr>
          <w:lang w:val="en-CA"/>
        </w:rPr>
        <w:t>. London : Cambridge Press.</w:t>
      </w:r>
    </w:p>
    <w:p w14:paraId="7CBA35BB" w14:textId="77777777" w:rsidR="0084489F" w:rsidRPr="008C0D99" w:rsidRDefault="00110FE6">
      <w:pPr>
        <w:pStyle w:val="BodyText"/>
        <w:rPr>
          <w:lang w:val="en-CA"/>
        </w:rPr>
      </w:pPr>
      <w:r w:rsidRPr="008C0D99">
        <w:rPr>
          <w:lang w:val="en-CA"/>
        </w:rPr>
        <w:t xml:space="preserve">Atlas, Riva D. 2001. « ENRON’S COLLAPSE: THE OPTIONS; A Trend Toward Liquidation, Not Company Reorganization ». </w:t>
      </w:r>
      <w:r w:rsidRPr="008C0D99">
        <w:rPr>
          <w:i/>
          <w:iCs/>
          <w:lang w:val="en-CA"/>
        </w:rPr>
        <w:t>The New York Times</w:t>
      </w:r>
      <w:r w:rsidRPr="008C0D99">
        <w:rPr>
          <w:lang w:val="en-CA"/>
        </w:rPr>
        <w:t xml:space="preserve">, 30 novembre 2001, sect. Business. </w:t>
      </w:r>
      <w:hyperlink r:id="rId336">
        <w:r w:rsidRPr="008C0D99">
          <w:rPr>
            <w:rStyle w:val="Hyperlink"/>
            <w:lang w:val="en-CA"/>
          </w:rPr>
          <w:t>https://www.nytimes.com/2001/11/30/business/enron-s-collapse-options-trend-toward-liquidation-not-company-reorganization.html</w:t>
        </w:r>
      </w:hyperlink>
      <w:r w:rsidRPr="008C0D99">
        <w:rPr>
          <w:lang w:val="en-CA"/>
        </w:rPr>
        <w:t>.</w:t>
      </w:r>
    </w:p>
    <w:p w14:paraId="0EAC46D7" w14:textId="77777777" w:rsidR="0084489F" w:rsidRPr="008C0D99" w:rsidRDefault="00110FE6">
      <w:pPr>
        <w:pStyle w:val="BodyText"/>
        <w:rPr>
          <w:lang w:val="en-CA"/>
        </w:rPr>
      </w:pPr>
      <w:r w:rsidRPr="008C0D99">
        <w:rPr>
          <w:lang w:val="en-CA"/>
        </w:rPr>
        <w:t xml:space="preserve">Ball, David W. 1962. </w:t>
      </w:r>
      <w:r w:rsidRPr="008C0D99">
        <w:rPr>
          <w:i/>
          <w:iCs/>
          <w:lang w:val="en-CA"/>
        </w:rPr>
        <w:t>Maxwell’s equations of electrodynamics: an explanation</w:t>
      </w:r>
      <w:r w:rsidRPr="008C0D99">
        <w:rPr>
          <w:lang w:val="en-CA"/>
        </w:rPr>
        <w:t>. Washington : Spie Press.</w:t>
      </w:r>
    </w:p>
    <w:p w14:paraId="02265BFC" w14:textId="77777777" w:rsidR="0084489F" w:rsidRPr="008C0D99" w:rsidRDefault="00110FE6">
      <w:pPr>
        <w:pStyle w:val="BodyText"/>
        <w:rPr>
          <w:lang w:val="en-CA"/>
        </w:rPr>
      </w:pPr>
      <w:r w:rsidRPr="008C0D99">
        <w:rPr>
          <w:lang w:val="en-CA"/>
        </w:rPr>
        <w:t xml:space="preserve">Barber, Nicola. 1994. </w:t>
      </w:r>
      <w:r w:rsidRPr="008C0D99">
        <w:rPr>
          <w:i/>
          <w:iCs/>
          <w:lang w:val="en-CA"/>
        </w:rPr>
        <w:t>World War II.</w:t>
      </w:r>
      <w:r w:rsidRPr="008C0D99">
        <w:rPr>
          <w:lang w:val="en-CA"/>
        </w:rPr>
        <w:t xml:space="preserve"> Great Britain : Evans.</w:t>
      </w:r>
    </w:p>
    <w:p w14:paraId="14A376AA" w14:textId="77777777" w:rsidR="0084489F" w:rsidRPr="008C0D99" w:rsidRDefault="00110FE6">
      <w:pPr>
        <w:pStyle w:val="BodyText"/>
        <w:rPr>
          <w:lang w:val="en-CA"/>
        </w:rPr>
      </w:pPr>
      <w:r w:rsidRPr="008C0D99">
        <w:rPr>
          <w:lang w:val="en-CA"/>
        </w:rPr>
        <w:t xml:space="preserve">Barnard, H., S. H. Ambrose, D. E. Beehr, M. D. Forster, R. E. Lanehart, M. E. Malainey, R. E. Parr, M. Rider, C. Solazzo, et R. M. Yohe. 2007. « Mixed results of seven methods for organic residue analysis applied to one vessel with the residue of a known foodstuff ». </w:t>
      </w:r>
      <w:r w:rsidRPr="008C0D99">
        <w:rPr>
          <w:i/>
          <w:iCs/>
          <w:lang w:val="en-CA"/>
        </w:rPr>
        <w:t>Journal of Archaeological Science</w:t>
      </w:r>
      <w:r w:rsidRPr="008C0D99">
        <w:rPr>
          <w:lang w:val="en-CA"/>
        </w:rPr>
        <w:t xml:space="preserve"> 34 (1) : 28‑37. </w:t>
      </w:r>
      <w:hyperlink r:id="rId337">
        <w:r w:rsidRPr="008C0D99">
          <w:rPr>
            <w:rStyle w:val="Hyperlink"/>
            <w:lang w:val="en-CA"/>
          </w:rPr>
          <w:t>https://doi.org/10.1016/j.jas.2006.03.010</w:t>
        </w:r>
      </w:hyperlink>
      <w:r w:rsidRPr="008C0D99">
        <w:rPr>
          <w:lang w:val="en-CA"/>
        </w:rPr>
        <w:t>.</w:t>
      </w:r>
    </w:p>
    <w:p w14:paraId="5E0C205D" w14:textId="77777777" w:rsidR="0084489F" w:rsidRPr="008C0D99" w:rsidRDefault="00110FE6">
      <w:pPr>
        <w:pStyle w:val="BodyText"/>
        <w:rPr>
          <w:lang w:val="en-CA"/>
        </w:rPr>
      </w:pPr>
      <w:r w:rsidRPr="008C0D99">
        <w:rPr>
          <w:lang w:val="en-CA"/>
        </w:rPr>
        <w:t xml:space="preserve">Barton, Stephen Jonathan. 1992. </w:t>
      </w:r>
      <w:r w:rsidRPr="008C0D99">
        <w:rPr>
          <w:i/>
          <w:iCs/>
          <w:lang w:val="en-CA"/>
        </w:rPr>
        <w:t>The study of an electrically insulating resin for humid environments.</w:t>
      </w:r>
      <w:r w:rsidRPr="008C0D99">
        <w:rPr>
          <w:lang w:val="en-CA"/>
        </w:rPr>
        <w:t xml:space="preserve"> Kingston University Press.</w:t>
      </w:r>
    </w:p>
    <w:p w14:paraId="12428101" w14:textId="77777777" w:rsidR="0084489F" w:rsidRPr="008C0D99" w:rsidRDefault="00110FE6">
      <w:pPr>
        <w:pStyle w:val="BodyText"/>
        <w:rPr>
          <w:lang w:val="en-CA"/>
        </w:rPr>
      </w:pPr>
      <w:r w:rsidRPr="008C0D99">
        <w:rPr>
          <w:lang w:val="en-CA"/>
        </w:rPr>
        <w:t xml:space="preserve">Beckman, O. 1998. « Celsius, Linne and the Celsius Temperature Scale ». </w:t>
      </w:r>
      <w:r w:rsidRPr="008C0D99">
        <w:rPr>
          <w:i/>
          <w:iCs/>
          <w:lang w:val="en-CA"/>
        </w:rPr>
        <w:t>Bulletin of the Scientific Instrument Society</w:t>
      </w:r>
      <w:r w:rsidRPr="008C0D99">
        <w:rPr>
          <w:lang w:val="en-CA"/>
        </w:rPr>
        <w:t xml:space="preserve"> 56 : 17‑23.</w:t>
      </w:r>
    </w:p>
    <w:p w14:paraId="1C5BC873" w14:textId="77777777" w:rsidR="0084489F" w:rsidRPr="008C0D99" w:rsidRDefault="00110FE6">
      <w:pPr>
        <w:pStyle w:val="BodyText"/>
        <w:rPr>
          <w:lang w:val="en-CA"/>
        </w:rPr>
      </w:pPr>
      <w:r w:rsidRPr="008C0D99">
        <w:rPr>
          <w:lang w:val="en-CA"/>
        </w:rPr>
        <w:t xml:space="preserve">Bekiari, Chryssoula, Martin Doerr, George Bruseker, Erin Canning, Philippe Michon, Christian-Emil Ore, Stephen Stead, et Athanasios Velios, dir. 2022. </w:t>
      </w:r>
      <w:r w:rsidRPr="008C0D99">
        <w:rPr>
          <w:i/>
          <w:iCs/>
          <w:lang w:val="en-CA"/>
        </w:rPr>
        <w:t>CIDOC Conceptual Reference Model version 7.1.2</w:t>
      </w:r>
      <w:r w:rsidRPr="008C0D99">
        <w:rPr>
          <w:lang w:val="en-CA"/>
        </w:rPr>
        <w:t xml:space="preserve">. </w:t>
      </w:r>
      <w:hyperlink r:id="rId338">
        <w:r w:rsidRPr="008C0D99">
          <w:rPr>
            <w:rStyle w:val="Hyperlink"/>
            <w:lang w:val="en-CA"/>
          </w:rPr>
          <w:t>https://cidoc-crm.org/sites/default/files/cidoc_crm_version_7.1.2.pdf</w:t>
        </w:r>
      </w:hyperlink>
      <w:r w:rsidRPr="008C0D99">
        <w:rPr>
          <w:lang w:val="en-CA"/>
        </w:rPr>
        <w:t>.</w:t>
      </w:r>
    </w:p>
    <w:p w14:paraId="0825A964" w14:textId="77777777" w:rsidR="0084489F" w:rsidRDefault="00110FE6">
      <w:pPr>
        <w:pStyle w:val="BodyText"/>
      </w:pPr>
      <w:r>
        <w:t xml:space="preserve">Bekiari, Chryssoula, Martin Doerr, Patrick Le Boeuf, et Pat Riva, dir. 2015. </w:t>
      </w:r>
      <w:r w:rsidRPr="008C0D99">
        <w:rPr>
          <w:i/>
          <w:iCs/>
          <w:lang w:val="en-CA"/>
        </w:rPr>
        <w:t>FRBR, object-oriented definition and mapping from FRBRER, FRAD and FRSAD</w:t>
      </w:r>
      <w:r w:rsidRPr="008C0D99">
        <w:rPr>
          <w:lang w:val="en-CA"/>
        </w:rPr>
        <w:t xml:space="preserve">. </w:t>
      </w:r>
      <w:hyperlink r:id="rId339">
        <w:r>
          <w:rPr>
            <w:rStyle w:val="Hyperlink"/>
          </w:rPr>
          <w:t>http://www.cidoc-crm.org/frbroo/sites/default/files/FRBRoo_V2.4.pdf</w:t>
        </w:r>
      </w:hyperlink>
      <w:r>
        <w:t>.</w:t>
      </w:r>
    </w:p>
    <w:p w14:paraId="27E00AFD" w14:textId="77777777" w:rsidR="0084489F" w:rsidRPr="008C0D99" w:rsidRDefault="00110FE6">
      <w:pPr>
        <w:pStyle w:val="BodyText"/>
        <w:rPr>
          <w:lang w:val="en-CA"/>
        </w:rPr>
      </w:pPr>
      <w:r w:rsidRPr="008C0D99">
        <w:rPr>
          <w:lang w:val="en-CA"/>
        </w:rPr>
        <w:t xml:space="preserve">Benaki Museum. 2016. « Childhood, Toys and Games - Benaki Museum ». 2016. </w:t>
      </w:r>
      <w:hyperlink r:id="rId340">
        <w:r w:rsidRPr="008C0D99">
          <w:rPr>
            <w:rStyle w:val="Hyperlink"/>
            <w:lang w:val="en-CA"/>
          </w:rPr>
          <w:t>https://www.benaki.org//index.php?option=com_collections&amp;view=collection&amp;id=45&amp;Itemid=540&amp;lang=en</w:t>
        </w:r>
      </w:hyperlink>
      <w:r w:rsidRPr="008C0D99">
        <w:rPr>
          <w:lang w:val="en-CA"/>
        </w:rPr>
        <w:t>.</w:t>
      </w:r>
    </w:p>
    <w:p w14:paraId="59126573" w14:textId="77777777" w:rsidR="0084489F" w:rsidRPr="008C0D99" w:rsidRDefault="00110FE6">
      <w:pPr>
        <w:pStyle w:val="BodyText"/>
        <w:rPr>
          <w:lang w:val="en-CA"/>
        </w:rPr>
      </w:pPr>
      <w:r w:rsidRPr="008C0D99">
        <w:rPr>
          <w:lang w:val="en-CA"/>
        </w:rPr>
        <w:t xml:space="preserve">Berkoff, Steven. 2013. </w:t>
      </w:r>
      <w:r w:rsidRPr="008C0D99">
        <w:rPr>
          <w:i/>
          <w:iCs/>
          <w:lang w:val="en-CA"/>
        </w:rPr>
        <w:t>Sturm und Drang</w:t>
      </w:r>
      <w:r w:rsidRPr="008C0D99">
        <w:rPr>
          <w:lang w:val="en-CA"/>
        </w:rPr>
        <w:t xml:space="preserve">. London : Bloomsbury. </w:t>
      </w:r>
      <w:hyperlink r:id="rId341">
        <w:r w:rsidRPr="008C0D99">
          <w:rPr>
            <w:rStyle w:val="Hyperlink"/>
            <w:lang w:val="en-CA"/>
          </w:rPr>
          <w:t>http://dx.doi.org/10.5040/9780571291168.00000104</w:t>
        </w:r>
      </w:hyperlink>
      <w:r w:rsidRPr="008C0D99">
        <w:rPr>
          <w:lang w:val="en-CA"/>
        </w:rPr>
        <w:t>.</w:t>
      </w:r>
    </w:p>
    <w:p w14:paraId="31CAC8F1" w14:textId="77777777" w:rsidR="0084489F" w:rsidRDefault="00110FE6">
      <w:pPr>
        <w:pStyle w:val="BodyText"/>
      </w:pPr>
      <w:r w:rsidRPr="008C0D99">
        <w:rPr>
          <w:lang w:val="en-CA"/>
        </w:rPr>
        <w:t xml:space="preserve">« Berlin Wall built ». s. d. HISTORY. </w:t>
      </w:r>
      <w:r>
        <w:t xml:space="preserve">Consulté le 6 février 2021. </w:t>
      </w:r>
      <w:hyperlink r:id="rId342">
        <w:r>
          <w:rPr>
            <w:rStyle w:val="Hyperlink"/>
          </w:rPr>
          <w:t>https://www.history.com/this-day-in-history/berlin-wall-built</w:t>
        </w:r>
      </w:hyperlink>
      <w:r>
        <w:t>.</w:t>
      </w:r>
    </w:p>
    <w:p w14:paraId="4B8B8910" w14:textId="77777777" w:rsidR="0084489F" w:rsidRPr="0060792A" w:rsidRDefault="00110FE6">
      <w:pPr>
        <w:pStyle w:val="BodyText"/>
        <w:rPr>
          <w:lang w:val="en-US"/>
        </w:rPr>
      </w:pPr>
      <w:r>
        <w:t xml:space="preserve">Bertaud, Jean-Paul. 2004. </w:t>
      </w:r>
      <w:r>
        <w:rPr>
          <w:i/>
          <w:iCs/>
        </w:rPr>
        <w:t>La révolution française</w:t>
      </w:r>
      <w:r>
        <w:t xml:space="preserve">. </w:t>
      </w:r>
      <w:r w:rsidRPr="0060792A">
        <w:rPr>
          <w:lang w:val="en-US"/>
        </w:rPr>
        <w:t>Paris : Perrin.</w:t>
      </w:r>
    </w:p>
    <w:p w14:paraId="4315F78A" w14:textId="77777777" w:rsidR="0084489F" w:rsidRPr="008C0D99" w:rsidRDefault="00110FE6">
      <w:pPr>
        <w:pStyle w:val="BodyText"/>
        <w:rPr>
          <w:lang w:val="en-CA"/>
        </w:rPr>
      </w:pPr>
      <w:r w:rsidRPr="0060792A">
        <w:rPr>
          <w:lang w:val="en-US"/>
        </w:rPr>
        <w:t xml:space="preserve">Bieber, Margarete. 1961. </w:t>
      </w:r>
      <w:r w:rsidRPr="008C0D99">
        <w:rPr>
          <w:i/>
          <w:iCs/>
          <w:lang w:val="en-CA"/>
        </w:rPr>
        <w:t>The Sculpture of the Hellenistic Age - Revised Edition</w:t>
      </w:r>
      <w:r w:rsidRPr="008C0D99">
        <w:rPr>
          <w:lang w:val="en-CA"/>
        </w:rPr>
        <w:t>. New York : Columbia University Press.</w:t>
      </w:r>
    </w:p>
    <w:p w14:paraId="3CC642F9" w14:textId="77777777" w:rsidR="0084489F" w:rsidRPr="008C0D99" w:rsidRDefault="00110FE6">
      <w:pPr>
        <w:pStyle w:val="BodyText"/>
        <w:rPr>
          <w:lang w:val="en-CA"/>
        </w:rPr>
      </w:pPr>
      <w:r w:rsidRPr="008C0D99">
        <w:rPr>
          <w:lang w:val="en-CA"/>
        </w:rPr>
        <w:t xml:space="preserve">Black, Jeremy. 2010. </w:t>
      </w:r>
      <w:r w:rsidRPr="008C0D99">
        <w:rPr>
          <w:i/>
          <w:iCs/>
          <w:lang w:val="en-CA"/>
        </w:rPr>
        <w:t>The Battle of Waterloo</w:t>
      </w:r>
      <w:r w:rsidRPr="008C0D99">
        <w:rPr>
          <w:lang w:val="en-CA"/>
        </w:rPr>
        <w:t>. New York : Random House.</w:t>
      </w:r>
    </w:p>
    <w:p w14:paraId="1D041C22" w14:textId="77777777" w:rsidR="0084489F" w:rsidRPr="008C0D99" w:rsidRDefault="00110FE6">
      <w:pPr>
        <w:pStyle w:val="BodyText"/>
        <w:rPr>
          <w:lang w:val="en-CA"/>
        </w:rPr>
      </w:pPr>
      <w:r w:rsidRPr="008C0D99">
        <w:rPr>
          <w:lang w:val="en-CA"/>
        </w:rPr>
        <w:t xml:space="preserve">Blake, S. F. 1918. « Notes on the Clayton Herbarium ». </w:t>
      </w:r>
      <w:r w:rsidRPr="008C0D99">
        <w:rPr>
          <w:i/>
          <w:iCs/>
          <w:lang w:val="en-CA"/>
        </w:rPr>
        <w:t>Rhodora</w:t>
      </w:r>
      <w:r w:rsidRPr="008C0D99">
        <w:rPr>
          <w:lang w:val="en-CA"/>
        </w:rPr>
        <w:t xml:space="preserve"> 20 (230) : 21‑28, 48‑54, 65‑73.</w:t>
      </w:r>
    </w:p>
    <w:p w14:paraId="41B7F761" w14:textId="77777777" w:rsidR="0084489F" w:rsidRPr="008C0D99" w:rsidRDefault="00110FE6">
      <w:pPr>
        <w:pStyle w:val="BodyText"/>
        <w:rPr>
          <w:lang w:val="en-CA"/>
        </w:rPr>
      </w:pPr>
      <w:r w:rsidRPr="008C0D99">
        <w:rPr>
          <w:lang w:val="en-CA"/>
        </w:rPr>
        <w:t xml:space="preserve">Bleicken, Jochen, et Anthea Bell. 2015. </w:t>
      </w:r>
      <w:r w:rsidRPr="008C0D99">
        <w:rPr>
          <w:i/>
          <w:iCs/>
          <w:lang w:val="en-CA"/>
        </w:rPr>
        <w:t>Augustus: the biography</w:t>
      </w:r>
      <w:r w:rsidRPr="008C0D99">
        <w:rPr>
          <w:lang w:val="en-CA"/>
        </w:rPr>
        <w:t>. London : Allen Lane.</w:t>
      </w:r>
    </w:p>
    <w:p w14:paraId="499A1277" w14:textId="77777777" w:rsidR="0084489F" w:rsidRPr="008C0D99" w:rsidRDefault="00110FE6">
      <w:pPr>
        <w:pStyle w:val="BodyText"/>
        <w:rPr>
          <w:lang w:val="en-CA"/>
        </w:rPr>
      </w:pPr>
      <w:r w:rsidRPr="008C0D99">
        <w:rPr>
          <w:lang w:val="en-CA"/>
        </w:rPr>
        <w:t xml:space="preserve">Bonney, Richard. 2014. </w:t>
      </w:r>
      <w:r w:rsidRPr="008C0D99">
        <w:rPr>
          <w:i/>
          <w:iCs/>
          <w:lang w:val="en-CA"/>
        </w:rPr>
        <w:t>The Thirty years’ war: 1618-1648</w:t>
      </w:r>
      <w:r w:rsidRPr="008C0D99">
        <w:rPr>
          <w:lang w:val="en-CA"/>
        </w:rPr>
        <w:t>. Oxford : Osprey.</w:t>
      </w:r>
    </w:p>
    <w:p w14:paraId="36C32AFC" w14:textId="77777777" w:rsidR="0084489F" w:rsidRPr="008C0D99" w:rsidRDefault="00110FE6">
      <w:pPr>
        <w:pStyle w:val="BodyText"/>
        <w:rPr>
          <w:lang w:val="en-CA"/>
        </w:rPr>
      </w:pPr>
      <w:r w:rsidRPr="008C0D99">
        <w:rPr>
          <w:lang w:val="en-CA"/>
        </w:rPr>
        <w:t xml:space="preserve">Borchert, Till-Holger. 2008. </w:t>
      </w:r>
      <w:r w:rsidRPr="008C0D99">
        <w:rPr>
          <w:i/>
          <w:iCs/>
          <w:lang w:val="en-CA"/>
        </w:rPr>
        <w:t>Jan van Eyck</w:t>
      </w:r>
      <w:r w:rsidRPr="008C0D99">
        <w:rPr>
          <w:lang w:val="en-CA"/>
        </w:rPr>
        <w:t>. London : Taschen.</w:t>
      </w:r>
    </w:p>
    <w:p w14:paraId="7854D185" w14:textId="77777777" w:rsidR="0084489F" w:rsidRPr="0060792A" w:rsidRDefault="00110FE6">
      <w:pPr>
        <w:pStyle w:val="BodyText"/>
        <w:rPr>
          <w:lang w:val="en-US"/>
        </w:rPr>
      </w:pPr>
      <w:r w:rsidRPr="008C0D99">
        <w:rPr>
          <w:lang w:val="en-CA"/>
        </w:rPr>
        <w:t xml:space="preserve">Bortolatto, Luigina Rossi. </w:t>
      </w:r>
      <w:r>
        <w:t xml:space="preserve">1981. </w:t>
      </w:r>
      <w:r>
        <w:rPr>
          <w:i/>
          <w:iCs/>
        </w:rPr>
        <w:t>Tout l’œuvre peint de Monet: 1870-1889</w:t>
      </w:r>
      <w:r>
        <w:t xml:space="preserve">. </w:t>
      </w:r>
      <w:r w:rsidRPr="0060792A">
        <w:rPr>
          <w:lang w:val="en-US"/>
        </w:rPr>
        <w:t>Paris : Flammarion Groupe.</w:t>
      </w:r>
    </w:p>
    <w:p w14:paraId="68F6E28F" w14:textId="77777777" w:rsidR="0084489F" w:rsidRPr="008C0D99" w:rsidRDefault="00110FE6">
      <w:pPr>
        <w:pStyle w:val="BodyText"/>
        <w:rPr>
          <w:lang w:val="en-CA"/>
        </w:rPr>
      </w:pPr>
      <w:r w:rsidRPr="0060792A">
        <w:rPr>
          <w:lang w:val="en-US"/>
        </w:rPr>
        <w:t xml:space="preserve">Bosman, Lex. 2004. </w:t>
      </w:r>
      <w:r w:rsidRPr="008C0D99">
        <w:rPr>
          <w:i/>
          <w:iCs/>
          <w:lang w:val="en-CA"/>
        </w:rPr>
        <w:t>The power of tradition : spolia in the architecture of St. Peter’s in the Vatican / Lex Bosman.</w:t>
      </w:r>
      <w:r w:rsidRPr="008C0D99">
        <w:rPr>
          <w:lang w:val="en-CA"/>
        </w:rPr>
        <w:t xml:space="preserve"> Hilversum : Uitgeverij Verloren.</w:t>
      </w:r>
    </w:p>
    <w:p w14:paraId="625E82E8" w14:textId="77777777" w:rsidR="0084489F" w:rsidRPr="008C0D99" w:rsidRDefault="00110FE6">
      <w:pPr>
        <w:pStyle w:val="BodyText"/>
        <w:rPr>
          <w:lang w:val="en-CA"/>
        </w:rPr>
      </w:pPr>
      <w:r w:rsidRPr="008C0D99">
        <w:rPr>
          <w:lang w:val="en-CA"/>
        </w:rPr>
        <w:t xml:space="preserve">Boyd, Michael J. 2002. </w:t>
      </w:r>
      <w:r w:rsidRPr="008C0D99">
        <w:rPr>
          <w:i/>
          <w:iCs/>
          <w:lang w:val="en-CA"/>
        </w:rPr>
        <w:t>Middle Helladic and early Mycenaean mortuary practices in the southern and western Peloponnese</w:t>
      </w:r>
      <w:r w:rsidRPr="008C0D99">
        <w:rPr>
          <w:lang w:val="en-CA"/>
        </w:rPr>
        <w:t>. Oxford, Archaeopress.</w:t>
      </w:r>
    </w:p>
    <w:p w14:paraId="5ED0DAE4" w14:textId="77777777" w:rsidR="0084489F" w:rsidRDefault="00110FE6">
      <w:pPr>
        <w:pStyle w:val="BodyText"/>
      </w:pPr>
      <w:r w:rsidRPr="008C0D99">
        <w:rPr>
          <w:lang w:val="en-CA"/>
        </w:rPr>
        <w:t xml:space="preserve">Brandreth, G. 2004. </w:t>
      </w:r>
      <w:r w:rsidRPr="008C0D99">
        <w:rPr>
          <w:i/>
          <w:iCs/>
          <w:lang w:val="en-CA"/>
        </w:rPr>
        <w:t>Philip &amp; Elizabeth: Portait of a marriage</w:t>
      </w:r>
      <w:r w:rsidRPr="008C0D99">
        <w:rPr>
          <w:lang w:val="en-CA"/>
        </w:rPr>
        <w:t xml:space="preserve">. </w:t>
      </w:r>
      <w:r>
        <w:t>London : Arrow.</w:t>
      </w:r>
    </w:p>
    <w:p w14:paraId="0D6A4A27" w14:textId="77777777" w:rsidR="0084489F" w:rsidRPr="0060792A" w:rsidRDefault="00110FE6">
      <w:pPr>
        <w:pStyle w:val="BodyText"/>
        <w:rPr>
          <w:lang w:val="en-US"/>
        </w:rPr>
      </w:pPr>
      <w:r w:rsidRPr="1B9E7434">
        <w:rPr>
          <w:lang w:val="fr-FR"/>
        </w:rPr>
        <w:t xml:space="preserve">Brandstetter, Gabriele, et Gabriele Klein. 2015. </w:t>
      </w:r>
      <w:r w:rsidRPr="1B9E7434">
        <w:rPr>
          <w:i/>
          <w:iCs/>
          <w:lang w:val="fr-FR"/>
        </w:rPr>
        <w:t>Methoden der Tanzwissenschaft: Modellanalysen zu Pina Bauschs « Le Sacre du Printemps/Das Frühlingsopfer »</w:t>
      </w:r>
      <w:r w:rsidRPr="1B9E7434">
        <w:rPr>
          <w:lang w:val="fr-FR"/>
        </w:rPr>
        <w:t xml:space="preserve">. </w:t>
      </w:r>
      <w:r w:rsidRPr="0060792A">
        <w:rPr>
          <w:lang w:val="en-US"/>
        </w:rPr>
        <w:t>Bielefeld : Transcript.</w:t>
      </w:r>
    </w:p>
    <w:p w14:paraId="41AB6E2B" w14:textId="77777777" w:rsidR="0084489F" w:rsidRPr="008C0D99" w:rsidRDefault="00110FE6">
      <w:pPr>
        <w:pStyle w:val="BodyText"/>
        <w:rPr>
          <w:lang w:val="en-CA"/>
        </w:rPr>
      </w:pPr>
      <w:r w:rsidRPr="0060792A">
        <w:rPr>
          <w:lang w:val="en-US"/>
        </w:rPr>
        <w:t xml:space="preserve">Breasted, James Henry. 1906. </w:t>
      </w:r>
      <w:r w:rsidRPr="0060792A">
        <w:rPr>
          <w:i/>
          <w:iCs/>
          <w:lang w:val="en-US"/>
        </w:rPr>
        <w:t>Ancient records</w:t>
      </w:r>
      <w:r w:rsidRPr="0060792A">
        <w:rPr>
          <w:lang w:val="en-US"/>
        </w:rPr>
        <w:t xml:space="preserve">. </w:t>
      </w:r>
      <w:r w:rsidRPr="008C0D99">
        <w:rPr>
          <w:lang w:val="en-CA"/>
        </w:rPr>
        <w:t>Chicago : University of Chicago Press.</w:t>
      </w:r>
    </w:p>
    <w:p w14:paraId="68AE43B5" w14:textId="77777777" w:rsidR="0084489F" w:rsidRPr="008C0D99" w:rsidRDefault="00110FE6">
      <w:pPr>
        <w:pStyle w:val="BodyText"/>
        <w:rPr>
          <w:lang w:val="en-CA"/>
        </w:rPr>
      </w:pPr>
      <w:r w:rsidRPr="008C0D99">
        <w:rPr>
          <w:lang w:val="en-CA"/>
        </w:rPr>
        <w:t xml:space="preserve">Brickhill, Paul. 2001. </w:t>
      </w:r>
      <w:r w:rsidRPr="008C0D99">
        <w:rPr>
          <w:i/>
          <w:iCs/>
          <w:lang w:val="en-CA"/>
        </w:rPr>
        <w:t>Reach for the sky: the story of Douglas Bader, legless ace of the Battle of Britain</w:t>
      </w:r>
      <w:r w:rsidRPr="008C0D99">
        <w:rPr>
          <w:lang w:val="en-CA"/>
        </w:rPr>
        <w:t>. Annapolis, Md. : Naval Institute Press.</w:t>
      </w:r>
    </w:p>
    <w:p w14:paraId="006859AA" w14:textId="77777777" w:rsidR="0084489F" w:rsidRPr="0060792A" w:rsidRDefault="00110FE6">
      <w:pPr>
        <w:pStyle w:val="BodyText"/>
        <w:rPr>
          <w:lang w:val="fr-CA"/>
        </w:rPr>
      </w:pPr>
      <w:r w:rsidRPr="008C0D99">
        <w:rPr>
          <w:lang w:val="en-CA"/>
        </w:rPr>
        <w:t xml:space="preserve">Brilliant, Richard. 2000. </w:t>
      </w:r>
      <w:r w:rsidRPr="008C0D99">
        <w:rPr>
          <w:i/>
          <w:iCs/>
          <w:lang w:val="en-CA"/>
        </w:rPr>
        <w:t>My Laocoön: alternative claims in the interpretation of artworks</w:t>
      </w:r>
      <w:r w:rsidRPr="008C0D99">
        <w:rPr>
          <w:lang w:val="en-CA"/>
        </w:rPr>
        <w:t xml:space="preserve">. </w:t>
      </w:r>
      <w:r w:rsidRPr="0060792A">
        <w:rPr>
          <w:lang w:val="fr-CA"/>
        </w:rPr>
        <w:t>Berkeley : Univ. of California Press.</w:t>
      </w:r>
    </w:p>
    <w:p w14:paraId="3E44793E" w14:textId="77777777" w:rsidR="0084489F" w:rsidRPr="008C0D99" w:rsidRDefault="00110FE6">
      <w:pPr>
        <w:pStyle w:val="BodyText"/>
        <w:rPr>
          <w:lang w:val="en-CA"/>
        </w:rPr>
      </w:pPr>
      <w:r w:rsidRPr="0060792A">
        <w:rPr>
          <w:lang w:val="fr-CA"/>
        </w:rPr>
        <w:t xml:space="preserve">Briquet, Charles-Moïse. 1985. </w:t>
      </w:r>
      <w:r>
        <w:rPr>
          <w:i/>
          <w:iCs/>
        </w:rPr>
        <w:t>Les filigranes: dictionnaire historique des marques du papier : dès leur apparition vers 1282 jusqu’en 1600</w:t>
      </w:r>
      <w:r>
        <w:t xml:space="preserve">. </w:t>
      </w:r>
      <w:r w:rsidRPr="008C0D99">
        <w:rPr>
          <w:lang w:val="en-CA"/>
        </w:rPr>
        <w:t>New York : Hacker art Books.</w:t>
      </w:r>
    </w:p>
    <w:p w14:paraId="63EC18FD" w14:textId="77777777" w:rsidR="0084489F" w:rsidRPr="008C0D99" w:rsidRDefault="00110FE6">
      <w:pPr>
        <w:pStyle w:val="BodyText"/>
        <w:rPr>
          <w:lang w:val="en-CA"/>
        </w:rPr>
      </w:pPr>
      <w:r w:rsidRPr="008C0D99">
        <w:rPr>
          <w:lang w:val="en-CA"/>
        </w:rPr>
        <w:t xml:space="preserve">British Museum, et George Francis Hill. 1922. </w:t>
      </w:r>
      <w:r w:rsidRPr="008C0D99">
        <w:rPr>
          <w:i/>
          <w:iCs/>
          <w:lang w:val="en-CA"/>
        </w:rPr>
        <w:t>Catalogue of the Greek coins of Arabia, Mesopotamia and Persia (Nabataea, Arabia Provincia, S. Arabia, Mesopotamia, Babylonia, Assyria, Persia, Alexandrine empire of the East, Persis, Elymais, Characene</w:t>
      </w:r>
      <w:r w:rsidRPr="008C0D99">
        <w:rPr>
          <w:lang w:val="en-CA"/>
        </w:rPr>
        <w:t>. London : British Museum.</w:t>
      </w:r>
    </w:p>
    <w:p w14:paraId="7387857D" w14:textId="77777777" w:rsidR="0084489F" w:rsidRPr="008C0D99" w:rsidRDefault="00110FE6">
      <w:pPr>
        <w:pStyle w:val="BodyText"/>
        <w:rPr>
          <w:lang w:val="en-CA"/>
        </w:rPr>
      </w:pPr>
      <w:r w:rsidRPr="008C0D99">
        <w:rPr>
          <w:lang w:val="en-CA"/>
        </w:rPr>
        <w:t xml:space="preserve">Britton, Andrew. 2012. </w:t>
      </w:r>
      <w:r w:rsidRPr="008C0D99">
        <w:rPr>
          <w:i/>
          <w:iCs/>
          <w:lang w:val="en-CA"/>
        </w:rPr>
        <w:t>RMS Queen Mary</w:t>
      </w:r>
      <w:r w:rsidRPr="008C0D99">
        <w:rPr>
          <w:lang w:val="en-CA"/>
        </w:rPr>
        <w:t>. Stroud, Gloucestershire : The History Press Ltd.</w:t>
      </w:r>
    </w:p>
    <w:p w14:paraId="3118F59C" w14:textId="77777777" w:rsidR="0084489F" w:rsidRPr="008C0D99" w:rsidRDefault="00110FE6">
      <w:pPr>
        <w:pStyle w:val="BodyText"/>
        <w:rPr>
          <w:lang w:val="en-CA"/>
        </w:rPr>
      </w:pPr>
      <w:r w:rsidRPr="008C0D99">
        <w:rPr>
          <w:lang w:val="en-CA"/>
        </w:rPr>
        <w:t xml:space="preserve">Brooks, John A. 1973. </w:t>
      </w:r>
      <w:r w:rsidRPr="008C0D99">
        <w:rPr>
          <w:i/>
          <w:iCs/>
          <w:lang w:val="en-CA"/>
        </w:rPr>
        <w:t>Glass</w:t>
      </w:r>
      <w:r w:rsidRPr="008C0D99">
        <w:rPr>
          <w:lang w:val="en-CA"/>
        </w:rPr>
        <w:t>. New York : Golden Press.</w:t>
      </w:r>
    </w:p>
    <w:p w14:paraId="25933C69" w14:textId="77777777" w:rsidR="0084489F" w:rsidRPr="008C0D99" w:rsidRDefault="00110FE6">
      <w:pPr>
        <w:pStyle w:val="BodyText"/>
        <w:rPr>
          <w:lang w:val="en-CA"/>
        </w:rPr>
      </w:pPr>
      <w:r w:rsidRPr="008C0D99">
        <w:rPr>
          <w:lang w:val="en-CA"/>
        </w:rPr>
        <w:t xml:space="preserve">Brown, Laaren, et Lenny Hort. 2006. </w:t>
      </w:r>
      <w:r w:rsidRPr="008C0D99">
        <w:rPr>
          <w:i/>
          <w:iCs/>
          <w:lang w:val="en-CA"/>
        </w:rPr>
        <w:t>Nelson Mandela</w:t>
      </w:r>
      <w:r w:rsidRPr="008C0D99">
        <w:rPr>
          <w:lang w:val="en-CA"/>
        </w:rPr>
        <w:t>. New York : DK Publ.</w:t>
      </w:r>
    </w:p>
    <w:p w14:paraId="1C8160B6" w14:textId="77777777" w:rsidR="0084489F" w:rsidRPr="008C0D99" w:rsidRDefault="00110FE6">
      <w:pPr>
        <w:pStyle w:val="BodyText"/>
        <w:rPr>
          <w:lang w:val="en-CA"/>
        </w:rPr>
      </w:pPr>
      <w:r w:rsidRPr="008C0D99">
        <w:rPr>
          <w:lang w:val="en-CA"/>
        </w:rPr>
        <w:t xml:space="preserve">Browning, Robert. 1980. </w:t>
      </w:r>
      <w:r w:rsidRPr="008C0D99">
        <w:rPr>
          <w:i/>
          <w:iCs/>
          <w:lang w:val="en-CA"/>
        </w:rPr>
        <w:t>The Byzantine Empire</w:t>
      </w:r>
      <w:r w:rsidRPr="008C0D99">
        <w:rPr>
          <w:lang w:val="en-CA"/>
        </w:rPr>
        <w:t>. London : Weidenfeld and Nicolson.</w:t>
      </w:r>
    </w:p>
    <w:p w14:paraId="2A67F46B" w14:textId="77777777" w:rsidR="0084489F" w:rsidRPr="008C0D99" w:rsidRDefault="00110FE6">
      <w:pPr>
        <w:pStyle w:val="BodyText"/>
        <w:rPr>
          <w:lang w:val="en-CA"/>
        </w:rPr>
      </w:pPr>
      <w:r w:rsidRPr="008C0D99">
        <w:rPr>
          <w:lang w:val="en-CA"/>
        </w:rPr>
        <w:t xml:space="preserve">Brueggemann, Walter. 1982. </w:t>
      </w:r>
      <w:r w:rsidRPr="008C0D99">
        <w:rPr>
          <w:i/>
          <w:iCs/>
          <w:lang w:val="en-CA"/>
        </w:rPr>
        <w:t>Genesis: a Bible commentary for teaching and preaching</w:t>
      </w:r>
      <w:r w:rsidRPr="008C0D99">
        <w:rPr>
          <w:lang w:val="en-CA"/>
        </w:rPr>
        <w:t>. Atlanta : John Knox Press.</w:t>
      </w:r>
    </w:p>
    <w:p w14:paraId="71187F97" w14:textId="77777777" w:rsidR="0084489F" w:rsidRPr="008C0D99" w:rsidRDefault="00110FE6">
      <w:pPr>
        <w:pStyle w:val="BodyText"/>
        <w:rPr>
          <w:lang w:val="en-CA"/>
        </w:rPr>
      </w:pPr>
      <w:r w:rsidRPr="008C0D99">
        <w:rPr>
          <w:lang w:val="en-CA"/>
        </w:rPr>
        <w:t xml:space="preserve">Bryant, Julius. 1990. </w:t>
      </w:r>
      <w:r w:rsidRPr="008C0D99">
        <w:rPr>
          <w:i/>
          <w:iCs/>
          <w:lang w:val="en-CA"/>
        </w:rPr>
        <w:t>The Iveagh Bequest, Kenwood</w:t>
      </w:r>
      <w:r w:rsidRPr="008C0D99">
        <w:rPr>
          <w:lang w:val="en-CA"/>
        </w:rPr>
        <w:t>. London : English Heritage Guidebooks.</w:t>
      </w:r>
    </w:p>
    <w:p w14:paraId="53E3B213" w14:textId="77777777" w:rsidR="0084489F" w:rsidRPr="008C0D99" w:rsidRDefault="00110FE6">
      <w:pPr>
        <w:pStyle w:val="BodyText"/>
        <w:rPr>
          <w:lang w:val="en-CA"/>
        </w:rPr>
      </w:pPr>
      <w:r w:rsidRPr="008C0D99">
        <w:rPr>
          <w:lang w:val="en-CA"/>
        </w:rPr>
        <w:t xml:space="preserve">Bürger, O. 1892. </w:t>
      </w:r>
      <w:r>
        <w:t xml:space="preserve">« Zur Systematik der Nemertinenfauna des Golfs von Neapel ». </w:t>
      </w:r>
      <w:r w:rsidRPr="008C0D99">
        <w:rPr>
          <w:i/>
          <w:iCs/>
          <w:lang w:val="en-CA"/>
        </w:rPr>
        <w:t>Nachrichten von der königlichen Gesellschaft der Wissenschaften und der Georg-Augusts-Universität zu Göttingen</w:t>
      </w:r>
      <w:r w:rsidRPr="008C0D99">
        <w:rPr>
          <w:lang w:val="en-CA"/>
        </w:rPr>
        <w:t xml:space="preserve"> 5 : 137‑78.</w:t>
      </w:r>
    </w:p>
    <w:p w14:paraId="6133643C" w14:textId="77777777" w:rsidR="0084489F" w:rsidRPr="008C0D99" w:rsidRDefault="00110FE6">
      <w:pPr>
        <w:pStyle w:val="BodyText"/>
        <w:rPr>
          <w:lang w:val="en-CA"/>
        </w:rPr>
      </w:pPr>
      <w:r w:rsidRPr="008C0D99">
        <w:rPr>
          <w:lang w:val="en-CA"/>
        </w:rPr>
        <w:t xml:space="preserve">Butson, Thomas G. 1986. </w:t>
      </w:r>
      <w:r w:rsidRPr="008C0D99">
        <w:rPr>
          <w:i/>
          <w:iCs/>
          <w:lang w:val="en-CA"/>
        </w:rPr>
        <w:t>Mikhail Gorbachev</w:t>
      </w:r>
      <w:r w:rsidRPr="008C0D99">
        <w:rPr>
          <w:lang w:val="en-CA"/>
        </w:rPr>
        <w:t>. New York : Chelsea House.</w:t>
      </w:r>
    </w:p>
    <w:p w14:paraId="0B9929C4" w14:textId="77777777" w:rsidR="0084489F" w:rsidRPr="008C0D99" w:rsidRDefault="00110FE6">
      <w:pPr>
        <w:pStyle w:val="BodyText"/>
        <w:rPr>
          <w:lang w:val="en-CA"/>
        </w:rPr>
      </w:pPr>
      <w:r w:rsidRPr="008C0D99">
        <w:rPr>
          <w:lang w:val="en-CA"/>
        </w:rPr>
        <w:t xml:space="preserve">Cali, Joseph, John Dougill, et Geoff Ciotti. 2012. </w:t>
      </w:r>
      <w:r w:rsidRPr="008C0D99">
        <w:rPr>
          <w:i/>
          <w:iCs/>
          <w:lang w:val="en-CA"/>
        </w:rPr>
        <w:t>Shinto shrines: a guide to the sacred sites of Japan’s ancient religion</w:t>
      </w:r>
      <w:r w:rsidRPr="008C0D99">
        <w:rPr>
          <w:lang w:val="en-CA"/>
        </w:rPr>
        <w:t>. Honolulu : University of Hawaiʻi Press.</w:t>
      </w:r>
    </w:p>
    <w:p w14:paraId="0DE40120" w14:textId="77777777" w:rsidR="0084489F" w:rsidRPr="008C0D99" w:rsidRDefault="00110FE6">
      <w:pPr>
        <w:pStyle w:val="BodyText"/>
        <w:rPr>
          <w:lang w:val="en-CA"/>
        </w:rPr>
      </w:pPr>
      <w:r w:rsidRPr="008C0D99">
        <w:rPr>
          <w:lang w:val="en-CA"/>
        </w:rPr>
        <w:t xml:space="preserve">Camardo, Domenico. 2013. « Herculaneum from the ad 79 eruption to the medieval period: analysis of the documentary, iconographic and archaeological sources, with new data on the beginning of exploration at the ancient town1 ». </w:t>
      </w:r>
      <w:r w:rsidRPr="008C0D99">
        <w:rPr>
          <w:i/>
          <w:iCs/>
          <w:lang w:val="en-CA"/>
        </w:rPr>
        <w:t>Papers of the British School at Rome</w:t>
      </w:r>
      <w:r w:rsidRPr="008C0D99">
        <w:rPr>
          <w:lang w:val="en-CA"/>
        </w:rPr>
        <w:t xml:space="preserve"> 81 (octobre) : 303‑40. </w:t>
      </w:r>
      <w:hyperlink r:id="rId343">
        <w:r w:rsidRPr="008C0D99">
          <w:rPr>
            <w:rStyle w:val="Hyperlink"/>
            <w:lang w:val="en-CA"/>
          </w:rPr>
          <w:t>https://doi.org/10.1017/S0068246213000123</w:t>
        </w:r>
      </w:hyperlink>
      <w:r w:rsidRPr="008C0D99">
        <w:rPr>
          <w:lang w:val="en-CA"/>
        </w:rPr>
        <w:t>.</w:t>
      </w:r>
    </w:p>
    <w:p w14:paraId="7F0BCF96" w14:textId="77777777" w:rsidR="0084489F" w:rsidRPr="008C0D99" w:rsidRDefault="00110FE6">
      <w:pPr>
        <w:pStyle w:val="BodyText"/>
        <w:rPr>
          <w:lang w:val="en-CA"/>
        </w:rPr>
      </w:pPr>
      <w:r w:rsidRPr="008C0D99">
        <w:rPr>
          <w:lang w:val="en-CA"/>
        </w:rPr>
        <w:t xml:space="preserve">Carrington, Norman T. 1954. </w:t>
      </w:r>
      <w:r w:rsidRPr="008C0D99">
        <w:rPr>
          <w:i/>
          <w:iCs/>
          <w:lang w:val="en-CA"/>
        </w:rPr>
        <w:t>Shakespeare: Cymbeline</w:t>
      </w:r>
      <w:r w:rsidRPr="008C0D99">
        <w:rPr>
          <w:lang w:val="en-CA"/>
        </w:rPr>
        <w:t>. London : J. Brodie.</w:t>
      </w:r>
    </w:p>
    <w:p w14:paraId="032798B8" w14:textId="77777777" w:rsidR="0084489F" w:rsidRPr="008C0D99" w:rsidRDefault="00110FE6">
      <w:pPr>
        <w:pStyle w:val="BodyText"/>
        <w:rPr>
          <w:lang w:val="en-CA"/>
        </w:rPr>
      </w:pPr>
      <w:r w:rsidRPr="008C0D99">
        <w:rPr>
          <w:lang w:val="en-CA"/>
        </w:rPr>
        <w:t xml:space="preserve">Carroll, Lewis. 1981. </w:t>
      </w:r>
      <w:r w:rsidRPr="008C0D99">
        <w:rPr>
          <w:i/>
          <w:iCs/>
          <w:lang w:val="en-CA"/>
        </w:rPr>
        <w:t>Jabberwocky: and other poems</w:t>
      </w:r>
      <w:r w:rsidRPr="008C0D99">
        <w:rPr>
          <w:lang w:val="en-CA"/>
        </w:rPr>
        <w:t>. London : Macmillan Children’s Books.</w:t>
      </w:r>
    </w:p>
    <w:p w14:paraId="211A7BA0" w14:textId="77777777" w:rsidR="0084489F" w:rsidRPr="008C0D99" w:rsidRDefault="00110FE6">
      <w:pPr>
        <w:pStyle w:val="BodyText"/>
        <w:rPr>
          <w:lang w:val="en-CA"/>
        </w:rPr>
      </w:pPr>
      <w:r w:rsidRPr="008C0D99">
        <w:rPr>
          <w:lang w:val="en-CA"/>
        </w:rPr>
        <w:t xml:space="preserve">Carter, Howard. 2014. </w:t>
      </w:r>
      <w:r w:rsidRPr="008C0D99">
        <w:rPr>
          <w:i/>
          <w:iCs/>
          <w:lang w:val="en-CA"/>
        </w:rPr>
        <w:t>The tomb of Tutankhamun</w:t>
      </w:r>
      <w:r w:rsidRPr="008C0D99">
        <w:rPr>
          <w:lang w:val="en-CA"/>
        </w:rPr>
        <w:t>. London : Bloomsbury Academic.</w:t>
      </w:r>
    </w:p>
    <w:p w14:paraId="1005661F" w14:textId="77777777" w:rsidR="0084489F" w:rsidRPr="008C0D99" w:rsidRDefault="00110FE6">
      <w:pPr>
        <w:pStyle w:val="BodyText"/>
        <w:rPr>
          <w:lang w:val="en-CA"/>
        </w:rPr>
      </w:pPr>
      <w:r w:rsidRPr="008C0D99">
        <w:rPr>
          <w:lang w:val="en-CA"/>
        </w:rPr>
        <w:t xml:space="preserve">Carter, Howard, et A. C Mace. 1977. </w:t>
      </w:r>
      <w:r w:rsidRPr="008C0D99">
        <w:rPr>
          <w:i/>
          <w:iCs/>
          <w:lang w:val="en-CA"/>
        </w:rPr>
        <w:t>The discovery of the tomb of Tutankhamen</w:t>
      </w:r>
      <w:r w:rsidRPr="008C0D99">
        <w:rPr>
          <w:lang w:val="en-CA"/>
        </w:rPr>
        <w:t>. New York : Dover Publications.</w:t>
      </w:r>
    </w:p>
    <w:p w14:paraId="3A2B7832" w14:textId="77777777" w:rsidR="0084489F" w:rsidRPr="008C0D99" w:rsidRDefault="00110FE6">
      <w:pPr>
        <w:pStyle w:val="BodyText"/>
        <w:rPr>
          <w:lang w:val="en-CA"/>
        </w:rPr>
      </w:pPr>
      <w:r w:rsidRPr="008C0D99">
        <w:rPr>
          <w:lang w:val="en-CA"/>
        </w:rPr>
        <w:t xml:space="preserve">Chan, Hoklam. 2011. </w:t>
      </w:r>
      <w:r w:rsidRPr="008C0D99">
        <w:rPr>
          <w:i/>
          <w:iCs/>
          <w:lang w:val="en-CA"/>
        </w:rPr>
        <w:t>Ming Taizu (r.1368-98) and the foundation of the Ming Dynasty in China</w:t>
      </w:r>
      <w:r w:rsidRPr="008C0D99">
        <w:rPr>
          <w:lang w:val="en-CA"/>
        </w:rPr>
        <w:t>. Farnham : Ashgate.</w:t>
      </w:r>
    </w:p>
    <w:p w14:paraId="30AEF433" w14:textId="77777777" w:rsidR="0084489F" w:rsidRPr="008C0D99" w:rsidRDefault="00110FE6">
      <w:pPr>
        <w:pStyle w:val="BodyText"/>
        <w:rPr>
          <w:lang w:val="en-CA"/>
        </w:rPr>
      </w:pPr>
      <w:r w:rsidRPr="008C0D99">
        <w:rPr>
          <w:lang w:val="en-CA"/>
        </w:rPr>
        <w:t xml:space="preserve">Chester, David K. 2001. « The 1755 Lisbon earthquake ». </w:t>
      </w:r>
      <w:r w:rsidRPr="008C0D99">
        <w:rPr>
          <w:i/>
          <w:iCs/>
          <w:lang w:val="en-CA"/>
        </w:rPr>
        <w:t>Progress in Physical Geography: Earth and Environment</w:t>
      </w:r>
      <w:r w:rsidRPr="008C0D99">
        <w:rPr>
          <w:lang w:val="en-CA"/>
        </w:rPr>
        <w:t xml:space="preserve"> 25 (3) : 363‑83. </w:t>
      </w:r>
      <w:hyperlink r:id="rId344">
        <w:r w:rsidRPr="008C0D99">
          <w:rPr>
            <w:rStyle w:val="Hyperlink"/>
            <w:lang w:val="en-CA"/>
          </w:rPr>
          <w:t>https://doi.org/10.1177/030913330102500304</w:t>
        </w:r>
      </w:hyperlink>
      <w:r w:rsidRPr="008C0D99">
        <w:rPr>
          <w:lang w:val="en-CA"/>
        </w:rPr>
        <w:t>.</w:t>
      </w:r>
    </w:p>
    <w:p w14:paraId="42DB20CB" w14:textId="77777777" w:rsidR="0084489F" w:rsidRPr="008C0D99" w:rsidRDefault="00110FE6">
      <w:pPr>
        <w:pStyle w:val="BodyText"/>
        <w:rPr>
          <w:lang w:val="en-CA"/>
        </w:rPr>
      </w:pPr>
      <w:r w:rsidRPr="008C0D99">
        <w:rPr>
          <w:lang w:val="en-CA"/>
        </w:rPr>
        <w:t xml:space="preserve">Childe, Vere Gordon. 1963. </w:t>
      </w:r>
      <w:r w:rsidRPr="008C0D99">
        <w:rPr>
          <w:i/>
          <w:iCs/>
          <w:lang w:val="en-CA"/>
        </w:rPr>
        <w:t>The bronze age</w:t>
      </w:r>
      <w:r w:rsidRPr="008C0D99">
        <w:rPr>
          <w:lang w:val="en-CA"/>
        </w:rPr>
        <w:t>. New York : Biblo and Tannen.</w:t>
      </w:r>
    </w:p>
    <w:p w14:paraId="6B85E489" w14:textId="77777777" w:rsidR="0084489F" w:rsidRPr="008C0D99" w:rsidRDefault="00110FE6">
      <w:pPr>
        <w:pStyle w:val="BodyText"/>
        <w:rPr>
          <w:lang w:val="en-CA"/>
        </w:rPr>
      </w:pPr>
      <w:r w:rsidRPr="008C0D99">
        <w:rPr>
          <w:lang w:val="en-CA"/>
        </w:rPr>
        <w:t xml:space="preserve">Chipp, Herschel Browning. 1988. </w:t>
      </w:r>
      <w:r w:rsidRPr="008C0D99">
        <w:rPr>
          <w:i/>
          <w:iCs/>
          <w:lang w:val="en-CA"/>
        </w:rPr>
        <w:t>Picasso’s Guernica: history, transformations, meanings.</w:t>
      </w:r>
      <w:r w:rsidRPr="008C0D99">
        <w:rPr>
          <w:lang w:val="en-CA"/>
        </w:rPr>
        <w:t xml:space="preserve"> Berkeley : University of California Press.</w:t>
      </w:r>
    </w:p>
    <w:p w14:paraId="0A9D3EFA" w14:textId="77777777" w:rsidR="0084489F" w:rsidRDefault="00110FE6">
      <w:pPr>
        <w:pStyle w:val="BodyText"/>
      </w:pPr>
      <w:r w:rsidRPr="008C0D99">
        <w:rPr>
          <w:lang w:val="en-CA"/>
        </w:rPr>
        <w:t xml:space="preserve">Clare, John D, et Michael Edwards. 1992. </w:t>
      </w:r>
      <w:r w:rsidRPr="008C0D99">
        <w:rPr>
          <w:i/>
          <w:iCs/>
          <w:lang w:val="en-CA"/>
        </w:rPr>
        <w:t>I was there: Roman Empire.</w:t>
      </w:r>
      <w:r w:rsidRPr="008C0D99">
        <w:rPr>
          <w:lang w:val="en-CA"/>
        </w:rPr>
        <w:t xml:space="preserve"> </w:t>
      </w:r>
      <w:r>
        <w:t>London : The Bodley Head.</w:t>
      </w:r>
    </w:p>
    <w:p w14:paraId="4D85C32D" w14:textId="77777777" w:rsidR="0084489F" w:rsidRPr="008C0D99" w:rsidRDefault="00110FE6">
      <w:pPr>
        <w:pStyle w:val="BodyText"/>
        <w:rPr>
          <w:lang w:val="en-CA"/>
        </w:rPr>
      </w:pPr>
      <w:r>
        <w:t xml:space="preserve">Collectif &amp; Musée d’art et d’histoire Louis-Senlecq. 1900. </w:t>
      </w:r>
      <w:r>
        <w:rPr>
          <w:i/>
          <w:iCs/>
        </w:rPr>
        <w:t>Les trésors des princes de Bourbon Conti</w:t>
      </w:r>
      <w:r>
        <w:t xml:space="preserve">. </w:t>
      </w:r>
      <w:r w:rsidRPr="008C0D99">
        <w:rPr>
          <w:lang w:val="en-CA"/>
        </w:rPr>
        <w:t>Paris : Somogy éditions d’art.</w:t>
      </w:r>
    </w:p>
    <w:p w14:paraId="1F9D84B2" w14:textId="77777777" w:rsidR="0084489F" w:rsidRPr="008C0D99" w:rsidRDefault="00110FE6">
      <w:pPr>
        <w:pStyle w:val="BodyText"/>
        <w:rPr>
          <w:lang w:val="en-CA"/>
        </w:rPr>
      </w:pPr>
      <w:r w:rsidRPr="008C0D99">
        <w:rPr>
          <w:lang w:val="en-CA"/>
        </w:rPr>
        <w:t xml:space="preserve">Cooper, B.L. 2008. « Audio Reviews, Blue Suede Shoes: A Rockabilly Session by Carl Perkins and friends. » </w:t>
      </w:r>
      <w:r w:rsidRPr="008C0D99">
        <w:rPr>
          <w:i/>
          <w:iCs/>
          <w:lang w:val="en-CA"/>
        </w:rPr>
        <w:t>Popular Music and Society</w:t>
      </w:r>
      <w:r w:rsidRPr="008C0D99">
        <w:rPr>
          <w:lang w:val="en-CA"/>
        </w:rPr>
        <w:t xml:space="preserve"> 31 (3) : 395‑401. </w:t>
      </w:r>
      <w:hyperlink r:id="rId345">
        <w:r w:rsidRPr="008C0D99">
          <w:rPr>
            <w:rStyle w:val="Hyperlink"/>
            <w:lang w:val="en-CA"/>
          </w:rPr>
          <w:t>https://doi.org/10.1080/03007760802021093</w:t>
        </w:r>
      </w:hyperlink>
      <w:r w:rsidRPr="008C0D99">
        <w:rPr>
          <w:lang w:val="en-CA"/>
        </w:rPr>
        <w:t>.</w:t>
      </w:r>
    </w:p>
    <w:p w14:paraId="78F850FD" w14:textId="77777777" w:rsidR="0084489F" w:rsidRPr="008C0D99" w:rsidRDefault="00110FE6">
      <w:pPr>
        <w:pStyle w:val="BodyText"/>
        <w:rPr>
          <w:lang w:val="en-CA"/>
        </w:rPr>
      </w:pPr>
      <w:r w:rsidRPr="008C0D99">
        <w:rPr>
          <w:lang w:val="en-CA"/>
        </w:rPr>
        <w:t xml:space="preserve">Correll, J. Lee. 1972. </w:t>
      </w:r>
      <w:r w:rsidRPr="008C0D99">
        <w:rPr>
          <w:i/>
          <w:iCs/>
          <w:lang w:val="en-CA"/>
        </w:rPr>
        <w:t>Welcome to the land of the Navajo: a book of information about the Navajo Indians</w:t>
      </w:r>
      <w:r w:rsidRPr="008C0D99">
        <w:rPr>
          <w:lang w:val="en-CA"/>
        </w:rPr>
        <w:t>. 3rd éd. Arizona : Window Rock.</w:t>
      </w:r>
    </w:p>
    <w:p w14:paraId="6948002E" w14:textId="77777777" w:rsidR="0084489F" w:rsidRPr="008C0D99" w:rsidRDefault="00110FE6">
      <w:pPr>
        <w:pStyle w:val="BodyText"/>
        <w:rPr>
          <w:lang w:val="en-CA"/>
        </w:rPr>
      </w:pPr>
      <w:r w:rsidRPr="008C0D99">
        <w:rPr>
          <w:lang w:val="en-CA"/>
        </w:rPr>
        <w:t xml:space="preserve">Courtney Banks, Elizabeth. 2013. </w:t>
      </w:r>
      <w:r w:rsidRPr="008C0D99">
        <w:rPr>
          <w:i/>
          <w:iCs/>
          <w:lang w:val="en-CA"/>
        </w:rPr>
        <w:t>The Settlement and Architecture of Lerna IV</w:t>
      </w:r>
      <w:r w:rsidRPr="008C0D99">
        <w:rPr>
          <w:lang w:val="en-CA"/>
        </w:rPr>
        <w:t>. Princeton, N.J : American School of Classical Studies at Athens.</w:t>
      </w:r>
    </w:p>
    <w:p w14:paraId="0A3BD1BC" w14:textId="77777777" w:rsidR="0084489F" w:rsidRPr="008C0D99" w:rsidRDefault="00110FE6">
      <w:pPr>
        <w:pStyle w:val="BodyText"/>
        <w:rPr>
          <w:lang w:val="en-CA"/>
        </w:rPr>
      </w:pPr>
      <w:r w:rsidRPr="008C0D99">
        <w:rPr>
          <w:lang w:val="en-CA"/>
        </w:rPr>
        <w:t xml:space="preserve">Cox, Neil. 2000. </w:t>
      </w:r>
      <w:r w:rsidRPr="008C0D99">
        <w:rPr>
          <w:i/>
          <w:iCs/>
          <w:lang w:val="en-CA"/>
        </w:rPr>
        <w:t>Cubism</w:t>
      </w:r>
      <w:r w:rsidRPr="008C0D99">
        <w:rPr>
          <w:lang w:val="en-CA"/>
        </w:rPr>
        <w:t>. London : Phaidon.</w:t>
      </w:r>
    </w:p>
    <w:p w14:paraId="33E9D7CA" w14:textId="77777777" w:rsidR="0084489F" w:rsidRPr="008C0D99" w:rsidRDefault="00110FE6">
      <w:pPr>
        <w:pStyle w:val="BodyText"/>
        <w:rPr>
          <w:lang w:val="en-CA"/>
        </w:rPr>
      </w:pPr>
      <w:r w:rsidRPr="008C0D99">
        <w:rPr>
          <w:lang w:val="en-CA"/>
        </w:rPr>
        <w:t xml:space="preserve">Craig, Norman C., et Eric A. Gislason. 2002. « First Law of Thermodynamics; Irreversible and Reversible Processes ». </w:t>
      </w:r>
      <w:r w:rsidRPr="008C0D99">
        <w:rPr>
          <w:i/>
          <w:iCs/>
          <w:lang w:val="en-CA"/>
        </w:rPr>
        <w:t>Journal of Chemical Education</w:t>
      </w:r>
      <w:r w:rsidRPr="008C0D99">
        <w:rPr>
          <w:lang w:val="en-CA"/>
        </w:rPr>
        <w:t xml:space="preserve"> 79 (2) : 193. </w:t>
      </w:r>
      <w:hyperlink r:id="rId346">
        <w:r w:rsidRPr="008C0D99">
          <w:rPr>
            <w:rStyle w:val="Hyperlink"/>
            <w:lang w:val="en-CA"/>
          </w:rPr>
          <w:t>https://doi.org/10.1021/ed079p193</w:t>
        </w:r>
      </w:hyperlink>
      <w:r w:rsidRPr="008C0D99">
        <w:rPr>
          <w:lang w:val="en-CA"/>
        </w:rPr>
        <w:t>.</w:t>
      </w:r>
    </w:p>
    <w:p w14:paraId="2D082698" w14:textId="77777777" w:rsidR="0084489F" w:rsidRPr="008C0D99" w:rsidRDefault="00110FE6">
      <w:pPr>
        <w:pStyle w:val="BodyText"/>
        <w:rPr>
          <w:lang w:val="en-CA"/>
        </w:rPr>
      </w:pPr>
      <w:r w:rsidRPr="008C0D99">
        <w:rPr>
          <w:lang w:val="en-CA"/>
        </w:rPr>
        <w:t xml:space="preserve">Crocker, Betty. 2012. </w:t>
      </w:r>
      <w:r w:rsidRPr="008C0D99">
        <w:rPr>
          <w:i/>
          <w:iCs/>
          <w:lang w:val="en-CA"/>
        </w:rPr>
        <w:t>Betty Crocker vegetarian cooking.</w:t>
      </w:r>
      <w:r w:rsidRPr="008C0D99">
        <w:rPr>
          <w:lang w:val="en-CA"/>
        </w:rPr>
        <w:t xml:space="preserve"> Hoboken, N.J. : Wiley.</w:t>
      </w:r>
    </w:p>
    <w:p w14:paraId="2CBD5044" w14:textId="77777777" w:rsidR="0084489F" w:rsidRPr="008C0D99" w:rsidRDefault="00110FE6">
      <w:pPr>
        <w:pStyle w:val="BodyText"/>
        <w:rPr>
          <w:lang w:val="en-CA"/>
        </w:rPr>
      </w:pPr>
      <w:r w:rsidRPr="008C0D99">
        <w:rPr>
          <w:lang w:val="en-CA"/>
        </w:rPr>
        <w:t xml:space="preserve">Crofton, Ian. 2015. </w:t>
      </w:r>
      <w:r w:rsidRPr="008C0D99">
        <w:rPr>
          <w:i/>
          <w:iCs/>
          <w:lang w:val="en-CA"/>
        </w:rPr>
        <w:t>Walking the border: a journey between Scotland and England</w:t>
      </w:r>
      <w:r w:rsidRPr="008C0D99">
        <w:rPr>
          <w:lang w:val="en-CA"/>
        </w:rPr>
        <w:t>. Edinburgh : Birlinn.</w:t>
      </w:r>
    </w:p>
    <w:p w14:paraId="75BCF945" w14:textId="77777777" w:rsidR="0084489F" w:rsidRPr="008C0D99" w:rsidRDefault="00110FE6">
      <w:pPr>
        <w:pStyle w:val="BodyText"/>
        <w:rPr>
          <w:lang w:val="en-CA"/>
        </w:rPr>
      </w:pPr>
      <w:r w:rsidRPr="008C0D99">
        <w:rPr>
          <w:lang w:val="en-CA"/>
        </w:rPr>
        <w:t xml:space="preserve">Curry, Anne. 2015. </w:t>
      </w:r>
      <w:r w:rsidRPr="008C0D99">
        <w:rPr>
          <w:i/>
          <w:iCs/>
          <w:lang w:val="en-CA"/>
        </w:rPr>
        <w:t>The battle of Agincourt: sources and interpretations</w:t>
      </w:r>
      <w:r w:rsidRPr="008C0D99">
        <w:rPr>
          <w:lang w:val="en-CA"/>
        </w:rPr>
        <w:t>. Woodbridge, Suffolk : The Boydell Press.</w:t>
      </w:r>
    </w:p>
    <w:p w14:paraId="6DB3D196" w14:textId="77777777" w:rsidR="0084489F" w:rsidRPr="008C0D99" w:rsidRDefault="00110FE6">
      <w:pPr>
        <w:pStyle w:val="BodyText"/>
        <w:rPr>
          <w:lang w:val="en-CA"/>
        </w:rPr>
      </w:pPr>
      <w:r w:rsidRPr="008C0D99">
        <w:rPr>
          <w:lang w:val="en-CA"/>
        </w:rPr>
        <w:t xml:space="preserve">Dalrymple, William, et Anita Anand. 2017. </w:t>
      </w:r>
      <w:r w:rsidRPr="008C0D99">
        <w:rPr>
          <w:i/>
          <w:iCs/>
          <w:lang w:val="en-CA"/>
        </w:rPr>
        <w:t>Koh-I-Noor: the history of the world’s most infamous diamond</w:t>
      </w:r>
      <w:r w:rsidRPr="008C0D99">
        <w:rPr>
          <w:lang w:val="en-CA"/>
        </w:rPr>
        <w:t>. London : Bloomsbury.</w:t>
      </w:r>
    </w:p>
    <w:p w14:paraId="267C5BB5" w14:textId="77777777" w:rsidR="0084489F" w:rsidRPr="008C0D99" w:rsidRDefault="00110FE6">
      <w:pPr>
        <w:pStyle w:val="BodyText"/>
        <w:rPr>
          <w:lang w:val="en-CA"/>
        </w:rPr>
      </w:pPr>
      <w:r w:rsidRPr="008C0D99">
        <w:rPr>
          <w:lang w:val="en-CA"/>
        </w:rPr>
        <w:t xml:space="preserve">Daly, Audrey. 1981. </w:t>
      </w:r>
      <w:r w:rsidRPr="008C0D99">
        <w:rPr>
          <w:i/>
          <w:iCs/>
          <w:lang w:val="en-CA"/>
        </w:rPr>
        <w:t>Royal wedding</w:t>
      </w:r>
      <w:r w:rsidRPr="008C0D99">
        <w:rPr>
          <w:lang w:val="en-CA"/>
        </w:rPr>
        <w:t>. Loughborough : Ladybird Books.</w:t>
      </w:r>
    </w:p>
    <w:p w14:paraId="0BD6FE1B" w14:textId="77777777" w:rsidR="0084489F" w:rsidRPr="008C0D99" w:rsidRDefault="00110FE6">
      <w:pPr>
        <w:pStyle w:val="BodyText"/>
        <w:rPr>
          <w:lang w:val="en-CA"/>
        </w:rPr>
      </w:pPr>
      <w:r w:rsidRPr="008C0D99">
        <w:rPr>
          <w:lang w:val="en-CA"/>
        </w:rPr>
        <w:t xml:space="preserve">Daniel, Betty C. 2014. « A graceful return of the drachma ». </w:t>
      </w:r>
      <w:r w:rsidRPr="008C0D99">
        <w:rPr>
          <w:i/>
          <w:iCs/>
          <w:lang w:val="en-CA"/>
        </w:rPr>
        <w:t>European Economic Review</w:t>
      </w:r>
      <w:r w:rsidRPr="008C0D99">
        <w:rPr>
          <w:lang w:val="en-CA"/>
        </w:rPr>
        <w:t xml:space="preserve"> 71 (octobre) : 228‑43. </w:t>
      </w:r>
      <w:hyperlink r:id="rId347">
        <w:r w:rsidRPr="008C0D99">
          <w:rPr>
            <w:rStyle w:val="Hyperlink"/>
            <w:lang w:val="en-CA"/>
          </w:rPr>
          <w:t>https://doi.org/10.1016/j.euroecorev.2014.08.004</w:t>
        </w:r>
      </w:hyperlink>
      <w:r w:rsidRPr="008C0D99">
        <w:rPr>
          <w:lang w:val="en-CA"/>
        </w:rPr>
        <w:t>.</w:t>
      </w:r>
    </w:p>
    <w:p w14:paraId="51DF12FF" w14:textId="77777777" w:rsidR="0084489F" w:rsidRDefault="00110FE6">
      <w:pPr>
        <w:pStyle w:val="BodyText"/>
      </w:pPr>
      <w:r w:rsidRPr="008C0D99">
        <w:rPr>
          <w:lang w:val="en-CA"/>
        </w:rPr>
        <w:t xml:space="preserve">Dawson, Paul L. 2018. </w:t>
      </w:r>
      <w:r w:rsidRPr="008C0D99">
        <w:rPr>
          <w:i/>
          <w:iCs/>
          <w:lang w:val="en-CA"/>
        </w:rPr>
        <w:t>Waterloo: the truth at last: why Napoleon lost the great battle</w:t>
      </w:r>
      <w:r w:rsidRPr="008C0D99">
        <w:rPr>
          <w:lang w:val="en-CA"/>
        </w:rPr>
        <w:t xml:space="preserve">. </w:t>
      </w:r>
      <w:r>
        <w:t>Barmsley : Frontline Books.</w:t>
      </w:r>
    </w:p>
    <w:p w14:paraId="75E89B86" w14:textId="77777777" w:rsidR="0084489F" w:rsidRPr="008D4435" w:rsidRDefault="00110FE6">
      <w:pPr>
        <w:pStyle w:val="BodyText"/>
        <w:rPr>
          <w:lang w:val="fr-CA"/>
        </w:rPr>
      </w:pPr>
      <w:r>
        <w:t xml:space="preserve">Delacroix, E., et Helene Toussaint. 1982. </w:t>
      </w:r>
      <w:r>
        <w:rPr>
          <w:i/>
          <w:iCs/>
        </w:rPr>
        <w:t>La Liberté guidant le peuple de Delacroix: [catalogue d’une exposition presentée au Musée du Louvre, 5 nov. 1982 au 7 fev. 1983</w:t>
      </w:r>
      <w:r>
        <w:t xml:space="preserve">. </w:t>
      </w:r>
      <w:r w:rsidRPr="008D4435">
        <w:rPr>
          <w:lang w:val="fr-CA"/>
        </w:rPr>
        <w:t>Paris : Réunion des Musées Nationaux.</w:t>
      </w:r>
    </w:p>
    <w:p w14:paraId="77A34A2E" w14:textId="77777777" w:rsidR="0084489F" w:rsidRPr="008C0D99" w:rsidRDefault="00110FE6">
      <w:pPr>
        <w:pStyle w:val="BodyText"/>
        <w:rPr>
          <w:lang w:val="en-CA"/>
        </w:rPr>
      </w:pPr>
      <w:r w:rsidRPr="008D4435">
        <w:rPr>
          <w:lang w:val="fr-CA"/>
        </w:rPr>
        <w:t xml:space="preserve">Deutsch, Otto Erich. 1965. </w:t>
      </w:r>
      <w:r w:rsidRPr="0060792A">
        <w:rPr>
          <w:i/>
          <w:iCs/>
          <w:lang w:val="fr-CA"/>
        </w:rPr>
        <w:t>Mozart, a documentary biography</w:t>
      </w:r>
      <w:r w:rsidRPr="0060792A">
        <w:rPr>
          <w:lang w:val="fr-CA"/>
        </w:rPr>
        <w:t xml:space="preserve">. </w:t>
      </w:r>
      <w:r w:rsidRPr="008C0D99">
        <w:rPr>
          <w:lang w:val="en-CA"/>
        </w:rPr>
        <w:t>Stanford : Stanford University Press.</w:t>
      </w:r>
    </w:p>
    <w:p w14:paraId="4E61B322" w14:textId="77777777" w:rsidR="0084489F" w:rsidRPr="008C0D99" w:rsidRDefault="00110FE6">
      <w:pPr>
        <w:pStyle w:val="BodyText"/>
        <w:rPr>
          <w:lang w:val="en-CA"/>
        </w:rPr>
      </w:pPr>
      <w:r w:rsidRPr="008C0D99">
        <w:rPr>
          <w:lang w:val="en-CA"/>
        </w:rPr>
        <w:t xml:space="preserve">Dewey, D. 2003. « The Little Mermaid ». </w:t>
      </w:r>
      <w:r w:rsidRPr="008C0D99">
        <w:rPr>
          <w:i/>
          <w:iCs/>
          <w:lang w:val="en-CA"/>
        </w:rPr>
        <w:t>Scandinavian Review</w:t>
      </w:r>
      <w:r w:rsidRPr="008C0D99">
        <w:rPr>
          <w:lang w:val="en-CA"/>
        </w:rPr>
        <w:t xml:space="preserve"> 91 (1) : 34.</w:t>
      </w:r>
    </w:p>
    <w:p w14:paraId="1521F2E6" w14:textId="77777777" w:rsidR="0084489F" w:rsidRPr="008C0D99" w:rsidRDefault="00110FE6">
      <w:pPr>
        <w:pStyle w:val="BodyText"/>
        <w:rPr>
          <w:lang w:val="en-CA"/>
        </w:rPr>
      </w:pPr>
      <w:r w:rsidRPr="008C0D99">
        <w:rPr>
          <w:lang w:val="en-CA"/>
        </w:rPr>
        <w:t xml:space="preserve">Dodge, B. O. 1933. « The Perithecium and Ascus of Penicillium ». </w:t>
      </w:r>
      <w:r w:rsidRPr="008C0D99">
        <w:rPr>
          <w:i/>
          <w:iCs/>
          <w:lang w:val="en-CA"/>
        </w:rPr>
        <w:t>Mycologia</w:t>
      </w:r>
      <w:r w:rsidRPr="008C0D99">
        <w:rPr>
          <w:lang w:val="en-CA"/>
        </w:rPr>
        <w:t xml:space="preserve"> 25 (2) : 90‑104. </w:t>
      </w:r>
      <w:hyperlink r:id="rId348">
        <w:r w:rsidRPr="008C0D99">
          <w:rPr>
            <w:rStyle w:val="Hyperlink"/>
            <w:lang w:val="en-CA"/>
          </w:rPr>
          <w:t>https://doi.org/10.1080/00275514.1933.12020653</w:t>
        </w:r>
      </w:hyperlink>
      <w:r w:rsidRPr="008C0D99">
        <w:rPr>
          <w:lang w:val="en-CA"/>
        </w:rPr>
        <w:t>.</w:t>
      </w:r>
    </w:p>
    <w:p w14:paraId="52702956" w14:textId="77777777" w:rsidR="0084489F" w:rsidRPr="008C0D99" w:rsidRDefault="00110FE6">
      <w:pPr>
        <w:pStyle w:val="BodyText"/>
        <w:rPr>
          <w:lang w:val="en-CA"/>
        </w:rPr>
      </w:pPr>
      <w:r w:rsidRPr="008C0D99">
        <w:rPr>
          <w:lang w:val="en-CA"/>
        </w:rPr>
        <w:t xml:space="preserve">Doerr, Martin. 2003. « The CIDOC Conceptual Reference Module: An Ontological Approach to Semantic Interoperability of Metadata ». </w:t>
      </w:r>
      <w:r w:rsidRPr="008C0D99">
        <w:rPr>
          <w:i/>
          <w:iCs/>
          <w:lang w:val="en-CA"/>
        </w:rPr>
        <w:t>AI Magazine</w:t>
      </w:r>
      <w:r w:rsidRPr="008C0D99">
        <w:rPr>
          <w:lang w:val="en-CA"/>
        </w:rPr>
        <w:t xml:space="preserve"> 24 (3) : 75‑92. </w:t>
      </w:r>
      <w:hyperlink r:id="rId349">
        <w:r w:rsidRPr="008C0D99">
          <w:rPr>
            <w:rStyle w:val="Hyperlink"/>
            <w:lang w:val="en-CA"/>
          </w:rPr>
          <w:t>https://doi.org/10.1609/aimag.v24i3.1720</w:t>
        </w:r>
      </w:hyperlink>
      <w:r w:rsidRPr="008C0D99">
        <w:rPr>
          <w:lang w:val="en-CA"/>
        </w:rPr>
        <w:t>.</w:t>
      </w:r>
    </w:p>
    <w:p w14:paraId="33EEA288" w14:textId="77777777" w:rsidR="0084489F" w:rsidRPr="008C0D99" w:rsidRDefault="00110FE6">
      <w:pPr>
        <w:pStyle w:val="BodyText"/>
        <w:rPr>
          <w:lang w:val="en-CA"/>
        </w:rPr>
      </w:pPr>
      <w:r w:rsidRPr="008C0D99">
        <w:rPr>
          <w:lang w:val="en-CA"/>
        </w:rPr>
        <w:t>Doerr, Martin, et Gerald Hiebel. 2013. « CRMgeo: Linking the CIDOC CRM to GeoSPARQL through a Spatiotemporal Refinement ». Technical Report ICS-FORTH/TR-435. Heraklion, Crete, Greece : Institute of Computer Science, Foundation for Research and Technology Hellas.</w:t>
      </w:r>
    </w:p>
    <w:p w14:paraId="64DE1086" w14:textId="77777777" w:rsidR="0084489F" w:rsidRPr="008C0D99" w:rsidRDefault="00110FE6">
      <w:pPr>
        <w:pStyle w:val="BodyText"/>
        <w:rPr>
          <w:lang w:val="en-CA"/>
        </w:rPr>
      </w:pPr>
      <w:r w:rsidRPr="008C0D99">
        <w:rPr>
          <w:lang w:val="en-CA"/>
        </w:rPr>
        <w:t xml:space="preserve">Dolan, John W. 2005. « The Bermuda Triangle ». </w:t>
      </w:r>
      <w:r w:rsidRPr="008C0D99">
        <w:rPr>
          <w:i/>
          <w:iCs/>
          <w:lang w:val="en-CA"/>
        </w:rPr>
        <w:t>LC GC North America</w:t>
      </w:r>
      <w:r w:rsidRPr="008C0D99">
        <w:rPr>
          <w:lang w:val="en-CA"/>
        </w:rPr>
        <w:t xml:space="preserve"> 23 (4) : 370‑75.</w:t>
      </w:r>
    </w:p>
    <w:p w14:paraId="362CCBB5" w14:textId="77777777" w:rsidR="0084489F" w:rsidRPr="008C0D99" w:rsidRDefault="00110FE6">
      <w:pPr>
        <w:pStyle w:val="BodyText"/>
        <w:rPr>
          <w:lang w:val="en-CA"/>
        </w:rPr>
      </w:pPr>
      <w:r w:rsidRPr="008C0D99">
        <w:rPr>
          <w:lang w:val="en-CA"/>
        </w:rPr>
        <w:t xml:space="preserve">Dorman Long (Firm). 1932. </w:t>
      </w:r>
      <w:r w:rsidRPr="008C0D99">
        <w:rPr>
          <w:i/>
          <w:iCs/>
          <w:lang w:val="en-CA"/>
        </w:rPr>
        <w:t>Sydney Harbour Bridge</w:t>
      </w:r>
      <w:r w:rsidRPr="008C0D99">
        <w:rPr>
          <w:lang w:val="en-CA"/>
        </w:rPr>
        <w:t>. Middlesbrough, England : Dorman Long and Company Limited.</w:t>
      </w:r>
    </w:p>
    <w:p w14:paraId="6F8FAF39" w14:textId="77777777" w:rsidR="0084489F" w:rsidRPr="008C0D99" w:rsidRDefault="00110FE6">
      <w:pPr>
        <w:pStyle w:val="BodyText"/>
        <w:rPr>
          <w:lang w:val="en-CA"/>
        </w:rPr>
      </w:pPr>
      <w:r>
        <w:t xml:space="preserve">Droste, Magdalena, et P Gössel. </w:t>
      </w:r>
      <w:r w:rsidRPr="008C0D99">
        <w:rPr>
          <w:lang w:val="en-CA"/>
        </w:rPr>
        <w:t xml:space="preserve">2006. </w:t>
      </w:r>
      <w:r w:rsidRPr="008C0D99">
        <w:rPr>
          <w:i/>
          <w:iCs/>
          <w:lang w:val="en-CA"/>
        </w:rPr>
        <w:t>Bauhaus 1919-1933: reform and Avant-Garde</w:t>
      </w:r>
      <w:r w:rsidRPr="008C0D99">
        <w:rPr>
          <w:lang w:val="en-CA"/>
        </w:rPr>
        <w:t>. Köln : Taschen.</w:t>
      </w:r>
    </w:p>
    <w:p w14:paraId="7642210E" w14:textId="77777777" w:rsidR="0084489F" w:rsidRPr="008C0D99" w:rsidRDefault="00110FE6">
      <w:pPr>
        <w:pStyle w:val="BodyText"/>
        <w:rPr>
          <w:lang w:val="en-CA"/>
        </w:rPr>
      </w:pPr>
      <w:r w:rsidRPr="008C0D99">
        <w:rPr>
          <w:lang w:val="en-CA"/>
        </w:rPr>
        <w:t xml:space="preserve">Edwards, I. E. S, et Lee Boltin. 1979. </w:t>
      </w:r>
      <w:r w:rsidRPr="008C0D99">
        <w:rPr>
          <w:i/>
          <w:iCs/>
          <w:lang w:val="en-CA"/>
        </w:rPr>
        <w:t>Tutankhamun: his tomb and its treasures</w:t>
      </w:r>
      <w:r w:rsidRPr="008C0D99">
        <w:rPr>
          <w:lang w:val="en-CA"/>
        </w:rPr>
        <w:t>. London : Gollancz.</w:t>
      </w:r>
    </w:p>
    <w:p w14:paraId="61FAFFF5" w14:textId="77777777" w:rsidR="0084489F" w:rsidRPr="008C0D99" w:rsidRDefault="00110FE6">
      <w:pPr>
        <w:pStyle w:val="BodyText"/>
        <w:rPr>
          <w:lang w:val="en-CA"/>
        </w:rPr>
      </w:pPr>
      <w:r w:rsidRPr="008C0D99">
        <w:rPr>
          <w:lang w:val="en-CA"/>
        </w:rPr>
        <w:t xml:space="preserve">Einstein, Albert. 2001. </w:t>
      </w:r>
      <w:r w:rsidRPr="008C0D99">
        <w:rPr>
          <w:i/>
          <w:iCs/>
          <w:lang w:val="en-CA"/>
        </w:rPr>
        <w:t>Relativity: the special and the general theory</w:t>
      </w:r>
      <w:r w:rsidRPr="008C0D99">
        <w:rPr>
          <w:lang w:val="en-CA"/>
        </w:rPr>
        <w:t>. London : Routledge.</w:t>
      </w:r>
    </w:p>
    <w:p w14:paraId="753A4D2A" w14:textId="77777777" w:rsidR="0084489F" w:rsidRPr="008C0D99" w:rsidRDefault="00110FE6">
      <w:pPr>
        <w:pStyle w:val="BodyText"/>
        <w:rPr>
          <w:lang w:val="en-CA"/>
        </w:rPr>
      </w:pPr>
      <w:r w:rsidRPr="008C0D99">
        <w:rPr>
          <w:lang w:val="en-CA"/>
        </w:rPr>
        <w:t xml:space="preserve">Evans, Arthur. 1921. </w:t>
      </w:r>
      <w:r w:rsidRPr="008C0D99">
        <w:rPr>
          <w:i/>
          <w:iCs/>
          <w:lang w:val="en-CA"/>
        </w:rPr>
        <w:t>The palace of Minos: a comparative account of the successive stages of the early Cretan civilization as illustrated by the discoveries at Knossos.</w:t>
      </w:r>
      <w:r w:rsidRPr="008C0D99">
        <w:rPr>
          <w:lang w:val="en-CA"/>
        </w:rPr>
        <w:t xml:space="preserve"> London : Macmillan &amp; Co.</w:t>
      </w:r>
    </w:p>
    <w:p w14:paraId="58AF4B6D" w14:textId="77777777" w:rsidR="0084489F" w:rsidRPr="008C0D99" w:rsidRDefault="00110FE6">
      <w:pPr>
        <w:pStyle w:val="BodyText"/>
        <w:rPr>
          <w:lang w:val="en-CA"/>
        </w:rPr>
      </w:pPr>
      <w:r w:rsidRPr="008C0D99">
        <w:rPr>
          <w:lang w:val="en-CA"/>
        </w:rPr>
        <w:t xml:space="preserve">Farnie, D. A. 1980. </w:t>
      </w:r>
      <w:r w:rsidRPr="008C0D99">
        <w:rPr>
          <w:i/>
          <w:iCs/>
          <w:lang w:val="en-CA"/>
        </w:rPr>
        <w:t>The Manchester Ship Canal and the rise of the Port of Manchester, 1894-1975.</w:t>
      </w:r>
      <w:r w:rsidRPr="008C0D99">
        <w:rPr>
          <w:lang w:val="en-CA"/>
        </w:rPr>
        <w:t xml:space="preserve"> Manchester : Manchester University Press.</w:t>
      </w:r>
    </w:p>
    <w:p w14:paraId="57ED8883" w14:textId="77777777" w:rsidR="0084489F" w:rsidRPr="008C0D99" w:rsidRDefault="00110FE6">
      <w:pPr>
        <w:pStyle w:val="BodyText"/>
        <w:rPr>
          <w:lang w:val="en-CA"/>
        </w:rPr>
      </w:pPr>
      <w:r w:rsidRPr="008C0D99">
        <w:rPr>
          <w:lang w:val="en-CA"/>
        </w:rPr>
        <w:t xml:space="preserve">Farrand, Max. 1913. </w:t>
      </w:r>
      <w:r w:rsidRPr="008C0D99">
        <w:rPr>
          <w:i/>
          <w:iCs/>
          <w:lang w:val="en-CA"/>
        </w:rPr>
        <w:t>Framing of Constitution of United States.</w:t>
      </w:r>
      <w:r w:rsidRPr="008C0D99">
        <w:rPr>
          <w:lang w:val="en-CA"/>
        </w:rPr>
        <w:t xml:space="preserve"> United States : Yale University Press.</w:t>
      </w:r>
    </w:p>
    <w:p w14:paraId="4E9AE35A" w14:textId="77777777" w:rsidR="0084489F" w:rsidRPr="008C0D99" w:rsidRDefault="00110FE6">
      <w:pPr>
        <w:pStyle w:val="BodyText"/>
        <w:rPr>
          <w:lang w:val="en-CA"/>
        </w:rPr>
      </w:pPr>
      <w:r w:rsidRPr="008C0D99">
        <w:rPr>
          <w:lang w:val="en-CA"/>
        </w:rPr>
        <w:t xml:space="preserve">Fisher, John, et Geoff Garvey. 2010. </w:t>
      </w:r>
      <w:r w:rsidRPr="008C0D99">
        <w:rPr>
          <w:i/>
          <w:iCs/>
          <w:lang w:val="en-CA"/>
        </w:rPr>
        <w:t>The rough guide to Crete</w:t>
      </w:r>
      <w:r w:rsidRPr="008C0D99">
        <w:rPr>
          <w:lang w:val="en-CA"/>
        </w:rPr>
        <w:t>. UK : Rough Guides Limited.</w:t>
      </w:r>
    </w:p>
    <w:p w14:paraId="2710E4C4" w14:textId="77777777" w:rsidR="0084489F" w:rsidRPr="008C0D99" w:rsidRDefault="00110FE6">
      <w:pPr>
        <w:pStyle w:val="BodyText"/>
        <w:rPr>
          <w:lang w:val="en-CA"/>
        </w:rPr>
      </w:pPr>
      <w:r w:rsidRPr="008C0D99">
        <w:rPr>
          <w:lang w:val="en-CA"/>
        </w:rPr>
        <w:t xml:space="preserve">Foster, Norman. 2000. </w:t>
      </w:r>
      <w:r w:rsidRPr="008C0D99">
        <w:rPr>
          <w:i/>
          <w:iCs/>
          <w:lang w:val="en-CA"/>
        </w:rPr>
        <w:t>Rebuilding the Reichstag</w:t>
      </w:r>
      <w:r w:rsidRPr="008C0D99">
        <w:rPr>
          <w:lang w:val="en-CA"/>
        </w:rPr>
        <w:t>. Woodstock, N.Y. : Overlook Press.</w:t>
      </w:r>
    </w:p>
    <w:p w14:paraId="4E24EA5A" w14:textId="77777777" w:rsidR="0084489F" w:rsidRPr="008C0D99" w:rsidRDefault="00110FE6">
      <w:pPr>
        <w:pStyle w:val="BodyText"/>
        <w:rPr>
          <w:lang w:val="en-CA"/>
        </w:rPr>
      </w:pPr>
      <w:r w:rsidRPr="008C0D99">
        <w:rPr>
          <w:lang w:val="en-CA"/>
        </w:rPr>
        <w:t xml:space="preserve">Galeotti, Mark. 1997. </w:t>
      </w:r>
      <w:r w:rsidRPr="008C0D99">
        <w:rPr>
          <w:i/>
          <w:iCs/>
          <w:lang w:val="en-CA"/>
        </w:rPr>
        <w:t>Gorbachev and His Revolution</w:t>
      </w:r>
      <w:r w:rsidRPr="008C0D99">
        <w:rPr>
          <w:lang w:val="en-CA"/>
        </w:rPr>
        <w:t>. London : Macmillan Education, Limited.</w:t>
      </w:r>
    </w:p>
    <w:p w14:paraId="793F4C8B" w14:textId="77777777" w:rsidR="0084489F" w:rsidRPr="008C0D99" w:rsidRDefault="00110FE6">
      <w:pPr>
        <w:pStyle w:val="BodyText"/>
        <w:rPr>
          <w:lang w:val="en-CA"/>
        </w:rPr>
      </w:pPr>
      <w:r w:rsidRPr="008C0D99">
        <w:rPr>
          <w:lang w:val="en-CA"/>
        </w:rPr>
        <w:t xml:space="preserve">Gangemi, Aldo, Nicola Guarino, Claudio Masolo, Alessandro Oltramari, et Luc Schneider. 2002. « Sweetening Ontologies with DOLCE ». Dans </w:t>
      </w:r>
      <w:r w:rsidRPr="008C0D99">
        <w:rPr>
          <w:i/>
          <w:iCs/>
          <w:lang w:val="en-CA"/>
        </w:rPr>
        <w:t>Knowledge Engineering and Knowledge Management: Ontologies and the Semantic Web</w:t>
      </w:r>
      <w:r w:rsidRPr="008C0D99">
        <w:rPr>
          <w:lang w:val="en-CA"/>
        </w:rPr>
        <w:t xml:space="preserve">. </w:t>
      </w:r>
      <w:r>
        <w:t xml:space="preserve">Sous la direction de Asunción Gómez-Pérez et V. Richard Benjamins, 166‑81. </w:t>
      </w:r>
      <w:r w:rsidRPr="008C0D99">
        <w:rPr>
          <w:lang w:val="en-CA"/>
        </w:rPr>
        <w:t xml:space="preserve">Lecture Notes in Computer Science. Berlin, Heidelberg : Springer. </w:t>
      </w:r>
      <w:hyperlink r:id="rId350">
        <w:r w:rsidRPr="008C0D99">
          <w:rPr>
            <w:rStyle w:val="Hyperlink"/>
            <w:lang w:val="en-CA"/>
          </w:rPr>
          <w:t>https://doi.org/10.1007/3-540-45810-7_18</w:t>
        </w:r>
      </w:hyperlink>
      <w:r w:rsidRPr="008C0D99">
        <w:rPr>
          <w:lang w:val="en-CA"/>
        </w:rPr>
        <w:t>.</w:t>
      </w:r>
    </w:p>
    <w:p w14:paraId="0C686623" w14:textId="77777777" w:rsidR="0084489F" w:rsidRPr="008C0D99" w:rsidRDefault="00110FE6">
      <w:pPr>
        <w:pStyle w:val="BodyText"/>
        <w:rPr>
          <w:lang w:val="en-CA"/>
        </w:rPr>
      </w:pPr>
      <w:r w:rsidRPr="008C0D99">
        <w:rPr>
          <w:lang w:val="en-CA"/>
        </w:rPr>
        <w:t xml:space="preserve">Gannett, Henry. 1904. </w:t>
      </w:r>
      <w:r w:rsidRPr="008C0D99">
        <w:rPr>
          <w:i/>
          <w:iCs/>
          <w:lang w:val="en-CA"/>
        </w:rPr>
        <w:t>Boundaries of the United States and of the several states and territories: with an outline of the history of all important changes of territory</w:t>
      </w:r>
      <w:r w:rsidRPr="008C0D99">
        <w:rPr>
          <w:lang w:val="en-CA"/>
        </w:rPr>
        <w:t>. Washington, D.C. : Department of the Interior, United States Geological Survey.</w:t>
      </w:r>
    </w:p>
    <w:p w14:paraId="1C230716" w14:textId="77777777" w:rsidR="0084489F" w:rsidRPr="008C0D99" w:rsidRDefault="00110FE6">
      <w:pPr>
        <w:pStyle w:val="BodyText"/>
        <w:rPr>
          <w:lang w:val="en-CA"/>
        </w:rPr>
      </w:pPr>
      <w:r w:rsidRPr="008C0D99">
        <w:rPr>
          <w:lang w:val="en-CA"/>
        </w:rPr>
        <w:t xml:space="preserve">Georgoula, Elektra. 2005. </w:t>
      </w:r>
      <w:r w:rsidRPr="008C0D99">
        <w:rPr>
          <w:i/>
          <w:iCs/>
          <w:lang w:val="en-CA"/>
        </w:rPr>
        <w:t>Greek treasures from the Benaki Museum in Athens</w:t>
      </w:r>
      <w:r w:rsidRPr="008C0D99">
        <w:rPr>
          <w:lang w:val="en-CA"/>
        </w:rPr>
        <w:t>. Sydney : Powerhouse Publishing in association with Benaki Museum.</w:t>
      </w:r>
    </w:p>
    <w:p w14:paraId="06D39D94" w14:textId="77777777" w:rsidR="0084489F" w:rsidRPr="00010123" w:rsidRDefault="296B54BA" w:rsidP="4AB636BE">
      <w:pPr>
        <w:pStyle w:val="BodyText"/>
        <w:rPr>
          <w:lang w:val="en-CA"/>
        </w:rPr>
      </w:pPr>
      <w:r w:rsidRPr="00010123">
        <w:rPr>
          <w:lang w:val="en-CA"/>
        </w:rPr>
        <w:t xml:space="preserve">Gergatsoulis, Manolis, Lina Bountouri, Panorea Gaitanou, et Christos Papatheodorou. 2010. « Mapping Cultural Metadata Schemas to CIDOC Conceptual Reference Model ». Dans </w:t>
      </w:r>
      <w:r w:rsidRPr="00010123">
        <w:rPr>
          <w:i/>
          <w:iCs/>
          <w:lang w:val="en-CA"/>
        </w:rPr>
        <w:t>Artificial Intelligence: Theories, Models and Applications</w:t>
      </w:r>
      <w:r w:rsidRPr="00010123">
        <w:rPr>
          <w:lang w:val="en-CA"/>
        </w:rPr>
        <w:t xml:space="preserve">. , 321‑26. Springer, Berlin, Heidelberg. </w:t>
      </w:r>
      <w:hyperlink r:id="rId351">
        <w:r w:rsidRPr="00010123">
          <w:rPr>
            <w:rStyle w:val="Hyperlink"/>
            <w:lang w:val="en-CA"/>
          </w:rPr>
          <w:t>https://doi.org/10.1007/978-3-642-12842-4_37</w:t>
        </w:r>
      </w:hyperlink>
      <w:r w:rsidRPr="00010123">
        <w:rPr>
          <w:lang w:val="en-CA"/>
        </w:rPr>
        <w:t>.</w:t>
      </w:r>
    </w:p>
    <w:p w14:paraId="7F50EE49" w14:textId="77777777" w:rsidR="0084489F" w:rsidRPr="008C0D99" w:rsidRDefault="00110FE6">
      <w:pPr>
        <w:pStyle w:val="BodyText"/>
        <w:rPr>
          <w:lang w:val="en-CA"/>
        </w:rPr>
      </w:pPr>
      <w:r w:rsidRPr="008C0D99">
        <w:rPr>
          <w:lang w:val="en-CA"/>
        </w:rPr>
        <w:t xml:space="preserve">Getty Trust. 1990. </w:t>
      </w:r>
      <w:r w:rsidRPr="008C0D99">
        <w:rPr>
          <w:i/>
          <w:iCs/>
          <w:lang w:val="en-CA"/>
        </w:rPr>
        <w:t>Art &amp; architecture thesaurus</w:t>
      </w:r>
      <w:r w:rsidRPr="008C0D99">
        <w:rPr>
          <w:lang w:val="en-CA"/>
        </w:rPr>
        <w:t>. Oxford University Press.</w:t>
      </w:r>
    </w:p>
    <w:p w14:paraId="5ED25736" w14:textId="77777777" w:rsidR="0084489F" w:rsidRPr="008C0D99" w:rsidRDefault="00110FE6">
      <w:pPr>
        <w:pStyle w:val="BodyText"/>
        <w:rPr>
          <w:lang w:val="en-CA"/>
        </w:rPr>
      </w:pPr>
      <w:r w:rsidRPr="008C0D99">
        <w:rPr>
          <w:lang w:val="en-CA"/>
        </w:rPr>
        <w:t xml:space="preserve">Gibbon, Edward. 2013. </w:t>
      </w:r>
      <w:r w:rsidRPr="008C0D99">
        <w:rPr>
          <w:i/>
          <w:iCs/>
          <w:lang w:val="en-CA"/>
        </w:rPr>
        <w:t>The History of the Decline and Fall of the Roman Empire: Edited in Seven Volumes with Introduction, Notes, Appendices, and Index</w:t>
      </w:r>
      <w:r w:rsidRPr="008C0D99">
        <w:rPr>
          <w:lang w:val="en-CA"/>
        </w:rPr>
        <w:t xml:space="preserve">. </w:t>
      </w:r>
      <w:r w:rsidRPr="008D4435">
        <w:rPr>
          <w:lang w:val="fr-CA"/>
        </w:rPr>
        <w:t xml:space="preserve">Sous la direction de J. B. Bury. Vol. 5. Cambridge Library Collection - Classics. </w:t>
      </w:r>
      <w:r w:rsidRPr="008C0D99">
        <w:rPr>
          <w:lang w:val="en-CA"/>
        </w:rPr>
        <w:t xml:space="preserve">Cambridge : Cambridge University Press. </w:t>
      </w:r>
      <w:hyperlink r:id="rId352">
        <w:r w:rsidRPr="008C0D99">
          <w:rPr>
            <w:rStyle w:val="Hyperlink"/>
            <w:lang w:val="en-CA"/>
          </w:rPr>
          <w:t>https://doi.org/10.1017/CBO9781139333580</w:t>
        </w:r>
      </w:hyperlink>
      <w:r w:rsidRPr="008C0D99">
        <w:rPr>
          <w:lang w:val="en-CA"/>
        </w:rPr>
        <w:t>.</w:t>
      </w:r>
    </w:p>
    <w:p w14:paraId="466893A6" w14:textId="77777777" w:rsidR="0084489F" w:rsidRPr="008C0D99" w:rsidRDefault="00110FE6">
      <w:pPr>
        <w:pStyle w:val="BodyText"/>
        <w:rPr>
          <w:lang w:val="en-CA"/>
        </w:rPr>
      </w:pPr>
      <w:r w:rsidRPr="008C0D99">
        <w:rPr>
          <w:lang w:val="en-CA"/>
        </w:rPr>
        <w:t xml:space="preserve">Gibson, Joy Leslie. 1990. </w:t>
      </w:r>
      <w:r w:rsidRPr="008C0D99">
        <w:rPr>
          <w:i/>
          <w:iCs/>
          <w:lang w:val="en-CA"/>
        </w:rPr>
        <w:t>Ian McKellen</w:t>
      </w:r>
      <w:r w:rsidRPr="008C0D99">
        <w:rPr>
          <w:lang w:val="en-CA"/>
        </w:rPr>
        <w:t>. London : Weidenfeld and Nicolson.</w:t>
      </w:r>
    </w:p>
    <w:p w14:paraId="34F529C3" w14:textId="77777777" w:rsidR="0084489F" w:rsidRPr="008C0D99" w:rsidRDefault="00110FE6">
      <w:pPr>
        <w:pStyle w:val="BodyText"/>
        <w:rPr>
          <w:lang w:val="en-CA"/>
        </w:rPr>
      </w:pPr>
      <w:r w:rsidRPr="008C0D99">
        <w:rPr>
          <w:lang w:val="en-CA"/>
        </w:rPr>
        <w:t xml:space="preserve">Gimbutas, Marija Alseikaité. 1965. </w:t>
      </w:r>
      <w:r w:rsidRPr="008C0D99">
        <w:rPr>
          <w:i/>
          <w:iCs/>
          <w:lang w:val="en-CA"/>
        </w:rPr>
        <w:t>Bronze age cultures in central and eastern Europe</w:t>
      </w:r>
      <w:r w:rsidRPr="008C0D99">
        <w:rPr>
          <w:lang w:val="en-CA"/>
        </w:rPr>
        <w:t>. Paris : Mouton &amp; Co.</w:t>
      </w:r>
    </w:p>
    <w:p w14:paraId="3C4FEB3E" w14:textId="77777777" w:rsidR="0084489F" w:rsidRPr="008C0D99" w:rsidRDefault="00110FE6">
      <w:pPr>
        <w:pStyle w:val="BodyText"/>
        <w:rPr>
          <w:lang w:val="en-CA"/>
        </w:rPr>
      </w:pPr>
      <w:r w:rsidRPr="008C0D99">
        <w:rPr>
          <w:lang w:val="en-CA"/>
        </w:rPr>
        <w:t xml:space="preserve">Gleick, James. 2003. </w:t>
      </w:r>
      <w:r w:rsidRPr="008C0D99">
        <w:rPr>
          <w:i/>
          <w:iCs/>
          <w:lang w:val="en-CA"/>
        </w:rPr>
        <w:t>Isaac Newton</w:t>
      </w:r>
      <w:r w:rsidRPr="008C0D99">
        <w:rPr>
          <w:lang w:val="en-CA"/>
        </w:rPr>
        <w:t>. London; New York : Fourth Estate.</w:t>
      </w:r>
    </w:p>
    <w:p w14:paraId="61007559" w14:textId="77777777" w:rsidR="0084489F" w:rsidRPr="008C0D99" w:rsidRDefault="00110FE6">
      <w:pPr>
        <w:pStyle w:val="BodyText"/>
        <w:rPr>
          <w:lang w:val="en-CA"/>
        </w:rPr>
      </w:pPr>
      <w:r w:rsidRPr="008C0D99">
        <w:rPr>
          <w:lang w:val="en-CA"/>
        </w:rPr>
        <w:t xml:space="preserve">Goldner, Orville, et George E Turner. 1976. </w:t>
      </w:r>
      <w:r w:rsidRPr="008C0D99">
        <w:rPr>
          <w:i/>
          <w:iCs/>
          <w:lang w:val="en-CA"/>
        </w:rPr>
        <w:t>The making of King Kong: the story behind a film classic</w:t>
      </w:r>
      <w:r w:rsidRPr="008C0D99">
        <w:rPr>
          <w:lang w:val="en-CA"/>
        </w:rPr>
        <w:t>. New York : Ballantine Books.</w:t>
      </w:r>
    </w:p>
    <w:p w14:paraId="69A2D0A4" w14:textId="77777777" w:rsidR="0084489F" w:rsidRPr="008C0D99" w:rsidRDefault="00110FE6">
      <w:pPr>
        <w:pStyle w:val="BodyText"/>
        <w:rPr>
          <w:lang w:val="en-CA"/>
        </w:rPr>
      </w:pPr>
      <w:r w:rsidRPr="008C0D99">
        <w:rPr>
          <w:lang w:val="en-CA"/>
        </w:rPr>
        <w:t xml:space="preserve">Goldscheider, Ludwig. 1953. </w:t>
      </w:r>
      <w:r w:rsidRPr="008C0D99">
        <w:rPr>
          <w:i/>
          <w:iCs/>
          <w:lang w:val="en-CA"/>
        </w:rPr>
        <w:t>Michelangelo: paintings, sculpture, architecture</w:t>
      </w:r>
      <w:r w:rsidRPr="008C0D99">
        <w:rPr>
          <w:lang w:val="en-CA"/>
        </w:rPr>
        <w:t>. London : Phaidon Press.</w:t>
      </w:r>
    </w:p>
    <w:p w14:paraId="262B0057" w14:textId="77777777" w:rsidR="0084489F" w:rsidRPr="008C0D99" w:rsidRDefault="00110FE6">
      <w:pPr>
        <w:pStyle w:val="BodyText"/>
        <w:rPr>
          <w:lang w:val="en-CA"/>
        </w:rPr>
      </w:pPr>
      <w:r w:rsidRPr="008C0D99">
        <w:rPr>
          <w:lang w:val="en-CA"/>
        </w:rPr>
        <w:t xml:space="preserve">Goodwin, Peter. 2015. </w:t>
      </w:r>
      <w:r w:rsidRPr="008C0D99">
        <w:rPr>
          <w:i/>
          <w:iCs/>
          <w:lang w:val="en-CA"/>
        </w:rPr>
        <w:t>HMS Victory: 1765-1812 (first rate ship of the line)</w:t>
      </w:r>
      <w:r w:rsidRPr="008C0D99">
        <w:rPr>
          <w:lang w:val="en-CA"/>
        </w:rPr>
        <w:t>.</w:t>
      </w:r>
    </w:p>
    <w:p w14:paraId="5AB8DE7F" w14:textId="77777777" w:rsidR="0084489F" w:rsidRPr="008C0D99" w:rsidRDefault="00110FE6">
      <w:pPr>
        <w:pStyle w:val="BodyText"/>
        <w:rPr>
          <w:lang w:val="en-CA"/>
        </w:rPr>
      </w:pPr>
      <w:r w:rsidRPr="008C0D99">
        <w:rPr>
          <w:lang w:val="en-CA"/>
        </w:rPr>
        <w:t xml:space="preserve">Gregor, Hugh. 1971. </w:t>
      </w:r>
      <w:r w:rsidRPr="008C0D99">
        <w:rPr>
          <w:i/>
          <w:iCs/>
          <w:lang w:val="en-CA"/>
        </w:rPr>
        <w:t>The S.S. Great Britain</w:t>
      </w:r>
      <w:r w:rsidRPr="008C0D99">
        <w:rPr>
          <w:lang w:val="en-CA"/>
        </w:rPr>
        <w:t>. London : Published for the S.S. Great Britain Project by Macmillan.</w:t>
      </w:r>
    </w:p>
    <w:p w14:paraId="013CA6A0" w14:textId="77777777" w:rsidR="0084489F" w:rsidRPr="008C0D99" w:rsidRDefault="00110FE6">
      <w:pPr>
        <w:pStyle w:val="BodyText"/>
        <w:rPr>
          <w:lang w:val="en-CA"/>
        </w:rPr>
      </w:pPr>
      <w:r w:rsidRPr="008C0D99">
        <w:rPr>
          <w:lang w:val="en-CA"/>
        </w:rPr>
        <w:t xml:space="preserve">Guarino, N. 1998. </w:t>
      </w:r>
      <w:r w:rsidRPr="008C0D99">
        <w:rPr>
          <w:i/>
          <w:iCs/>
          <w:lang w:val="en-CA"/>
        </w:rPr>
        <w:t>Formal Ontology in Information Systems: Proceedings of the 1st International Conference June 6-8, 1998, Trento, Italy</w:t>
      </w:r>
      <w:r w:rsidRPr="008C0D99">
        <w:rPr>
          <w:lang w:val="en-CA"/>
        </w:rPr>
        <w:t>. 1st éd. NLD : IOS Press.</w:t>
      </w:r>
    </w:p>
    <w:p w14:paraId="0ED0FE9A" w14:textId="77777777" w:rsidR="0084489F" w:rsidRPr="008C0D99" w:rsidRDefault="00110FE6">
      <w:pPr>
        <w:pStyle w:val="BodyText"/>
        <w:rPr>
          <w:lang w:val="en-CA"/>
        </w:rPr>
      </w:pPr>
      <w:r w:rsidRPr="008C0D99">
        <w:rPr>
          <w:lang w:val="en-CA"/>
        </w:rPr>
        <w:t xml:space="preserve">Gurcke, Karl. 1987. </w:t>
      </w:r>
      <w:r w:rsidRPr="008C0D99">
        <w:rPr>
          <w:i/>
          <w:iCs/>
          <w:lang w:val="en-CA"/>
        </w:rPr>
        <w:t>Bricks and brickmaking: a handbook for historical archaeology</w:t>
      </w:r>
      <w:r w:rsidRPr="008C0D99">
        <w:rPr>
          <w:lang w:val="en-CA"/>
        </w:rPr>
        <w:t>. Moscow, Idaho : University of Idaho Press.</w:t>
      </w:r>
    </w:p>
    <w:p w14:paraId="02C40F73" w14:textId="77777777" w:rsidR="0084489F" w:rsidRPr="008C0D99" w:rsidRDefault="00110FE6">
      <w:pPr>
        <w:pStyle w:val="BodyText"/>
        <w:rPr>
          <w:lang w:val="en-CA"/>
        </w:rPr>
      </w:pPr>
      <w:r w:rsidRPr="008C0D99">
        <w:rPr>
          <w:lang w:val="en-CA"/>
        </w:rPr>
        <w:t>Håfors, Birgitta. 2010. « Conservation of the wood of the Swedish warship Vasa of a.d. 1628: evaluation of polyethylene glycol conversation programmes ». Göteborg : Acta Universitatis Gothoburgensis.</w:t>
      </w:r>
    </w:p>
    <w:p w14:paraId="369161EB" w14:textId="77777777" w:rsidR="0084489F" w:rsidRPr="008C0D99" w:rsidRDefault="00110FE6">
      <w:pPr>
        <w:pStyle w:val="BodyText"/>
        <w:rPr>
          <w:lang w:val="en-CA"/>
        </w:rPr>
      </w:pPr>
      <w:r w:rsidRPr="008C0D99">
        <w:rPr>
          <w:lang w:val="en-CA"/>
        </w:rPr>
        <w:t xml:space="preserve">Hallam, A. 1975. </w:t>
      </w:r>
      <w:r w:rsidRPr="008C0D99">
        <w:rPr>
          <w:i/>
          <w:iCs/>
          <w:lang w:val="en-CA"/>
        </w:rPr>
        <w:t>Jurassic environment</w:t>
      </w:r>
      <w:r w:rsidRPr="008C0D99">
        <w:rPr>
          <w:lang w:val="en-CA"/>
        </w:rPr>
        <w:t>. Cambridge : Cambridge University Press.</w:t>
      </w:r>
    </w:p>
    <w:p w14:paraId="026639E0" w14:textId="77777777" w:rsidR="0084489F" w:rsidRPr="008C0D99" w:rsidRDefault="00110FE6">
      <w:pPr>
        <w:pStyle w:val="BodyText"/>
        <w:rPr>
          <w:lang w:val="en-CA"/>
        </w:rPr>
      </w:pPr>
      <w:r w:rsidRPr="008C0D99">
        <w:rPr>
          <w:lang w:val="en-CA"/>
        </w:rPr>
        <w:t xml:space="preserve">Hallam, Elizabeth M. 1987. </w:t>
      </w:r>
      <w:r w:rsidRPr="008C0D99">
        <w:rPr>
          <w:i/>
          <w:iCs/>
          <w:lang w:val="en-CA"/>
        </w:rPr>
        <w:t>Domesday book through nine centuries</w:t>
      </w:r>
      <w:r w:rsidRPr="008C0D99">
        <w:rPr>
          <w:lang w:val="en-CA"/>
        </w:rPr>
        <w:t>. London : Thames and Hudson.</w:t>
      </w:r>
    </w:p>
    <w:p w14:paraId="26C6E95E" w14:textId="77777777" w:rsidR="0084489F" w:rsidRPr="008C0D99" w:rsidRDefault="00110FE6">
      <w:pPr>
        <w:pStyle w:val="BodyText"/>
        <w:rPr>
          <w:lang w:val="en-CA"/>
        </w:rPr>
      </w:pPr>
      <w:r w:rsidRPr="008C0D99">
        <w:rPr>
          <w:lang w:val="en-CA"/>
        </w:rPr>
        <w:t xml:space="preserve">Harbutt, Fraser J. 2010. </w:t>
      </w:r>
      <w:r w:rsidRPr="008C0D99">
        <w:rPr>
          <w:i/>
          <w:iCs/>
          <w:lang w:val="en-CA"/>
        </w:rPr>
        <w:t>Yalta 1945: Europe and America at the crossroads</w:t>
      </w:r>
      <w:r w:rsidRPr="008C0D99">
        <w:rPr>
          <w:lang w:val="en-CA"/>
        </w:rPr>
        <w:t>. Cambridge : Cambridge University Press.</w:t>
      </w:r>
    </w:p>
    <w:p w14:paraId="37F38E52" w14:textId="77777777" w:rsidR="0084489F" w:rsidRPr="008C0D99" w:rsidRDefault="00110FE6">
      <w:pPr>
        <w:pStyle w:val="BodyText"/>
        <w:rPr>
          <w:lang w:val="en-CA"/>
        </w:rPr>
      </w:pPr>
      <w:r w:rsidRPr="008C0D99">
        <w:rPr>
          <w:lang w:val="en-CA"/>
        </w:rPr>
        <w:t xml:space="preserve">Harrison, Richard John. 2004. </w:t>
      </w:r>
      <w:r w:rsidRPr="008C0D99">
        <w:rPr>
          <w:i/>
          <w:iCs/>
          <w:lang w:val="en-CA"/>
        </w:rPr>
        <w:t>Symbols and warriors: images of the European Bronze Age</w:t>
      </w:r>
      <w:r w:rsidRPr="008C0D99">
        <w:rPr>
          <w:lang w:val="en-CA"/>
        </w:rPr>
        <w:t>. Bristol : Western Academic &amp; Specialist Press.</w:t>
      </w:r>
    </w:p>
    <w:p w14:paraId="15A7C219" w14:textId="77777777" w:rsidR="0084489F" w:rsidRPr="008C0D99" w:rsidRDefault="00110FE6">
      <w:pPr>
        <w:pStyle w:val="BodyText"/>
        <w:rPr>
          <w:lang w:val="en-CA"/>
        </w:rPr>
      </w:pPr>
      <w:r w:rsidRPr="008C0D99">
        <w:rPr>
          <w:lang w:val="en-CA"/>
        </w:rPr>
        <w:t xml:space="preserve">Hartle, James B. 2003. </w:t>
      </w:r>
      <w:r w:rsidRPr="008C0D99">
        <w:rPr>
          <w:i/>
          <w:iCs/>
          <w:lang w:val="en-CA"/>
        </w:rPr>
        <w:t>Gravity an introduction to Einstein’s general relativity</w:t>
      </w:r>
      <w:r w:rsidRPr="008C0D99">
        <w:rPr>
          <w:lang w:val="en-CA"/>
        </w:rPr>
        <w:t>. San Francisco : Addison-Wesley.</w:t>
      </w:r>
    </w:p>
    <w:p w14:paraId="5FCDF88B" w14:textId="77777777" w:rsidR="0084489F" w:rsidRPr="008C0D99" w:rsidRDefault="00110FE6">
      <w:pPr>
        <w:pStyle w:val="BodyText"/>
        <w:rPr>
          <w:lang w:val="en-CA"/>
        </w:rPr>
      </w:pPr>
      <w:r w:rsidRPr="008C0D99">
        <w:rPr>
          <w:lang w:val="en-CA"/>
        </w:rPr>
        <w:t xml:space="preserve">Hau, L. V, S. E Harris, Z Dutton, et C. H Behroozi. 1999. « Light speed reduction to 17 metres per second in an ultracold atomic gas ». </w:t>
      </w:r>
      <w:r w:rsidRPr="008C0D99">
        <w:rPr>
          <w:i/>
          <w:iCs/>
          <w:lang w:val="en-CA"/>
        </w:rPr>
        <w:t>Nature</w:t>
      </w:r>
      <w:r w:rsidRPr="008C0D99">
        <w:rPr>
          <w:lang w:val="en-CA"/>
        </w:rPr>
        <w:t>, n</w:t>
      </w:r>
      <w:r w:rsidRPr="008C0D99">
        <w:rPr>
          <w:vertAlign w:val="superscript"/>
          <w:lang w:val="en-CA"/>
        </w:rPr>
        <w:t>o</w:t>
      </w:r>
      <w:r w:rsidRPr="008C0D99">
        <w:rPr>
          <w:lang w:val="en-CA"/>
        </w:rPr>
        <w:t xml:space="preserve"> 6720 : 594‑97.</w:t>
      </w:r>
    </w:p>
    <w:p w14:paraId="7BC4E6ED" w14:textId="77777777" w:rsidR="0084489F" w:rsidRPr="008C0D99" w:rsidRDefault="00110FE6">
      <w:pPr>
        <w:pStyle w:val="BodyText"/>
        <w:rPr>
          <w:lang w:val="en-CA"/>
        </w:rPr>
      </w:pPr>
      <w:r w:rsidRPr="008C0D99">
        <w:rPr>
          <w:lang w:val="en-CA"/>
        </w:rPr>
        <w:t xml:space="preserve">Hawass, Z. 2000. </w:t>
      </w:r>
      <w:r w:rsidRPr="008C0D99">
        <w:rPr>
          <w:i/>
          <w:iCs/>
          <w:lang w:val="en-CA"/>
        </w:rPr>
        <w:t>The Mysteries of Abu Simbel: Ramesses II and the Temples of the Rising Sun</w:t>
      </w:r>
      <w:r w:rsidRPr="008C0D99">
        <w:rPr>
          <w:lang w:val="en-CA"/>
        </w:rPr>
        <w:t>. Cairo : American University in Cairo.</w:t>
      </w:r>
    </w:p>
    <w:p w14:paraId="4BDC0AA8" w14:textId="77777777" w:rsidR="0084489F" w:rsidRPr="008C0D99" w:rsidRDefault="00110FE6">
      <w:pPr>
        <w:pStyle w:val="BodyText"/>
        <w:rPr>
          <w:lang w:val="en-CA"/>
        </w:rPr>
      </w:pPr>
      <w:r w:rsidRPr="008C0D99">
        <w:rPr>
          <w:lang w:val="en-CA"/>
        </w:rPr>
        <w:t xml:space="preserve">Hegen, Edmund Eduard. 1966. </w:t>
      </w:r>
      <w:r w:rsidRPr="008C0D99">
        <w:rPr>
          <w:i/>
          <w:iCs/>
          <w:lang w:val="en-CA"/>
        </w:rPr>
        <w:t>Highways into the Upper Amazon Basin: pioneer lands in southern Colombia, Ecuador, and northern Peru</w:t>
      </w:r>
      <w:r w:rsidRPr="008C0D99">
        <w:rPr>
          <w:lang w:val="en-CA"/>
        </w:rPr>
        <w:t>. Gainesville : University of Florida Press.</w:t>
      </w:r>
    </w:p>
    <w:p w14:paraId="5391B2E9" w14:textId="77777777" w:rsidR="0084489F" w:rsidRPr="008C0D99" w:rsidRDefault="00110FE6">
      <w:pPr>
        <w:pStyle w:val="BodyText"/>
        <w:rPr>
          <w:lang w:val="en-CA"/>
        </w:rPr>
      </w:pPr>
      <w:r w:rsidRPr="008C0D99">
        <w:rPr>
          <w:lang w:val="en-CA"/>
        </w:rPr>
        <w:t xml:space="preserve">Hershberger A.J, Robacker C, et Jenkins T.M. 2015. « Molecular genetic variability of spigelia marilandica and S. Gentianoides ». </w:t>
      </w:r>
      <w:r w:rsidRPr="008C0D99">
        <w:rPr>
          <w:i/>
          <w:iCs/>
          <w:lang w:val="en-CA"/>
        </w:rPr>
        <w:t>J. Am. Soc. Hortic. Sci. Journal of the American Society for Horticultural Science</w:t>
      </w:r>
      <w:r w:rsidRPr="008C0D99">
        <w:rPr>
          <w:lang w:val="en-CA"/>
        </w:rPr>
        <w:t xml:space="preserve"> 140 (2) : 120‑28.</w:t>
      </w:r>
    </w:p>
    <w:p w14:paraId="1789735B" w14:textId="77777777" w:rsidR="0084489F" w:rsidRPr="008C0D99" w:rsidRDefault="00110FE6">
      <w:pPr>
        <w:pStyle w:val="BodyText"/>
        <w:rPr>
          <w:lang w:val="en-CA"/>
        </w:rPr>
      </w:pPr>
      <w:r w:rsidRPr="008C0D99">
        <w:rPr>
          <w:lang w:val="en-CA"/>
        </w:rPr>
        <w:t xml:space="preserve">Hilmo, Maidie. 2019. </w:t>
      </w:r>
      <w:r w:rsidRPr="008C0D99">
        <w:rPr>
          <w:i/>
          <w:iCs/>
          <w:lang w:val="en-CA"/>
        </w:rPr>
        <w:t>Medieval Images, Icons, and Illustrated English Literary Texts : From the Ruthwell Cross to the Ellesmere Chaucer</w:t>
      </w:r>
      <w:r w:rsidRPr="008C0D99">
        <w:rPr>
          <w:lang w:val="en-CA"/>
        </w:rPr>
        <w:t xml:space="preserve">. Aldershot : Ashgate Publishing, Ltd. </w:t>
      </w:r>
      <w:hyperlink r:id="rId353">
        <w:r w:rsidRPr="008C0D99">
          <w:rPr>
            <w:rStyle w:val="Hyperlink"/>
            <w:lang w:val="en-CA"/>
          </w:rPr>
          <w:t>https://doi.org/10.4324/9781315249278</w:t>
        </w:r>
      </w:hyperlink>
      <w:r w:rsidRPr="008C0D99">
        <w:rPr>
          <w:lang w:val="en-CA"/>
        </w:rPr>
        <w:t>.</w:t>
      </w:r>
    </w:p>
    <w:p w14:paraId="0F1B3451" w14:textId="77777777" w:rsidR="0084489F" w:rsidRPr="008C0D99" w:rsidRDefault="00110FE6">
      <w:pPr>
        <w:pStyle w:val="BodyText"/>
        <w:rPr>
          <w:lang w:val="en-CA"/>
        </w:rPr>
      </w:pPr>
      <w:r w:rsidRPr="008C0D99">
        <w:rPr>
          <w:lang w:val="en-CA"/>
        </w:rPr>
        <w:t xml:space="preserve">Hind, Arthur M. 1923. </w:t>
      </w:r>
      <w:r w:rsidRPr="008C0D99">
        <w:rPr>
          <w:i/>
          <w:iCs/>
          <w:lang w:val="en-CA"/>
        </w:rPr>
        <w:t>A catalogue of Rembrandt’s etchings: chronologically arranged and completely illustrated</w:t>
      </w:r>
      <w:r w:rsidRPr="008C0D99">
        <w:rPr>
          <w:lang w:val="en-CA"/>
        </w:rPr>
        <w:t>. London : Methuen.</w:t>
      </w:r>
    </w:p>
    <w:p w14:paraId="21B2BB21" w14:textId="77777777" w:rsidR="0084489F" w:rsidRPr="008C0D99" w:rsidRDefault="00110FE6">
      <w:pPr>
        <w:pStyle w:val="BodyText"/>
        <w:rPr>
          <w:lang w:val="en-CA"/>
        </w:rPr>
      </w:pPr>
      <w:r w:rsidRPr="008C0D99">
        <w:rPr>
          <w:lang w:val="en-CA"/>
        </w:rPr>
        <w:t xml:space="preserve">Historical Museum of Crete. 2005. « Numismatics ». Historical Museum of Crete. 2020 2005. </w:t>
      </w:r>
      <w:hyperlink r:id="rId354">
        <w:r w:rsidRPr="008C0D99">
          <w:rPr>
            <w:rStyle w:val="Hyperlink"/>
            <w:lang w:val="en-CA"/>
          </w:rPr>
          <w:t>https://www.historical-museum.gr/eng/collections/view/nomismatikh-sullogh</w:t>
        </w:r>
      </w:hyperlink>
      <w:r w:rsidRPr="008C0D99">
        <w:rPr>
          <w:lang w:val="en-CA"/>
        </w:rPr>
        <w:t>.</w:t>
      </w:r>
    </w:p>
    <w:p w14:paraId="60C1A133" w14:textId="77777777" w:rsidR="0084489F" w:rsidRPr="008C0D99" w:rsidRDefault="00110FE6">
      <w:pPr>
        <w:pStyle w:val="BodyText"/>
        <w:rPr>
          <w:lang w:val="en-CA"/>
        </w:rPr>
      </w:pPr>
      <w:r w:rsidRPr="008C0D99">
        <w:rPr>
          <w:lang w:val="en-CA"/>
        </w:rPr>
        <w:t xml:space="preserve">Holliday, Ian, Gérard Marcou, et Roger William Vickerman. 1991. </w:t>
      </w:r>
      <w:r w:rsidRPr="008C0D99">
        <w:rPr>
          <w:i/>
          <w:iCs/>
          <w:lang w:val="en-CA"/>
        </w:rPr>
        <w:t>The Channel tunnel: public policy, regional development and European integration</w:t>
      </w:r>
      <w:r w:rsidRPr="008C0D99">
        <w:rPr>
          <w:lang w:val="en-CA"/>
        </w:rPr>
        <w:t>. London; New York : Belhaven Press.</w:t>
      </w:r>
    </w:p>
    <w:p w14:paraId="7F5214EA" w14:textId="77777777" w:rsidR="0084489F" w:rsidRPr="008C0D99" w:rsidRDefault="00110FE6">
      <w:pPr>
        <w:pStyle w:val="BodyText"/>
        <w:rPr>
          <w:lang w:val="en-CA"/>
        </w:rPr>
      </w:pPr>
      <w:r w:rsidRPr="008C0D99">
        <w:rPr>
          <w:lang w:val="en-CA"/>
        </w:rPr>
        <w:t xml:space="preserve">Honey, Andrew, et Nicholas Pickwoad. 2010. « Learning from the Past: Using Original Techniques to Conserve a Twelfth-Century Illuminated Manuscript and Its Sixteenthcentury Greek-Style Binding at the Monastery of St Catherine, Sinai ». </w:t>
      </w:r>
      <w:r w:rsidRPr="008C0D99">
        <w:rPr>
          <w:i/>
          <w:iCs/>
          <w:lang w:val="en-CA"/>
        </w:rPr>
        <w:t>Studies in Conservation</w:t>
      </w:r>
      <w:r w:rsidRPr="008C0D99">
        <w:rPr>
          <w:lang w:val="en-CA"/>
        </w:rPr>
        <w:t xml:space="preserve"> 55 (sup2) : 56‑61. </w:t>
      </w:r>
      <w:hyperlink r:id="rId355">
        <w:r w:rsidRPr="008C0D99">
          <w:rPr>
            <w:rStyle w:val="Hyperlink"/>
            <w:lang w:val="en-CA"/>
          </w:rPr>
          <w:t>https://doi.org/10.1179/sic.2010.55.Supplement-2.56</w:t>
        </w:r>
      </w:hyperlink>
      <w:r w:rsidRPr="008C0D99">
        <w:rPr>
          <w:lang w:val="en-CA"/>
        </w:rPr>
        <w:t>.</w:t>
      </w:r>
    </w:p>
    <w:p w14:paraId="0AF94AB9" w14:textId="77777777" w:rsidR="0084489F" w:rsidRPr="008C0D99" w:rsidRDefault="00110FE6">
      <w:pPr>
        <w:pStyle w:val="BodyText"/>
        <w:rPr>
          <w:lang w:val="en-CA"/>
        </w:rPr>
      </w:pPr>
      <w:r w:rsidRPr="008C0D99">
        <w:rPr>
          <w:lang w:val="en-CA"/>
        </w:rPr>
        <w:t xml:space="preserve">Hood, Sinclair. 1971. </w:t>
      </w:r>
      <w:r w:rsidRPr="008C0D99">
        <w:rPr>
          <w:i/>
          <w:iCs/>
          <w:lang w:val="en-CA"/>
        </w:rPr>
        <w:t>The Minoans: Crete in the Bronze Age</w:t>
      </w:r>
      <w:r w:rsidRPr="008C0D99">
        <w:rPr>
          <w:lang w:val="en-CA"/>
        </w:rPr>
        <w:t>. Ancient Peoples and Places 75. London : Thames and Hudson.</w:t>
      </w:r>
    </w:p>
    <w:p w14:paraId="18B45C79" w14:textId="77777777" w:rsidR="0084489F" w:rsidRPr="008C0D99" w:rsidRDefault="00110FE6">
      <w:pPr>
        <w:pStyle w:val="BodyText"/>
        <w:rPr>
          <w:lang w:val="en-CA"/>
        </w:rPr>
      </w:pPr>
      <w:r w:rsidRPr="008C0D99">
        <w:rPr>
          <w:lang w:val="en-CA"/>
        </w:rPr>
        <w:t xml:space="preserve">Hopkins, Keith, et Mary Beard. 2011. </w:t>
      </w:r>
      <w:r w:rsidRPr="008C0D99">
        <w:rPr>
          <w:i/>
          <w:iCs/>
          <w:lang w:val="en-CA"/>
        </w:rPr>
        <w:t>The Colosseum</w:t>
      </w:r>
      <w:r w:rsidRPr="008C0D99">
        <w:rPr>
          <w:lang w:val="en-CA"/>
        </w:rPr>
        <w:t>. Cambridge, MA : Harvard University Press.</w:t>
      </w:r>
    </w:p>
    <w:p w14:paraId="5A4C4973" w14:textId="77777777" w:rsidR="0084489F" w:rsidRPr="008C0D99" w:rsidRDefault="00110FE6">
      <w:pPr>
        <w:pStyle w:val="BodyText"/>
        <w:rPr>
          <w:lang w:val="en-CA"/>
        </w:rPr>
      </w:pPr>
      <w:r w:rsidRPr="008C0D99">
        <w:rPr>
          <w:lang w:val="en-CA"/>
        </w:rPr>
        <w:t xml:space="preserve">Howard, Martin. 2012. </w:t>
      </w:r>
      <w:r w:rsidRPr="008C0D99">
        <w:rPr>
          <w:i/>
          <w:iCs/>
          <w:lang w:val="en-CA"/>
        </w:rPr>
        <w:t>Alexander the Great: the Story of the Invincible Macedonian King.</w:t>
      </w:r>
      <w:r w:rsidRPr="008C0D99">
        <w:rPr>
          <w:lang w:val="en-CA"/>
        </w:rPr>
        <w:t xml:space="preserve"> London : Bloomsbury Publishing Plc.</w:t>
      </w:r>
    </w:p>
    <w:p w14:paraId="3BAAA329" w14:textId="77777777" w:rsidR="0084489F" w:rsidRPr="008C0D99" w:rsidRDefault="00110FE6">
      <w:pPr>
        <w:pStyle w:val="BodyText"/>
        <w:rPr>
          <w:lang w:val="en-CA"/>
        </w:rPr>
      </w:pPr>
      <w:r w:rsidRPr="008C0D99">
        <w:rPr>
          <w:lang w:val="en-CA"/>
        </w:rPr>
        <w:t xml:space="preserve">Hoyt, Edwin Palmer. 1993. </w:t>
      </w:r>
      <w:r w:rsidRPr="008C0D99">
        <w:rPr>
          <w:i/>
          <w:iCs/>
          <w:lang w:val="en-CA"/>
        </w:rPr>
        <w:t>199 days: the battle of Stalingrad</w:t>
      </w:r>
      <w:r w:rsidRPr="008C0D99">
        <w:rPr>
          <w:lang w:val="en-CA"/>
        </w:rPr>
        <w:t>. New York : Tor.</w:t>
      </w:r>
    </w:p>
    <w:p w14:paraId="1C422254" w14:textId="77777777" w:rsidR="0084489F" w:rsidRPr="008C0D99" w:rsidRDefault="00110FE6">
      <w:pPr>
        <w:pStyle w:val="BodyText"/>
        <w:rPr>
          <w:lang w:val="en-CA"/>
        </w:rPr>
      </w:pPr>
      <w:r w:rsidRPr="008C0D99">
        <w:rPr>
          <w:lang w:val="en-CA"/>
        </w:rPr>
        <w:t xml:space="preserve">Hufford, D. J, et P Horwitz. 2005. « Fixing the Hole in the Ozone Layer: A Success in the Making ». </w:t>
      </w:r>
      <w:r w:rsidRPr="008C0D99">
        <w:rPr>
          <w:i/>
          <w:iCs/>
          <w:lang w:val="en-CA"/>
        </w:rPr>
        <w:t>Natural Resources and the Environment - Chicago</w:t>
      </w:r>
      <w:r w:rsidRPr="008C0D99">
        <w:rPr>
          <w:lang w:val="en-CA"/>
        </w:rPr>
        <w:t xml:space="preserve"> 19 (4) : 8‑14.</w:t>
      </w:r>
    </w:p>
    <w:p w14:paraId="302BC077" w14:textId="77777777" w:rsidR="0084489F" w:rsidRDefault="00110FE6">
      <w:pPr>
        <w:pStyle w:val="BodyText"/>
      </w:pPr>
      <w:r w:rsidRPr="0060792A">
        <w:rPr>
          <w:lang w:val="en-US"/>
        </w:rPr>
        <w:t xml:space="preserve">Humboldt, Alexander von. 1859. </w:t>
      </w:r>
      <w:r w:rsidRPr="0060792A">
        <w:rPr>
          <w:i/>
          <w:iCs/>
          <w:lang w:val="en-US"/>
        </w:rPr>
        <w:t>Reise in die Aequinoctial Gegenden des neuen Continents</w:t>
      </w:r>
      <w:r w:rsidRPr="0060792A">
        <w:rPr>
          <w:lang w:val="en-US"/>
        </w:rPr>
        <w:t xml:space="preserve">. </w:t>
      </w:r>
      <w:r>
        <w:t>Traduit par H. Hauff. Stuttgart : J. G. Cotta.</w:t>
      </w:r>
    </w:p>
    <w:p w14:paraId="198367CE" w14:textId="77777777" w:rsidR="0084489F" w:rsidRPr="008C0D99" w:rsidRDefault="00110FE6">
      <w:pPr>
        <w:pStyle w:val="BodyText"/>
        <w:rPr>
          <w:lang w:val="en-CA"/>
        </w:rPr>
      </w:pPr>
      <w:r w:rsidRPr="0060792A">
        <w:rPr>
          <w:lang w:val="fr-CA"/>
        </w:rPr>
        <w:t xml:space="preserve">Huray, Paul G. 2010. </w:t>
      </w:r>
      <w:r w:rsidRPr="008C0D99">
        <w:rPr>
          <w:i/>
          <w:iCs/>
          <w:lang w:val="en-CA"/>
        </w:rPr>
        <w:t>Maxwell’s Equations</w:t>
      </w:r>
      <w:r w:rsidRPr="008C0D99">
        <w:rPr>
          <w:lang w:val="en-CA"/>
        </w:rPr>
        <w:t>. Hoboken, NJ, USA : John Wiley &amp; Sons, Inc.</w:t>
      </w:r>
    </w:p>
    <w:p w14:paraId="613203C1" w14:textId="77777777" w:rsidR="0084489F" w:rsidRPr="008C0D99" w:rsidRDefault="00110FE6">
      <w:pPr>
        <w:pStyle w:val="BodyText"/>
        <w:rPr>
          <w:lang w:val="en-CA"/>
        </w:rPr>
      </w:pPr>
      <w:r w:rsidRPr="008C0D99">
        <w:rPr>
          <w:lang w:val="en-CA"/>
        </w:rPr>
        <w:t xml:space="preserve">Iliffe, Robert. 2013. « Newton: The Making of a Politician ». The Newton Project. 2013. </w:t>
      </w:r>
      <w:hyperlink r:id="rId356">
        <w:r w:rsidRPr="008C0D99">
          <w:rPr>
            <w:rStyle w:val="Hyperlink"/>
            <w:lang w:val="en-CA"/>
          </w:rPr>
          <w:t>http://www.newtonproject.ox.ac.uk/view/contexts/CNTX00002</w:t>
        </w:r>
      </w:hyperlink>
      <w:r w:rsidRPr="008C0D99">
        <w:rPr>
          <w:lang w:val="en-CA"/>
        </w:rPr>
        <w:t>.</w:t>
      </w:r>
    </w:p>
    <w:p w14:paraId="56C6EC9C" w14:textId="77777777" w:rsidR="0084489F" w:rsidRPr="008C0D99" w:rsidRDefault="00110FE6">
      <w:pPr>
        <w:pStyle w:val="BodyText"/>
        <w:rPr>
          <w:lang w:val="en-CA"/>
        </w:rPr>
      </w:pPr>
      <w:r w:rsidRPr="008C0D99">
        <w:rPr>
          <w:lang w:val="en-CA"/>
        </w:rPr>
        <w:t xml:space="preserve">Ingamells, John. 1990. </w:t>
      </w:r>
      <w:r w:rsidRPr="008C0D99">
        <w:rPr>
          <w:i/>
          <w:iCs/>
          <w:lang w:val="en-CA"/>
        </w:rPr>
        <w:t>The Wallace collection</w:t>
      </w:r>
      <w:r w:rsidRPr="008C0D99">
        <w:rPr>
          <w:lang w:val="en-CA"/>
        </w:rPr>
        <w:t>. London : Scala Books.</w:t>
      </w:r>
    </w:p>
    <w:p w14:paraId="28701349" w14:textId="77777777" w:rsidR="0084489F" w:rsidRPr="008C0D99" w:rsidRDefault="00110FE6">
      <w:pPr>
        <w:pStyle w:val="BodyText"/>
        <w:rPr>
          <w:lang w:val="en-CA"/>
        </w:rPr>
      </w:pPr>
      <w:r w:rsidRPr="008C0D99">
        <w:rPr>
          <w:lang w:val="en-CA"/>
        </w:rPr>
        <w:t xml:space="preserve">International Organization for Standardization. 1988. </w:t>
      </w:r>
      <w:r w:rsidRPr="008C0D99">
        <w:rPr>
          <w:i/>
          <w:iCs/>
          <w:lang w:val="en-CA"/>
        </w:rPr>
        <w:t>ISO 639. Code for the Representation of Names of Languages</w:t>
      </w:r>
      <w:r w:rsidRPr="008C0D99">
        <w:rPr>
          <w:lang w:val="en-CA"/>
        </w:rPr>
        <w:t>. Geneva, Switzerland : International Organization for Standardization.</w:t>
      </w:r>
    </w:p>
    <w:p w14:paraId="6EA09F99" w14:textId="77777777" w:rsidR="0084489F" w:rsidRPr="008C0D99" w:rsidRDefault="00110FE6">
      <w:pPr>
        <w:pStyle w:val="BodyText"/>
        <w:rPr>
          <w:lang w:val="en-CA"/>
        </w:rPr>
      </w:pPr>
      <w:r w:rsidRPr="008C0D99">
        <w:rPr>
          <w:lang w:val="en-CA"/>
        </w:rPr>
        <w:t xml:space="preserve">———. 2013. </w:t>
      </w:r>
      <w:r w:rsidRPr="008C0D99">
        <w:rPr>
          <w:i/>
          <w:iCs/>
          <w:lang w:val="en-CA"/>
        </w:rPr>
        <w:t>ISO 25964-2:2013. Information and documentation — Thesauri and interoperability with other vocabularies — Part 2: Interoperability with other vocabularies</w:t>
      </w:r>
      <w:r w:rsidRPr="008C0D99">
        <w:rPr>
          <w:lang w:val="en-CA"/>
        </w:rPr>
        <w:t>. 1</w:t>
      </w:r>
      <w:r w:rsidRPr="008C0D99">
        <w:rPr>
          <w:vertAlign w:val="superscript"/>
          <w:lang w:val="en-CA"/>
        </w:rPr>
        <w:t>re</w:t>
      </w:r>
      <w:r w:rsidRPr="008C0D99">
        <w:rPr>
          <w:lang w:val="en-CA"/>
        </w:rPr>
        <w:t xml:space="preserve"> éd. Geneva, Switzerland : International Organization for Standardization.</w:t>
      </w:r>
    </w:p>
    <w:p w14:paraId="2317A6BF" w14:textId="77777777" w:rsidR="0084489F" w:rsidRPr="008C0D99" w:rsidRDefault="00110FE6">
      <w:pPr>
        <w:pStyle w:val="BodyText"/>
        <w:rPr>
          <w:lang w:val="en-CA"/>
        </w:rPr>
      </w:pPr>
      <w:r w:rsidRPr="008C0D99">
        <w:rPr>
          <w:lang w:val="en-CA"/>
        </w:rPr>
        <w:t xml:space="preserve">———. 2014. </w:t>
      </w:r>
      <w:r w:rsidRPr="008C0D99">
        <w:rPr>
          <w:i/>
          <w:iCs/>
          <w:lang w:val="en-CA"/>
        </w:rPr>
        <w:t>ISO 21127:2014 Information and documentation — A reference ontology for the interchange of cultural heritage information</w:t>
      </w:r>
      <w:r w:rsidRPr="008C0D99">
        <w:rPr>
          <w:lang w:val="en-CA"/>
        </w:rPr>
        <w:t>. 1</w:t>
      </w:r>
      <w:r w:rsidRPr="008C0D99">
        <w:rPr>
          <w:vertAlign w:val="superscript"/>
          <w:lang w:val="en-CA"/>
        </w:rPr>
        <w:t>re</w:t>
      </w:r>
      <w:r w:rsidRPr="008C0D99">
        <w:rPr>
          <w:lang w:val="en-CA"/>
        </w:rPr>
        <w:t xml:space="preserve"> éd. Geneva, Switzerland : International Organization for Standardization.</w:t>
      </w:r>
    </w:p>
    <w:p w14:paraId="5D64B218" w14:textId="77777777" w:rsidR="0084489F" w:rsidRPr="008C0D99" w:rsidRDefault="00110FE6">
      <w:pPr>
        <w:pStyle w:val="BodyText"/>
        <w:rPr>
          <w:lang w:val="en-CA"/>
        </w:rPr>
      </w:pPr>
      <w:r w:rsidRPr="008C0D99">
        <w:rPr>
          <w:lang w:val="en-CA"/>
        </w:rPr>
        <w:t xml:space="preserve">Irwin, Wallace Admoh. 1935. </w:t>
      </w:r>
      <w:r w:rsidRPr="008C0D99">
        <w:rPr>
          <w:i/>
          <w:iCs/>
          <w:lang w:val="en-CA"/>
        </w:rPr>
        <w:t>The Julius Caesar Murder Case.</w:t>
      </w:r>
      <w:r w:rsidRPr="008C0D99">
        <w:rPr>
          <w:lang w:val="en-CA"/>
        </w:rPr>
        <w:t xml:space="preserve"> New York, London : D. Appleton-Century Co.</w:t>
      </w:r>
    </w:p>
    <w:p w14:paraId="7B113235" w14:textId="77777777" w:rsidR="0084489F" w:rsidRPr="008C0D99" w:rsidRDefault="00110FE6">
      <w:pPr>
        <w:pStyle w:val="BodyText"/>
        <w:rPr>
          <w:lang w:val="en-CA"/>
        </w:rPr>
      </w:pPr>
      <w:r w:rsidRPr="008C0D99">
        <w:rPr>
          <w:lang w:val="en-CA"/>
        </w:rPr>
        <w:t xml:space="preserve">Isaacson, Walter. 2011. </w:t>
      </w:r>
      <w:r w:rsidRPr="008C0D99">
        <w:rPr>
          <w:i/>
          <w:iCs/>
          <w:lang w:val="en-CA"/>
        </w:rPr>
        <w:t>Steve Jobs</w:t>
      </w:r>
      <w:r w:rsidRPr="008C0D99">
        <w:rPr>
          <w:lang w:val="en-CA"/>
        </w:rPr>
        <w:t>. USA : Little, Brown.</w:t>
      </w:r>
    </w:p>
    <w:p w14:paraId="5DC0263F" w14:textId="77777777" w:rsidR="0084489F" w:rsidRPr="008C0D99" w:rsidRDefault="00110FE6">
      <w:pPr>
        <w:pStyle w:val="BodyText"/>
        <w:rPr>
          <w:lang w:val="en-CA"/>
        </w:rPr>
      </w:pPr>
      <w:r w:rsidRPr="008C0D99">
        <w:rPr>
          <w:lang w:val="en-CA"/>
        </w:rPr>
        <w:t xml:space="preserve">Iveagh Bequest. 1975. </w:t>
      </w:r>
      <w:r w:rsidRPr="008C0D99">
        <w:rPr>
          <w:i/>
          <w:iCs/>
          <w:lang w:val="en-CA"/>
        </w:rPr>
        <w:t>Catalogue of paintings</w:t>
      </w:r>
      <w:r w:rsidRPr="008C0D99">
        <w:rPr>
          <w:lang w:val="en-CA"/>
        </w:rPr>
        <w:t>. London : Greater London Council.</w:t>
      </w:r>
    </w:p>
    <w:p w14:paraId="2F8816A1" w14:textId="77777777" w:rsidR="0084489F" w:rsidRPr="008C0D99" w:rsidRDefault="00110FE6">
      <w:pPr>
        <w:pStyle w:val="BodyText"/>
        <w:rPr>
          <w:lang w:val="en-CA"/>
        </w:rPr>
      </w:pPr>
      <w:r w:rsidRPr="008C0D99">
        <w:rPr>
          <w:lang w:val="en-CA"/>
        </w:rPr>
        <w:t xml:space="preserve">Jones, Robert F. 1979. </w:t>
      </w:r>
      <w:r w:rsidRPr="008C0D99">
        <w:rPr>
          <w:i/>
          <w:iCs/>
          <w:lang w:val="en-CA"/>
        </w:rPr>
        <w:t>George Washington</w:t>
      </w:r>
      <w:r w:rsidRPr="008C0D99">
        <w:rPr>
          <w:lang w:val="en-CA"/>
        </w:rPr>
        <w:t>. Boston Mass. : Twayne.</w:t>
      </w:r>
    </w:p>
    <w:p w14:paraId="12D8ECDE" w14:textId="77777777" w:rsidR="0084489F" w:rsidRPr="008C0D99" w:rsidRDefault="00110FE6">
      <w:pPr>
        <w:pStyle w:val="BodyText"/>
        <w:rPr>
          <w:lang w:val="en-CA"/>
        </w:rPr>
      </w:pPr>
      <w:r w:rsidRPr="0060792A">
        <w:rPr>
          <w:lang w:val="en-CA"/>
        </w:rPr>
        <w:t xml:space="preserve">Karetsou, Alexandra, Maria Andreadaki-Vlazaki, et Nikos Papadakis. </w:t>
      </w:r>
      <w:r w:rsidRPr="008C0D99">
        <w:rPr>
          <w:lang w:val="en-CA"/>
        </w:rPr>
        <w:t xml:space="preserve">2000. </w:t>
      </w:r>
      <w:r w:rsidRPr="008C0D99">
        <w:rPr>
          <w:i/>
          <w:iCs/>
          <w:lang w:val="en-CA"/>
        </w:rPr>
        <w:t>Krete-Aigyptos : politismikoi desmoi trion chilietion</w:t>
      </w:r>
      <w:r w:rsidRPr="008C0D99">
        <w:rPr>
          <w:lang w:val="en-CA"/>
        </w:rPr>
        <w:t>. Athens : Heraklion Archaeological Museum.</w:t>
      </w:r>
    </w:p>
    <w:p w14:paraId="2703B3FA" w14:textId="77777777" w:rsidR="0084489F" w:rsidRPr="008C0D99" w:rsidRDefault="00110FE6">
      <w:pPr>
        <w:pStyle w:val="BodyText"/>
        <w:rPr>
          <w:lang w:val="en-CA"/>
        </w:rPr>
      </w:pPr>
      <w:r w:rsidRPr="008C0D99">
        <w:rPr>
          <w:lang w:val="en-CA"/>
        </w:rPr>
        <w:t xml:space="preserve">Karyanos, Phōtēs, Constantinos Lagos, et John Carr. 2020. </w:t>
      </w:r>
      <w:r w:rsidRPr="008C0D99">
        <w:rPr>
          <w:i/>
          <w:iCs/>
          <w:lang w:val="en-CA"/>
        </w:rPr>
        <w:t>Who really won the Battle of Marathon?</w:t>
      </w:r>
      <w:r w:rsidRPr="008C0D99">
        <w:rPr>
          <w:lang w:val="en-CA"/>
        </w:rPr>
        <w:t xml:space="preserve"> UK : Barnsley Pen et Sword Military.</w:t>
      </w:r>
    </w:p>
    <w:p w14:paraId="541C418E" w14:textId="77777777" w:rsidR="0084489F" w:rsidRPr="008C0D99" w:rsidRDefault="00110FE6">
      <w:pPr>
        <w:pStyle w:val="BodyText"/>
        <w:rPr>
          <w:lang w:val="en-CA"/>
        </w:rPr>
      </w:pPr>
      <w:r w:rsidRPr="008C0D99">
        <w:rPr>
          <w:lang w:val="en-CA"/>
        </w:rPr>
        <w:t xml:space="preserve">Kelly, Douglas. 2014. </w:t>
      </w:r>
      <w:r w:rsidRPr="008C0D99">
        <w:rPr>
          <w:i/>
          <w:iCs/>
          <w:lang w:val="en-CA"/>
        </w:rPr>
        <w:t>Machaut and the medieval apprenticeship tradition: truth, fiction and poetic craft</w:t>
      </w:r>
      <w:r w:rsidRPr="008C0D99">
        <w:rPr>
          <w:lang w:val="en-CA"/>
        </w:rPr>
        <w:t>. New York : Brewer.</w:t>
      </w:r>
    </w:p>
    <w:p w14:paraId="5B0BC637" w14:textId="77777777" w:rsidR="0084489F" w:rsidRPr="008C0D99" w:rsidRDefault="00110FE6">
      <w:pPr>
        <w:pStyle w:val="BodyText"/>
        <w:rPr>
          <w:lang w:val="en-CA"/>
        </w:rPr>
      </w:pPr>
      <w:r w:rsidRPr="008C0D99">
        <w:rPr>
          <w:lang w:val="en-CA"/>
        </w:rPr>
        <w:t xml:space="preserve">Kershaw, Richard. 1999. </w:t>
      </w:r>
      <w:r w:rsidRPr="008C0D99">
        <w:rPr>
          <w:i/>
          <w:iCs/>
          <w:lang w:val="en-CA"/>
        </w:rPr>
        <w:t>Ode to joy: theme and 6 variations on Beethoven’s Ode to joy, in the style of Bach, Mozart, Mendelssohn, Dvořák, Wagner and Scott Joplin : string orchestra</w:t>
      </w:r>
      <w:r w:rsidRPr="008C0D99">
        <w:rPr>
          <w:lang w:val="en-CA"/>
        </w:rPr>
        <w:t>. Monmouth : Spartan Press.</w:t>
      </w:r>
    </w:p>
    <w:p w14:paraId="6DC01FD1" w14:textId="77777777" w:rsidR="0084489F" w:rsidRPr="008C0D99" w:rsidRDefault="00110FE6">
      <w:pPr>
        <w:pStyle w:val="BodyText"/>
        <w:rPr>
          <w:lang w:val="en-CA"/>
        </w:rPr>
      </w:pPr>
      <w:r w:rsidRPr="008C0D99">
        <w:rPr>
          <w:lang w:val="en-CA"/>
        </w:rPr>
        <w:t xml:space="preserve">Kogan, Herman. 1958. </w:t>
      </w:r>
      <w:r w:rsidRPr="008C0D99">
        <w:rPr>
          <w:i/>
          <w:iCs/>
          <w:lang w:val="en-CA"/>
        </w:rPr>
        <w:t>The great EB: the story of the Encyclopædia Britannica</w:t>
      </w:r>
      <w:r w:rsidRPr="008C0D99">
        <w:rPr>
          <w:lang w:val="en-CA"/>
        </w:rPr>
        <w:t>. Chicago : University of Chicago Press.</w:t>
      </w:r>
    </w:p>
    <w:p w14:paraId="7E918E15" w14:textId="77777777" w:rsidR="0084489F" w:rsidRPr="008C0D99" w:rsidRDefault="00110FE6">
      <w:pPr>
        <w:pStyle w:val="BodyText"/>
        <w:rPr>
          <w:lang w:val="en-CA"/>
        </w:rPr>
      </w:pPr>
      <w:r w:rsidRPr="008C0D99">
        <w:rPr>
          <w:lang w:val="en-CA"/>
        </w:rPr>
        <w:t xml:space="preserve">Kousser, R. 2005. « Creating the Past: The Venus de Milo and the Hellenistic Reception of Classical Greece ». </w:t>
      </w:r>
      <w:r w:rsidRPr="008C0D99">
        <w:rPr>
          <w:i/>
          <w:iCs/>
          <w:lang w:val="en-CA"/>
        </w:rPr>
        <w:t>American Journal of Archeaology</w:t>
      </w:r>
      <w:r w:rsidRPr="008C0D99">
        <w:rPr>
          <w:lang w:val="en-CA"/>
        </w:rPr>
        <w:t xml:space="preserve"> 109 (2) : 227‑50.</w:t>
      </w:r>
    </w:p>
    <w:p w14:paraId="3104B0E5" w14:textId="77777777" w:rsidR="0084489F" w:rsidRPr="008C0D99" w:rsidRDefault="00110FE6">
      <w:pPr>
        <w:pStyle w:val="BodyText"/>
        <w:rPr>
          <w:lang w:val="en-CA"/>
        </w:rPr>
      </w:pPr>
      <w:r w:rsidRPr="008C0D99">
        <w:rPr>
          <w:lang w:val="en-CA"/>
        </w:rPr>
        <w:t xml:space="preserve">Kouwenhoven, Arlette P. 1997. « Newsbriefs: World’s Oldest Spears ». </w:t>
      </w:r>
      <w:r w:rsidRPr="008C0D99">
        <w:rPr>
          <w:i/>
          <w:iCs/>
          <w:lang w:val="en-CA"/>
        </w:rPr>
        <w:t>Archaeology</w:t>
      </w:r>
      <w:r w:rsidRPr="008C0D99">
        <w:rPr>
          <w:lang w:val="en-CA"/>
        </w:rPr>
        <w:t xml:space="preserve"> 50 (3). </w:t>
      </w:r>
      <w:hyperlink r:id="rId357">
        <w:r w:rsidRPr="008C0D99">
          <w:rPr>
            <w:rStyle w:val="Hyperlink"/>
            <w:lang w:val="en-CA"/>
          </w:rPr>
          <w:t>https://archive.archaeology.org/9705/newsbriefs/spears.html</w:t>
        </w:r>
      </w:hyperlink>
      <w:r w:rsidRPr="008C0D99">
        <w:rPr>
          <w:lang w:val="en-CA"/>
        </w:rPr>
        <w:t>.</w:t>
      </w:r>
    </w:p>
    <w:p w14:paraId="1C02FF03" w14:textId="77777777" w:rsidR="0084489F" w:rsidRPr="008C0D99" w:rsidRDefault="00110FE6">
      <w:pPr>
        <w:pStyle w:val="BodyText"/>
        <w:rPr>
          <w:lang w:val="en-CA"/>
        </w:rPr>
      </w:pPr>
      <w:r w:rsidRPr="008C0D99">
        <w:rPr>
          <w:lang w:val="en-CA"/>
        </w:rPr>
        <w:t xml:space="preserve">Kutschera, W. 2002. « Radiocarbon dating of the Iceman Ötzi with accelerator mass spectrometry ». 2002. </w:t>
      </w:r>
      <w:hyperlink r:id="rId358">
        <w:r w:rsidRPr="008C0D99">
          <w:rPr>
            <w:rStyle w:val="Hyperlink"/>
            <w:lang w:val="en-CA"/>
          </w:rPr>
          <w:t>https://www.semanticscholar.org/paper/Radiocarbon-dating-of-the-Iceman-%C3%96tzi-with-mass-Kutschera/20d9b3be6466e3a6d51ddb213f9c982fdf949024</w:t>
        </w:r>
      </w:hyperlink>
      <w:r w:rsidRPr="008C0D99">
        <w:rPr>
          <w:lang w:val="en-CA"/>
        </w:rPr>
        <w:t>.</w:t>
      </w:r>
    </w:p>
    <w:p w14:paraId="39FDC3F2" w14:textId="77777777" w:rsidR="0084489F" w:rsidRPr="008C0D99" w:rsidRDefault="00110FE6">
      <w:pPr>
        <w:pStyle w:val="BodyText"/>
        <w:rPr>
          <w:lang w:val="en-CA"/>
        </w:rPr>
      </w:pPr>
      <w:r w:rsidRPr="008C0D99">
        <w:rPr>
          <w:lang w:val="en-CA"/>
        </w:rPr>
        <w:t xml:space="preserve">Lamb, R. 2005. « Alexander the Great and Bucephalus ». </w:t>
      </w:r>
      <w:r w:rsidRPr="008C0D99">
        <w:rPr>
          <w:i/>
          <w:iCs/>
          <w:lang w:val="en-CA"/>
        </w:rPr>
        <w:t>Horse &amp; Rider</w:t>
      </w:r>
      <w:r w:rsidRPr="008C0D99">
        <w:rPr>
          <w:lang w:val="en-CA"/>
        </w:rPr>
        <w:t xml:space="preserve"> 44 (6) : 19.</w:t>
      </w:r>
    </w:p>
    <w:p w14:paraId="5752FB0C" w14:textId="77777777" w:rsidR="0084489F" w:rsidRPr="008C0D99" w:rsidRDefault="00110FE6">
      <w:pPr>
        <w:pStyle w:val="BodyText"/>
        <w:rPr>
          <w:lang w:val="en-CA"/>
        </w:rPr>
      </w:pPr>
      <w:r w:rsidRPr="008C0D99">
        <w:rPr>
          <w:lang w:val="en-CA"/>
        </w:rPr>
        <w:t xml:space="preserve">Lane Fox, Robin. 2004. </w:t>
      </w:r>
      <w:r w:rsidRPr="008C0D99">
        <w:rPr>
          <w:i/>
          <w:iCs/>
          <w:lang w:val="en-CA"/>
        </w:rPr>
        <w:t>Alexander the Great</w:t>
      </w:r>
      <w:r w:rsidRPr="008C0D99">
        <w:rPr>
          <w:lang w:val="en-CA"/>
        </w:rPr>
        <w:t>. New York : Penguin.</w:t>
      </w:r>
    </w:p>
    <w:p w14:paraId="2575D6EC" w14:textId="77777777" w:rsidR="0084489F" w:rsidRPr="008C0D99" w:rsidRDefault="00110FE6">
      <w:pPr>
        <w:pStyle w:val="BodyText"/>
        <w:rPr>
          <w:lang w:val="en-CA"/>
        </w:rPr>
      </w:pPr>
      <w:r w:rsidRPr="008C0D99">
        <w:rPr>
          <w:lang w:val="en-CA"/>
        </w:rPr>
        <w:t xml:space="preserve">Lang, A, dir. 1965. </w:t>
      </w:r>
      <w:r w:rsidRPr="008C0D99">
        <w:rPr>
          <w:i/>
          <w:iCs/>
          <w:lang w:val="en-CA"/>
        </w:rPr>
        <w:t>The blue fairy book</w:t>
      </w:r>
      <w:r w:rsidRPr="008C0D99">
        <w:rPr>
          <w:lang w:val="en-CA"/>
        </w:rPr>
        <w:t>. Dover Pubs.</w:t>
      </w:r>
    </w:p>
    <w:p w14:paraId="34C2F43A" w14:textId="77777777" w:rsidR="0084489F" w:rsidRPr="008C0D99" w:rsidRDefault="00110FE6">
      <w:pPr>
        <w:pStyle w:val="BodyText"/>
        <w:rPr>
          <w:lang w:val="en-CA"/>
        </w:rPr>
      </w:pPr>
      <w:r w:rsidRPr="008C0D99">
        <w:rPr>
          <w:lang w:val="en-CA"/>
        </w:rPr>
        <w:t xml:space="preserve">Leach, Andrew. 2017. </w:t>
      </w:r>
      <w:r w:rsidRPr="008C0D99">
        <w:rPr>
          <w:i/>
          <w:iCs/>
          <w:lang w:val="en-CA"/>
        </w:rPr>
        <w:t>Rome</w:t>
      </w:r>
      <w:r w:rsidRPr="008C0D99">
        <w:rPr>
          <w:lang w:val="en-CA"/>
        </w:rPr>
        <w:t>. Cambridge : Polity Press.</w:t>
      </w:r>
    </w:p>
    <w:p w14:paraId="36201C67" w14:textId="77777777" w:rsidR="0084489F" w:rsidRPr="008C0D99" w:rsidRDefault="00110FE6">
      <w:pPr>
        <w:pStyle w:val="BodyText"/>
        <w:rPr>
          <w:lang w:val="en-CA"/>
        </w:rPr>
      </w:pPr>
      <w:r w:rsidRPr="008C0D99">
        <w:rPr>
          <w:lang w:val="en-CA"/>
        </w:rPr>
        <w:t xml:space="preserve">Lee, Stephen John. 1991. </w:t>
      </w:r>
      <w:r w:rsidRPr="008C0D99">
        <w:rPr>
          <w:i/>
          <w:iCs/>
          <w:lang w:val="en-CA"/>
        </w:rPr>
        <w:t>The Thirty years war</w:t>
      </w:r>
      <w:r w:rsidRPr="008C0D99">
        <w:rPr>
          <w:lang w:val="en-CA"/>
        </w:rPr>
        <w:t>. London; New York : Routledge.</w:t>
      </w:r>
    </w:p>
    <w:p w14:paraId="08EE7243" w14:textId="77777777" w:rsidR="0084489F" w:rsidRPr="008C0D99" w:rsidRDefault="00110FE6">
      <w:pPr>
        <w:pStyle w:val="BodyText"/>
        <w:rPr>
          <w:lang w:val="en-CA"/>
        </w:rPr>
      </w:pPr>
      <w:r w:rsidRPr="008C0D99">
        <w:rPr>
          <w:lang w:val="en-CA"/>
        </w:rPr>
        <w:t xml:space="preserve">Lehner, Mark, et Zahi A Hawass. 2017. </w:t>
      </w:r>
      <w:r w:rsidRPr="008C0D99">
        <w:rPr>
          <w:i/>
          <w:iCs/>
          <w:lang w:val="en-CA"/>
        </w:rPr>
        <w:t>Giza and the pyramids: the definitive history</w:t>
      </w:r>
      <w:r w:rsidRPr="008C0D99">
        <w:rPr>
          <w:lang w:val="en-CA"/>
        </w:rPr>
        <w:t>. Chicago : University of Chicago Press.</w:t>
      </w:r>
    </w:p>
    <w:p w14:paraId="3EA23BD2" w14:textId="77777777" w:rsidR="0084489F" w:rsidRPr="008C0D99" w:rsidRDefault="00110FE6">
      <w:pPr>
        <w:pStyle w:val="BodyText"/>
        <w:rPr>
          <w:lang w:val="en-CA"/>
        </w:rPr>
      </w:pPr>
      <w:r w:rsidRPr="008C0D99">
        <w:rPr>
          <w:lang w:val="en-CA"/>
        </w:rPr>
        <w:t xml:space="preserve">Lennon, John. 1967. </w:t>
      </w:r>
      <w:r w:rsidRPr="008C0D99">
        <w:rPr>
          <w:i/>
          <w:iCs/>
          <w:lang w:val="en-CA"/>
        </w:rPr>
        <w:t>Lucy in the Sky with Diamonds</w:t>
      </w:r>
      <w:r w:rsidRPr="008C0D99">
        <w:rPr>
          <w:lang w:val="en-CA"/>
        </w:rPr>
        <w:t>. London : Northern Songs.</w:t>
      </w:r>
    </w:p>
    <w:p w14:paraId="70DDCC11" w14:textId="77777777" w:rsidR="0084489F" w:rsidRPr="008C0D99" w:rsidRDefault="00110FE6">
      <w:pPr>
        <w:pStyle w:val="BodyText"/>
        <w:rPr>
          <w:lang w:val="en-CA"/>
        </w:rPr>
      </w:pPr>
      <w:r w:rsidRPr="008C0D99">
        <w:rPr>
          <w:lang w:val="en-CA"/>
        </w:rPr>
        <w:t xml:space="preserve">Leppmann, Wolfgang. 1970. </w:t>
      </w:r>
      <w:r w:rsidRPr="008C0D99">
        <w:rPr>
          <w:i/>
          <w:iCs/>
          <w:lang w:val="en-CA"/>
        </w:rPr>
        <w:t>Winckelmann</w:t>
      </w:r>
      <w:r w:rsidRPr="008C0D99">
        <w:rPr>
          <w:lang w:val="en-CA"/>
        </w:rPr>
        <w:t>. New York : Knopf.</w:t>
      </w:r>
    </w:p>
    <w:p w14:paraId="07EA8DC8" w14:textId="77777777" w:rsidR="0084489F" w:rsidRDefault="00110FE6">
      <w:pPr>
        <w:pStyle w:val="BodyText"/>
      </w:pPr>
      <w:r w:rsidRPr="008C0D99">
        <w:rPr>
          <w:lang w:val="en-CA"/>
        </w:rPr>
        <w:t xml:space="preserve">Li, Xiuzhen Janice. 2012. « Standardisation, labour organisation and the bronze weapons of the Qin terracotta warriors / Xiuzhen Janice Li. » Ph.D., University College London. </w:t>
      </w:r>
      <w:hyperlink r:id="rId359">
        <w:r>
          <w:rPr>
            <w:rStyle w:val="Hyperlink"/>
          </w:rPr>
          <w:t>http://discovery.ucl.ac.uk/1350109/</w:t>
        </w:r>
      </w:hyperlink>
      <w:r>
        <w:t>.</w:t>
      </w:r>
    </w:p>
    <w:p w14:paraId="4C4DF0D2" w14:textId="77777777" w:rsidR="0084489F" w:rsidRDefault="00110FE6">
      <w:pPr>
        <w:pStyle w:val="BodyText"/>
      </w:pPr>
      <w:r w:rsidRPr="1B9E7434">
        <w:rPr>
          <w:lang w:val="fr-FR"/>
        </w:rPr>
        <w:t xml:space="preserve">Liess, R. 1985. « Der Riss A1 der Straßburger Münsterfassade im Kontinuum der Entwürfe Magister Erwins. » </w:t>
      </w:r>
      <w:r w:rsidRPr="1B9E7434">
        <w:rPr>
          <w:i/>
          <w:iCs/>
          <w:lang w:val="fr-FR"/>
        </w:rPr>
        <w:t>Kunsthistorisches Jahrbuch Graz</w:t>
      </w:r>
      <w:r w:rsidRPr="1B9E7434">
        <w:rPr>
          <w:lang w:val="fr-FR"/>
        </w:rPr>
        <w:t xml:space="preserve"> 21 : 47‑121.</w:t>
      </w:r>
    </w:p>
    <w:p w14:paraId="651C86D9" w14:textId="77777777" w:rsidR="0084489F" w:rsidRDefault="00110FE6">
      <w:pPr>
        <w:pStyle w:val="BodyText"/>
      </w:pPr>
      <w:r w:rsidRPr="008C0D99">
        <w:rPr>
          <w:lang w:val="en-CA"/>
        </w:rPr>
        <w:t xml:space="preserve">Lockwood, Lewis. 2015. </w:t>
      </w:r>
      <w:r w:rsidRPr="008C0D99">
        <w:rPr>
          <w:i/>
          <w:iCs/>
          <w:lang w:val="en-CA"/>
        </w:rPr>
        <w:t>Beethoven’s symphonies: an artistic vision</w:t>
      </w:r>
      <w:r w:rsidRPr="008C0D99">
        <w:rPr>
          <w:lang w:val="en-CA"/>
        </w:rPr>
        <w:t xml:space="preserve">. </w:t>
      </w:r>
      <w:r>
        <w:t>New York : W. W. Norton &amp; Company.</w:t>
      </w:r>
    </w:p>
    <w:p w14:paraId="126E1584" w14:textId="77777777" w:rsidR="0084489F" w:rsidRPr="008C0D99" w:rsidRDefault="00110FE6">
      <w:pPr>
        <w:pStyle w:val="BodyText"/>
        <w:rPr>
          <w:lang w:val="en-CA"/>
        </w:rPr>
      </w:pPr>
      <w:r>
        <w:t xml:space="preserve">Loubiere, C. P. 1995. </w:t>
      </w:r>
      <w:r>
        <w:rPr>
          <w:i/>
          <w:iCs/>
        </w:rPr>
        <w:t>L’aventure d’Abou Simbel Texte imprimé le regard d’un Roi-Dieu</w:t>
      </w:r>
      <w:r>
        <w:t xml:space="preserve">. </w:t>
      </w:r>
      <w:r w:rsidRPr="008C0D99">
        <w:rPr>
          <w:lang w:val="en-CA"/>
        </w:rPr>
        <w:t>Paris : Publisud.</w:t>
      </w:r>
    </w:p>
    <w:p w14:paraId="243C24E6" w14:textId="77777777" w:rsidR="0084489F" w:rsidRPr="008C0D99" w:rsidRDefault="00110FE6">
      <w:pPr>
        <w:pStyle w:val="BodyText"/>
        <w:rPr>
          <w:lang w:val="en-CA"/>
        </w:rPr>
      </w:pPr>
      <w:r w:rsidRPr="008C0D99">
        <w:rPr>
          <w:lang w:val="en-CA"/>
        </w:rPr>
        <w:t xml:space="preserve">Lovell, Jim, et Jeffrey Kluger. 1994. </w:t>
      </w:r>
      <w:r w:rsidRPr="008C0D99">
        <w:rPr>
          <w:i/>
          <w:iCs/>
          <w:lang w:val="en-CA"/>
        </w:rPr>
        <w:t>Lost moon: the perilous voyage of Apollo 13</w:t>
      </w:r>
      <w:r w:rsidRPr="008C0D99">
        <w:rPr>
          <w:lang w:val="en-CA"/>
        </w:rPr>
        <w:t>. Boston : Houghton Mifflin.</w:t>
      </w:r>
    </w:p>
    <w:p w14:paraId="32604B05" w14:textId="77777777" w:rsidR="0084489F" w:rsidRPr="008C0D99" w:rsidRDefault="00110FE6">
      <w:pPr>
        <w:pStyle w:val="BodyText"/>
        <w:rPr>
          <w:lang w:val="en-CA"/>
        </w:rPr>
      </w:pPr>
      <w:r w:rsidRPr="008C0D99">
        <w:rPr>
          <w:lang w:val="en-CA"/>
        </w:rPr>
        <w:t xml:space="preserve">Lowe Fri, Maria. 2011. </w:t>
      </w:r>
      <w:r w:rsidRPr="008C0D99">
        <w:rPr>
          <w:i/>
          <w:iCs/>
          <w:lang w:val="en-CA"/>
        </w:rPr>
        <w:t>The double axe in Minoan Crete: an experimental study of production and use</w:t>
      </w:r>
      <w:r w:rsidRPr="008C0D99">
        <w:rPr>
          <w:lang w:val="en-CA"/>
        </w:rPr>
        <w:t>. Oxford : Archaeopress.</w:t>
      </w:r>
    </w:p>
    <w:p w14:paraId="332AD2E3" w14:textId="77777777" w:rsidR="0084489F" w:rsidRPr="008C0D99" w:rsidRDefault="00110FE6">
      <w:pPr>
        <w:pStyle w:val="BodyText"/>
        <w:rPr>
          <w:lang w:val="en-CA"/>
        </w:rPr>
      </w:pPr>
      <w:r w:rsidRPr="008C0D99">
        <w:rPr>
          <w:lang w:val="en-CA"/>
        </w:rPr>
        <w:t xml:space="preserve">Macdonald, Fiona. 1992. </w:t>
      </w:r>
      <w:r w:rsidRPr="008C0D99">
        <w:rPr>
          <w:i/>
          <w:iCs/>
          <w:lang w:val="en-CA"/>
        </w:rPr>
        <w:t>The Italian Renaissance: Teacher’s Notes (Collins living history)</w:t>
      </w:r>
      <w:r w:rsidRPr="008C0D99">
        <w:rPr>
          <w:lang w:val="en-CA"/>
        </w:rPr>
        <w:t>. London : Collins Educational.</w:t>
      </w:r>
    </w:p>
    <w:p w14:paraId="0CE920AA" w14:textId="77777777" w:rsidR="0084489F" w:rsidRPr="008C0D99" w:rsidRDefault="00110FE6">
      <w:pPr>
        <w:pStyle w:val="BodyText"/>
        <w:rPr>
          <w:lang w:val="en-CA"/>
        </w:rPr>
      </w:pPr>
      <w:r w:rsidRPr="008C0D99">
        <w:rPr>
          <w:lang w:val="en-CA"/>
        </w:rPr>
        <w:t xml:space="preserve">Maddox, Steven. 2015. </w:t>
      </w:r>
      <w:r w:rsidRPr="008C0D99">
        <w:rPr>
          <w:i/>
          <w:iCs/>
          <w:lang w:val="en-CA"/>
        </w:rPr>
        <w:t>Saving Stalin’s imperial city historic preservation in Leningrad, 1930-1950</w:t>
      </w:r>
      <w:r w:rsidRPr="008C0D99">
        <w:rPr>
          <w:lang w:val="en-CA"/>
        </w:rPr>
        <w:t>. Bloomington, Indiana : Indiana University Press.</w:t>
      </w:r>
    </w:p>
    <w:p w14:paraId="6696D732" w14:textId="77777777" w:rsidR="0084489F" w:rsidRDefault="00110FE6">
      <w:pPr>
        <w:pStyle w:val="BodyText"/>
      </w:pPr>
      <w:r w:rsidRPr="008C0D99">
        <w:rPr>
          <w:lang w:val="en-CA"/>
        </w:rPr>
        <w:t xml:space="preserve">Mangini, Elizabeth. 2010. « 1000 Words: Giuseppe Penone ». </w:t>
      </w:r>
      <w:r>
        <w:rPr>
          <w:i/>
          <w:iCs/>
        </w:rPr>
        <w:t>ARTFORUM INTERNATIONAL</w:t>
      </w:r>
      <w:r>
        <w:t xml:space="preserve"> 49 (2) : 226‑28.</w:t>
      </w:r>
    </w:p>
    <w:p w14:paraId="43CA9745" w14:textId="77777777" w:rsidR="0084489F" w:rsidRPr="0060792A" w:rsidRDefault="00110FE6">
      <w:pPr>
        <w:pStyle w:val="BodyText"/>
        <w:rPr>
          <w:lang w:val="en-US"/>
        </w:rPr>
      </w:pPr>
      <w:r>
        <w:t xml:space="preserve">Marion, Stéphane. 2004. </w:t>
      </w:r>
      <w:r>
        <w:rPr>
          <w:i/>
          <w:iCs/>
        </w:rPr>
        <w:t>Recherches sur l’âge du Fer en Ile-de-France : entre Hallstatt final et La Teǹe finale; analyse des sites fouillés; chronologie et société</w:t>
      </w:r>
      <w:r>
        <w:t xml:space="preserve">. </w:t>
      </w:r>
      <w:r w:rsidRPr="0060792A">
        <w:rPr>
          <w:lang w:val="en-US"/>
        </w:rPr>
        <w:t>Oxford : John and Erica Hedges Ltd.</w:t>
      </w:r>
    </w:p>
    <w:p w14:paraId="4E1A0071" w14:textId="77777777" w:rsidR="0084489F" w:rsidRPr="008C0D99" w:rsidRDefault="00110FE6">
      <w:pPr>
        <w:pStyle w:val="BodyText"/>
        <w:rPr>
          <w:lang w:val="en-CA"/>
        </w:rPr>
      </w:pPr>
      <w:r w:rsidRPr="008C0D99">
        <w:rPr>
          <w:lang w:val="en-CA"/>
        </w:rPr>
        <w:t xml:space="preserve">Maunder, E. Walter. 1900. </w:t>
      </w:r>
      <w:r w:rsidRPr="008C0D99">
        <w:rPr>
          <w:i/>
          <w:iCs/>
          <w:lang w:val="en-CA"/>
        </w:rPr>
        <w:t>The Royal observatory, Greenwich. A glance at its history and work</w:t>
      </w:r>
      <w:r w:rsidRPr="008C0D99">
        <w:rPr>
          <w:lang w:val="en-CA"/>
        </w:rPr>
        <w:t>. London, The Religious tract society.</w:t>
      </w:r>
    </w:p>
    <w:p w14:paraId="568FC8BD" w14:textId="77777777" w:rsidR="0084489F" w:rsidRPr="008C0D99" w:rsidRDefault="00110FE6">
      <w:pPr>
        <w:pStyle w:val="BodyText"/>
        <w:rPr>
          <w:lang w:val="en-CA"/>
        </w:rPr>
      </w:pPr>
      <w:r w:rsidRPr="008C0D99">
        <w:rPr>
          <w:lang w:val="en-CA"/>
        </w:rPr>
        <w:t xml:space="preserve">McCullough, C. 2005. </w:t>
      </w:r>
      <w:r w:rsidRPr="008C0D99">
        <w:rPr>
          <w:i/>
          <w:iCs/>
          <w:lang w:val="en-CA"/>
        </w:rPr>
        <w:t>The Merchant of Venice</w:t>
      </w:r>
      <w:r w:rsidRPr="008C0D99">
        <w:rPr>
          <w:lang w:val="en-CA"/>
        </w:rPr>
        <w:t>. Basingstoke : Palgrave Macmillan.</w:t>
      </w:r>
    </w:p>
    <w:p w14:paraId="6514E4C2" w14:textId="77777777" w:rsidR="0084489F" w:rsidRPr="008C0D99" w:rsidRDefault="00110FE6">
      <w:pPr>
        <w:pStyle w:val="BodyText"/>
        <w:rPr>
          <w:lang w:val="en-CA"/>
        </w:rPr>
      </w:pPr>
      <w:r w:rsidRPr="008C0D99">
        <w:rPr>
          <w:lang w:val="en-CA"/>
        </w:rPr>
        <w:t xml:space="preserve">Meghini, Carlo, et Martin Doerr. 2018. « A first-order logic expression of the CIDOC conceptual reference model ». </w:t>
      </w:r>
      <w:r w:rsidRPr="008C0D99">
        <w:rPr>
          <w:i/>
          <w:iCs/>
          <w:lang w:val="en-CA"/>
        </w:rPr>
        <w:t>International Journal of Metadata, Semantics and Ontologies</w:t>
      </w:r>
      <w:r w:rsidRPr="008C0D99">
        <w:rPr>
          <w:lang w:val="en-CA"/>
        </w:rPr>
        <w:t xml:space="preserve"> 13 (2) : 131‑49. </w:t>
      </w:r>
      <w:hyperlink r:id="rId360">
        <w:r w:rsidRPr="008C0D99">
          <w:rPr>
            <w:rStyle w:val="Hyperlink"/>
            <w:lang w:val="en-CA"/>
          </w:rPr>
          <w:t>https://doi.org/10.1504/IJMSO.2018.098393</w:t>
        </w:r>
      </w:hyperlink>
      <w:r w:rsidRPr="008C0D99">
        <w:rPr>
          <w:lang w:val="en-CA"/>
        </w:rPr>
        <w:t>.</w:t>
      </w:r>
    </w:p>
    <w:p w14:paraId="6D98C81B" w14:textId="77777777" w:rsidR="0084489F" w:rsidRPr="008C0D99" w:rsidRDefault="00110FE6">
      <w:pPr>
        <w:pStyle w:val="BodyText"/>
        <w:rPr>
          <w:lang w:val="en-CA"/>
        </w:rPr>
      </w:pPr>
      <w:r w:rsidRPr="008C0D99">
        <w:rPr>
          <w:lang w:val="en-CA"/>
        </w:rPr>
        <w:t xml:space="preserve">Mellen, Joan. 2002. </w:t>
      </w:r>
      <w:r w:rsidRPr="008C0D99">
        <w:rPr>
          <w:i/>
          <w:iCs/>
          <w:lang w:val="en-CA"/>
        </w:rPr>
        <w:t>Seven samurai</w:t>
      </w:r>
      <w:r w:rsidRPr="008C0D99">
        <w:rPr>
          <w:lang w:val="en-CA"/>
        </w:rPr>
        <w:t>. London : BFI Pub.</w:t>
      </w:r>
    </w:p>
    <w:p w14:paraId="1941A7A7" w14:textId="77777777" w:rsidR="0084489F" w:rsidRPr="008C0D99" w:rsidRDefault="00110FE6">
      <w:pPr>
        <w:pStyle w:val="BodyText"/>
        <w:rPr>
          <w:lang w:val="en-CA"/>
        </w:rPr>
      </w:pPr>
      <w:r w:rsidRPr="008C0D99">
        <w:rPr>
          <w:lang w:val="en-CA"/>
        </w:rPr>
        <w:t xml:space="preserve">Mhaske, S.T. s. d. « Polycarbonate: Medical applications ». </w:t>
      </w:r>
      <w:r w:rsidRPr="008C0D99">
        <w:rPr>
          <w:i/>
          <w:iCs/>
          <w:lang w:val="en-CA"/>
        </w:rPr>
        <w:t>Chemical Weekly</w:t>
      </w:r>
      <w:r w:rsidRPr="008C0D99">
        <w:rPr>
          <w:lang w:val="en-CA"/>
        </w:rPr>
        <w:t xml:space="preserve"> 56 (30) : 201‑4.</w:t>
      </w:r>
    </w:p>
    <w:p w14:paraId="06C95E41" w14:textId="77777777" w:rsidR="0084489F" w:rsidRPr="008C0D99" w:rsidRDefault="00110FE6">
      <w:pPr>
        <w:pStyle w:val="BodyText"/>
        <w:rPr>
          <w:lang w:val="en-CA"/>
        </w:rPr>
      </w:pPr>
      <w:r w:rsidRPr="008C0D99">
        <w:rPr>
          <w:lang w:val="en-CA"/>
        </w:rPr>
        <w:t xml:space="preserve">Milne, A. A. 2012. </w:t>
      </w:r>
      <w:r w:rsidRPr="008C0D99">
        <w:rPr>
          <w:i/>
          <w:iCs/>
          <w:lang w:val="en-CA"/>
        </w:rPr>
        <w:t>The Sunny Side</w:t>
      </w:r>
      <w:r w:rsidRPr="008C0D99">
        <w:rPr>
          <w:lang w:val="en-CA"/>
        </w:rPr>
        <w:t>. The Floating Press.</w:t>
      </w:r>
    </w:p>
    <w:p w14:paraId="76319A02" w14:textId="77777777" w:rsidR="0084489F" w:rsidRPr="008C0D99" w:rsidRDefault="00110FE6">
      <w:pPr>
        <w:pStyle w:val="BodyText"/>
        <w:rPr>
          <w:lang w:val="en-CA"/>
        </w:rPr>
      </w:pPr>
      <w:r>
        <w:t xml:space="preserve">Milne, A.A., et Ernest H Shepard. </w:t>
      </w:r>
      <w:r w:rsidRPr="008C0D99">
        <w:rPr>
          <w:lang w:val="en-CA"/>
        </w:rPr>
        <w:t xml:space="preserve">1998. </w:t>
      </w:r>
      <w:r w:rsidRPr="008C0D99">
        <w:rPr>
          <w:i/>
          <w:iCs/>
          <w:lang w:val="en-CA"/>
        </w:rPr>
        <w:t>Piglet has a bath</w:t>
      </w:r>
      <w:r w:rsidRPr="008C0D99">
        <w:rPr>
          <w:lang w:val="en-CA"/>
        </w:rPr>
        <w:t>. Boston, MA : Dutton Children’s Books.</w:t>
      </w:r>
    </w:p>
    <w:p w14:paraId="67EE39FB" w14:textId="77777777" w:rsidR="0084489F" w:rsidRPr="008C0D99" w:rsidRDefault="00110FE6">
      <w:pPr>
        <w:pStyle w:val="BodyText"/>
        <w:rPr>
          <w:lang w:val="en-CA"/>
        </w:rPr>
      </w:pPr>
      <w:r>
        <w:t xml:space="preserve">Mohen, Jean-Pierre, Michel Menu, et Bruno Mottin. </w:t>
      </w:r>
      <w:r w:rsidRPr="008C0D99">
        <w:rPr>
          <w:lang w:val="en-CA"/>
        </w:rPr>
        <w:t xml:space="preserve">2006. </w:t>
      </w:r>
      <w:r w:rsidRPr="008C0D99">
        <w:rPr>
          <w:i/>
          <w:iCs/>
          <w:lang w:val="en-CA"/>
        </w:rPr>
        <w:t>Mona Lisa: Inside the Painting</w:t>
      </w:r>
      <w:r w:rsidRPr="008C0D99">
        <w:rPr>
          <w:lang w:val="en-CA"/>
        </w:rPr>
        <w:t>. Harry N. Abrams.</w:t>
      </w:r>
    </w:p>
    <w:p w14:paraId="39334ABE" w14:textId="77777777" w:rsidR="0084489F" w:rsidRPr="008C0D99" w:rsidRDefault="00110FE6">
      <w:pPr>
        <w:pStyle w:val="BodyText"/>
        <w:rPr>
          <w:lang w:val="en-CA"/>
        </w:rPr>
      </w:pPr>
      <w:r w:rsidRPr="008C0D99">
        <w:rPr>
          <w:lang w:val="en-CA"/>
        </w:rPr>
        <w:t xml:space="preserve">Moholy-Nagy, László. 2012. </w:t>
      </w:r>
      <w:r w:rsidRPr="008C0D99">
        <w:rPr>
          <w:i/>
          <w:iCs/>
          <w:lang w:val="en-CA"/>
        </w:rPr>
        <w:t>The New Vision: Fundamentals of Bauhaus Design, Painting, Sculpture, and Architecture</w:t>
      </w:r>
      <w:r w:rsidRPr="008C0D99">
        <w:rPr>
          <w:lang w:val="en-CA"/>
        </w:rPr>
        <w:t>. Courier Corporation.</w:t>
      </w:r>
    </w:p>
    <w:p w14:paraId="7FC73ED3" w14:textId="77777777" w:rsidR="0084489F" w:rsidRPr="008C0D99" w:rsidRDefault="00110FE6">
      <w:pPr>
        <w:pStyle w:val="BodyText"/>
        <w:rPr>
          <w:lang w:val="en-CA"/>
        </w:rPr>
      </w:pPr>
      <w:r w:rsidRPr="008C0D99">
        <w:rPr>
          <w:lang w:val="en-CA"/>
        </w:rPr>
        <w:t xml:space="preserve">Mommsen, Theodor. 1872. </w:t>
      </w:r>
      <w:r w:rsidRPr="008C0D99">
        <w:rPr>
          <w:i/>
          <w:iCs/>
          <w:lang w:val="en-CA"/>
        </w:rPr>
        <w:t>Corpus inscriptionum Latinarum Vol. 5, Pars 1.</w:t>
      </w:r>
      <w:r w:rsidRPr="008C0D99">
        <w:rPr>
          <w:lang w:val="en-CA"/>
        </w:rPr>
        <w:t xml:space="preserve"> Berolini : Apud Georgium Reimerum.</w:t>
      </w:r>
    </w:p>
    <w:p w14:paraId="19C222C2" w14:textId="77777777" w:rsidR="0084489F" w:rsidRPr="008C0D99" w:rsidRDefault="00110FE6">
      <w:pPr>
        <w:pStyle w:val="BodyText"/>
        <w:rPr>
          <w:lang w:val="en-CA"/>
        </w:rPr>
      </w:pPr>
      <w:r w:rsidRPr="008C0D99">
        <w:rPr>
          <w:lang w:val="en-CA"/>
        </w:rPr>
        <w:t xml:space="preserve">Mommsen, Theodor E. 1941. « The Venetians in Athens and the Destruction of the Parthenon in 1687 ». </w:t>
      </w:r>
      <w:r w:rsidRPr="008C0D99">
        <w:rPr>
          <w:i/>
          <w:iCs/>
          <w:lang w:val="en-CA"/>
        </w:rPr>
        <w:t>American Journal of Archaeology</w:t>
      </w:r>
      <w:r w:rsidRPr="008C0D99">
        <w:rPr>
          <w:lang w:val="en-CA"/>
        </w:rPr>
        <w:t xml:space="preserve"> 45 (4) : 544‑56. </w:t>
      </w:r>
      <w:hyperlink r:id="rId361">
        <w:r w:rsidRPr="008C0D99">
          <w:rPr>
            <w:rStyle w:val="Hyperlink"/>
            <w:lang w:val="en-CA"/>
          </w:rPr>
          <w:t>https://doi.org/10.2307/499533</w:t>
        </w:r>
      </w:hyperlink>
      <w:r w:rsidRPr="008C0D99">
        <w:rPr>
          <w:lang w:val="en-CA"/>
        </w:rPr>
        <w:t>.</w:t>
      </w:r>
    </w:p>
    <w:p w14:paraId="47BC3AED" w14:textId="77777777" w:rsidR="0084489F" w:rsidRPr="008C0D99" w:rsidRDefault="00110FE6">
      <w:pPr>
        <w:pStyle w:val="BodyText"/>
        <w:rPr>
          <w:lang w:val="en-CA"/>
        </w:rPr>
      </w:pPr>
      <w:r w:rsidRPr="008C0D99">
        <w:rPr>
          <w:lang w:val="en-CA"/>
        </w:rPr>
        <w:t xml:space="preserve">Monast, Jonas, et Betsy Tao. 2002. « In Memoriam: Paul Wellstone (1944-2002) ». </w:t>
      </w:r>
      <w:r w:rsidRPr="008C0D99">
        <w:rPr>
          <w:i/>
          <w:iCs/>
          <w:lang w:val="en-CA"/>
        </w:rPr>
        <w:t>Georgetown International Environmental Law Review</w:t>
      </w:r>
      <w:r w:rsidRPr="008C0D99">
        <w:rPr>
          <w:lang w:val="en-CA"/>
        </w:rPr>
        <w:t xml:space="preserve"> 15 : 133.</w:t>
      </w:r>
    </w:p>
    <w:p w14:paraId="1B2D76C2" w14:textId="77777777" w:rsidR="0084489F" w:rsidRPr="008C0D99" w:rsidRDefault="00110FE6">
      <w:pPr>
        <w:pStyle w:val="BodyText"/>
        <w:rPr>
          <w:lang w:val="en-CA"/>
        </w:rPr>
      </w:pPr>
      <w:r w:rsidRPr="008C0D99">
        <w:rPr>
          <w:lang w:val="en-CA"/>
        </w:rPr>
        <w:t xml:space="preserve">Morton, Herbert C. 1994. </w:t>
      </w:r>
      <w:r w:rsidRPr="008C0D99">
        <w:rPr>
          <w:i/>
          <w:iCs/>
          <w:lang w:val="en-CA"/>
        </w:rPr>
        <w:t>The story of Webster’s third: Philip Gove’s controversial dictionary and its critics</w:t>
      </w:r>
      <w:r w:rsidRPr="008C0D99">
        <w:rPr>
          <w:lang w:val="en-CA"/>
        </w:rPr>
        <w:t>. Cambridge : Cambridge University Press.</w:t>
      </w:r>
    </w:p>
    <w:p w14:paraId="3A31B017" w14:textId="77777777" w:rsidR="0084489F" w:rsidRDefault="00110FE6">
      <w:pPr>
        <w:pStyle w:val="BodyText"/>
      </w:pPr>
      <w:r w:rsidRPr="008C0D99">
        <w:rPr>
          <w:lang w:val="en-CA"/>
        </w:rPr>
        <w:t xml:space="preserve">Municipality of Heraklion. s. d. « City Hall ». </w:t>
      </w:r>
      <w:r>
        <w:t xml:space="preserve">Consulté le 5 février 2021. </w:t>
      </w:r>
      <w:hyperlink r:id="rId362">
        <w:r>
          <w:rPr>
            <w:rStyle w:val="Hyperlink"/>
          </w:rPr>
          <w:t>https://www.heraklion.gr/en/municipality/city-hall//city-hall.html</w:t>
        </w:r>
      </w:hyperlink>
      <w:r>
        <w:t>.</w:t>
      </w:r>
    </w:p>
    <w:p w14:paraId="1F3D445D" w14:textId="77777777" w:rsidR="0084489F" w:rsidRPr="008C0D99" w:rsidRDefault="00110FE6">
      <w:pPr>
        <w:pStyle w:val="BodyText"/>
        <w:rPr>
          <w:lang w:val="en-CA"/>
        </w:rPr>
      </w:pPr>
      <w:r w:rsidRPr="008C0D99">
        <w:rPr>
          <w:lang w:val="en-CA"/>
        </w:rPr>
        <w:t xml:space="preserve">Murdoch, David H, Chris Forsey, Anne Yvonne Gilbert, et Eric Thomas. 2003. </w:t>
      </w:r>
      <w:r w:rsidRPr="008C0D99">
        <w:rPr>
          <w:i/>
          <w:iCs/>
          <w:lang w:val="en-CA"/>
        </w:rPr>
        <w:t>Tutankhamun: the life and death of a pharaoh</w:t>
      </w:r>
      <w:r w:rsidRPr="008C0D99">
        <w:rPr>
          <w:lang w:val="en-CA"/>
        </w:rPr>
        <w:t>. London : Dorling Kindersley.</w:t>
      </w:r>
    </w:p>
    <w:p w14:paraId="0C746DBE" w14:textId="77777777" w:rsidR="0084489F" w:rsidRDefault="00110FE6">
      <w:pPr>
        <w:pStyle w:val="BodyText"/>
      </w:pPr>
      <w:r>
        <w:t xml:space="preserve">Musée d’Orsay. 2020. « Claude Monet “La Pie” ». 2020. </w:t>
      </w:r>
      <w:hyperlink r:id="rId363">
        <w:r>
          <w:rPr>
            <w:rStyle w:val="Hyperlink"/>
          </w:rPr>
          <w:t>https://www.musee-orsay.fr/fr/collections/catalogue-des-oeuvres/notice.html?no_cache=1&amp;nnumid=715</w:t>
        </w:r>
      </w:hyperlink>
      <w:r>
        <w:t>.</w:t>
      </w:r>
    </w:p>
    <w:p w14:paraId="69A2D036" w14:textId="77777777" w:rsidR="0084489F" w:rsidRDefault="00110FE6">
      <w:pPr>
        <w:pStyle w:val="BodyText"/>
      </w:pPr>
      <w:r w:rsidRPr="008C0D99">
        <w:rPr>
          <w:lang w:val="en-CA"/>
        </w:rPr>
        <w:t xml:space="preserve">National Gallery of Victoria. s. d. « Portrait group: The singer Farinelli and friends (c. 1750-1752) Jacopo Amigoni ». </w:t>
      </w:r>
      <w:r>
        <w:t xml:space="preserve">Consulté le 5 février 2021. </w:t>
      </w:r>
      <w:hyperlink r:id="rId364">
        <w:r>
          <w:rPr>
            <w:rStyle w:val="Hyperlink"/>
          </w:rPr>
          <w:t>http://www.ngv.vic.gov.au/explore/collection/work/3701/</w:t>
        </w:r>
      </w:hyperlink>
      <w:r>
        <w:t>.</w:t>
      </w:r>
    </w:p>
    <w:p w14:paraId="261A9EAE" w14:textId="77777777" w:rsidR="0084489F" w:rsidRPr="008C0D99" w:rsidRDefault="00110FE6">
      <w:pPr>
        <w:pStyle w:val="BodyText"/>
        <w:rPr>
          <w:lang w:val="en-CA"/>
        </w:rPr>
      </w:pPr>
      <w:r w:rsidRPr="008C0D99">
        <w:rPr>
          <w:lang w:val="en-CA"/>
        </w:rPr>
        <w:t xml:space="preserve">Natural History Museum. 2010. « Collection specimens - Specimens - 1842.12.14.24-27 - Data Portal created at 2010-04-07 ». Natural History Museum Data Portal. 7 avril 2010. </w:t>
      </w:r>
      <w:hyperlink r:id="rId365">
        <w:r w:rsidRPr="008C0D99">
          <w:rPr>
            <w:rStyle w:val="Hyperlink"/>
            <w:lang w:val="en-CA"/>
          </w:rPr>
          <w:t>https://data.nhm.ac.uk/object/e1bfb1ab-e94e-4e0a-a13c-bc54e03f22e5</w:t>
        </w:r>
      </w:hyperlink>
      <w:r w:rsidRPr="008C0D99">
        <w:rPr>
          <w:lang w:val="en-CA"/>
        </w:rPr>
        <w:t>.</w:t>
      </w:r>
    </w:p>
    <w:p w14:paraId="664644BD" w14:textId="77777777" w:rsidR="0084489F" w:rsidRPr="008C0D99" w:rsidRDefault="00110FE6">
      <w:pPr>
        <w:pStyle w:val="BodyText"/>
        <w:rPr>
          <w:lang w:val="en-CA"/>
        </w:rPr>
      </w:pPr>
      <w:r w:rsidRPr="008C0D99">
        <w:rPr>
          <w:lang w:val="en-CA"/>
        </w:rPr>
        <w:t xml:space="preserve">———. 2021. « Data Portal Query on “Clayton Herbarium” created at 2021-02-03 21:48:21.969228 PID https://doi.org/10.5519/qd.thnwfxy8. Subset of “Clayton Herbarium” (dataset) PID https://doi.org/10.5519/0063794 ». </w:t>
      </w:r>
      <w:hyperlink r:id="rId366">
        <w:r w:rsidRPr="008C0D99">
          <w:rPr>
            <w:rStyle w:val="Hyperlink"/>
            <w:lang w:val="en-CA"/>
          </w:rPr>
          <w:t>https://data.nhm.ac.uk/doi/10.5519/qd.thnwfxy8</w:t>
        </w:r>
      </w:hyperlink>
      <w:r w:rsidRPr="008C0D99">
        <w:rPr>
          <w:lang w:val="en-CA"/>
        </w:rPr>
        <w:t>.</w:t>
      </w:r>
    </w:p>
    <w:p w14:paraId="30C7E419" w14:textId="77777777" w:rsidR="0084489F" w:rsidRPr="008C0D99" w:rsidRDefault="00110FE6">
      <w:pPr>
        <w:pStyle w:val="BodyText"/>
        <w:rPr>
          <w:lang w:val="en-CA"/>
        </w:rPr>
      </w:pPr>
      <w:r w:rsidRPr="008C0D99">
        <w:rPr>
          <w:lang w:val="en-CA"/>
        </w:rPr>
        <w:t xml:space="preserve">Norman, C. F. W. 1986. </w:t>
      </w:r>
      <w:r w:rsidRPr="008C0D99">
        <w:rPr>
          <w:i/>
          <w:iCs/>
          <w:lang w:val="en-CA"/>
        </w:rPr>
        <w:t>Corrosion of aluminium.</w:t>
      </w:r>
      <w:r w:rsidRPr="008C0D99">
        <w:rPr>
          <w:lang w:val="en-CA"/>
        </w:rPr>
        <w:t xml:space="preserve"> University of Manchester Press.</w:t>
      </w:r>
    </w:p>
    <w:p w14:paraId="7F8659F6" w14:textId="77777777" w:rsidR="0084489F" w:rsidRPr="0060792A" w:rsidRDefault="00110FE6">
      <w:pPr>
        <w:pStyle w:val="BodyText"/>
      </w:pPr>
      <w:r w:rsidRPr="008C0D99">
        <w:rPr>
          <w:lang w:val="en-CA"/>
        </w:rPr>
        <w:t xml:space="preserve">Owen, Jennifer Chowning. 2009. « Forever Amber : the impact of the Amber Room on Russia’s cultural stature then, now and in the future ». </w:t>
      </w:r>
      <w:r w:rsidRPr="008C0D99">
        <w:rPr>
          <w:i/>
          <w:iCs/>
          <w:lang w:val="en-CA"/>
        </w:rPr>
        <w:t>Dept. of Art and Art History, Masters dissertations, 2009.</w:t>
      </w:r>
      <w:r w:rsidRPr="008C0D99">
        <w:rPr>
          <w:lang w:val="en-CA"/>
        </w:rPr>
        <w:t xml:space="preserve"> Thesis, Georgetown University. </w:t>
      </w:r>
      <w:hyperlink r:id="rId367">
        <w:r w:rsidRPr="0060792A">
          <w:rPr>
            <w:rStyle w:val="Hyperlink"/>
          </w:rPr>
          <w:t>https://repository.library.georgetown.edu/handle/10822/552838</w:t>
        </w:r>
      </w:hyperlink>
      <w:r w:rsidRPr="0060792A">
        <w:t>.</w:t>
      </w:r>
    </w:p>
    <w:p w14:paraId="60362C20" w14:textId="77777777" w:rsidR="0084489F" w:rsidRDefault="296B54BA">
      <w:pPr>
        <w:pStyle w:val="BodyText"/>
      </w:pPr>
      <w:r w:rsidRPr="00CC39FB">
        <w:rPr>
          <w:lang w:val="fr-FR"/>
        </w:rPr>
        <w:t xml:space="preserve">Panotis, Aristidis. 2016. « « Η Θείω Πνεύματι κραταιωθείσα Σύνοδος της Κρήτης » ». </w:t>
      </w:r>
      <w:r w:rsidRPr="00CC39FB">
        <w:rPr>
          <w:i/>
          <w:iCs/>
          <w:lang w:val="fr-FR"/>
        </w:rPr>
        <w:t>Πανώτης</w:t>
      </w:r>
      <w:r w:rsidRPr="00CC39FB">
        <w:rPr>
          <w:lang w:val="fr-FR"/>
        </w:rPr>
        <w:t xml:space="preserve">. 29 juin. </w:t>
      </w:r>
      <w:hyperlink r:id="rId368">
        <w:r w:rsidRPr="00CC39FB">
          <w:rPr>
            <w:rStyle w:val="Hyperlink"/>
            <w:lang w:val="fr-FR"/>
          </w:rPr>
          <w:t>https://www.panotis.gr/index.php/2016/06/29/the-holy-spirit-stressed-summit-of-crete/</w:t>
        </w:r>
      </w:hyperlink>
      <w:r w:rsidRPr="00CC39FB">
        <w:rPr>
          <w:lang w:val="fr-FR"/>
        </w:rPr>
        <w:t>.</w:t>
      </w:r>
    </w:p>
    <w:p w14:paraId="1947A7E9" w14:textId="77777777" w:rsidR="0084489F" w:rsidRPr="008C0D99" w:rsidRDefault="00110FE6">
      <w:pPr>
        <w:pStyle w:val="BodyText"/>
        <w:rPr>
          <w:lang w:val="en-CA"/>
        </w:rPr>
      </w:pPr>
      <w:r>
        <w:t xml:space="preserve">Paoletti, John T, et Rolf Bagemihl. </w:t>
      </w:r>
      <w:r w:rsidRPr="008C0D99">
        <w:rPr>
          <w:lang w:val="en-CA"/>
        </w:rPr>
        <w:t xml:space="preserve">2015. </w:t>
      </w:r>
      <w:r w:rsidRPr="008C0D99">
        <w:rPr>
          <w:i/>
          <w:iCs/>
          <w:lang w:val="en-CA"/>
        </w:rPr>
        <w:t>Michelangelo’s David: Florentine history and civic identity</w:t>
      </w:r>
      <w:r w:rsidRPr="008C0D99">
        <w:rPr>
          <w:lang w:val="en-CA"/>
        </w:rPr>
        <w:t xml:space="preserve">. New York : Cambridge University Press. </w:t>
      </w:r>
      <w:hyperlink r:id="rId369">
        <w:r w:rsidRPr="008C0D99">
          <w:rPr>
            <w:rStyle w:val="Hyperlink"/>
            <w:lang w:val="en-CA"/>
          </w:rPr>
          <w:t>https://doi.org/10.1017/CBO9781107338784</w:t>
        </w:r>
      </w:hyperlink>
      <w:r w:rsidRPr="008C0D99">
        <w:rPr>
          <w:lang w:val="en-CA"/>
        </w:rPr>
        <w:t>.</w:t>
      </w:r>
    </w:p>
    <w:p w14:paraId="6D0158C7" w14:textId="77777777" w:rsidR="0084489F" w:rsidRPr="008C0D99" w:rsidRDefault="00110FE6">
      <w:pPr>
        <w:pStyle w:val="BodyText"/>
        <w:rPr>
          <w:lang w:val="en-CA"/>
        </w:rPr>
      </w:pPr>
      <w:r w:rsidRPr="008C0D99">
        <w:rPr>
          <w:lang w:val="en-CA"/>
        </w:rPr>
        <w:t xml:space="preserve">Parker, V. 2002. </w:t>
      </w:r>
      <w:r w:rsidRPr="008C0D99">
        <w:rPr>
          <w:i/>
          <w:iCs/>
          <w:lang w:val="en-CA"/>
        </w:rPr>
        <w:t>Queen Elizabeth II</w:t>
      </w:r>
      <w:r w:rsidRPr="008C0D99">
        <w:rPr>
          <w:lang w:val="en-CA"/>
        </w:rPr>
        <w:t>. Oxford : Heinemann Library.</w:t>
      </w:r>
    </w:p>
    <w:p w14:paraId="67B7C0E7" w14:textId="77777777" w:rsidR="0084489F" w:rsidRPr="008C0D99" w:rsidRDefault="00110FE6">
      <w:pPr>
        <w:pStyle w:val="BodyText"/>
        <w:rPr>
          <w:lang w:val="en-CA"/>
        </w:rPr>
      </w:pPr>
      <w:r w:rsidRPr="008C0D99">
        <w:rPr>
          <w:lang w:val="en-CA"/>
        </w:rPr>
        <w:t xml:space="preserve">Patterson, Richard. 1998. </w:t>
      </w:r>
      <w:r w:rsidRPr="008C0D99">
        <w:rPr>
          <w:i/>
          <w:iCs/>
          <w:lang w:val="en-CA"/>
        </w:rPr>
        <w:t>Butch Cassidy: A Biography.</w:t>
      </w:r>
      <w:r w:rsidRPr="008C0D99">
        <w:rPr>
          <w:lang w:val="en-CA"/>
        </w:rPr>
        <w:t xml:space="preserve"> Lincoln : University of Nebraska Press.</w:t>
      </w:r>
    </w:p>
    <w:p w14:paraId="0F704C71" w14:textId="77777777" w:rsidR="0084489F" w:rsidRPr="008C0D99" w:rsidRDefault="00110FE6">
      <w:pPr>
        <w:pStyle w:val="BodyText"/>
        <w:rPr>
          <w:lang w:val="en-CA"/>
        </w:rPr>
      </w:pPr>
      <w:r w:rsidRPr="008C0D99">
        <w:rPr>
          <w:lang w:val="en-CA"/>
        </w:rPr>
        <w:t xml:space="preserve">Pedersén, Olof. 1986. </w:t>
      </w:r>
      <w:r w:rsidRPr="008C0D99">
        <w:rPr>
          <w:i/>
          <w:iCs/>
          <w:lang w:val="en-CA"/>
        </w:rPr>
        <w:t>Archives and libraries in the City of Assur: a survey of the material from the German excavations</w:t>
      </w:r>
      <w:r w:rsidRPr="008C0D99">
        <w:rPr>
          <w:lang w:val="en-CA"/>
        </w:rPr>
        <w:t>. Uppsala; Stockholm, Sweden : Uppsala University.</w:t>
      </w:r>
    </w:p>
    <w:p w14:paraId="62313B74" w14:textId="77777777" w:rsidR="0084489F" w:rsidRPr="008C0D99" w:rsidRDefault="00110FE6">
      <w:pPr>
        <w:pStyle w:val="BodyText"/>
        <w:rPr>
          <w:lang w:val="en-CA"/>
        </w:rPr>
      </w:pPr>
      <w:r w:rsidRPr="008C0D99">
        <w:rPr>
          <w:lang w:val="en-CA"/>
        </w:rPr>
        <w:t xml:space="preserve">Peel, Christine, trad. 1999. </w:t>
      </w:r>
      <w:r w:rsidRPr="008C0D99">
        <w:rPr>
          <w:i/>
          <w:iCs/>
          <w:lang w:val="en-CA"/>
        </w:rPr>
        <w:t>Guta Saga: The History of the Gotlanders</w:t>
      </w:r>
      <w:r w:rsidRPr="008C0D99">
        <w:rPr>
          <w:lang w:val="en-CA"/>
        </w:rPr>
        <w:t>. London : Viking Society for Northern Research.</w:t>
      </w:r>
    </w:p>
    <w:p w14:paraId="15C2B805" w14:textId="77777777" w:rsidR="0084489F" w:rsidRPr="008C0D99" w:rsidRDefault="00110FE6">
      <w:pPr>
        <w:pStyle w:val="BodyText"/>
        <w:rPr>
          <w:lang w:val="en-CA"/>
        </w:rPr>
      </w:pPr>
      <w:r w:rsidRPr="008C0D99">
        <w:rPr>
          <w:lang w:val="en-CA"/>
        </w:rPr>
        <w:t xml:space="preserve">Perley, Bernard. 2017. « Declaration of Independence: The First Public Reading ». </w:t>
      </w:r>
      <w:r w:rsidRPr="008C0D99">
        <w:rPr>
          <w:i/>
          <w:iCs/>
          <w:lang w:val="en-CA"/>
        </w:rPr>
        <w:t>Anthropology News</w:t>
      </w:r>
      <w:r w:rsidRPr="008C0D99">
        <w:rPr>
          <w:lang w:val="en-CA"/>
        </w:rPr>
        <w:t xml:space="preserve"> 58 (3) : e197‑99. </w:t>
      </w:r>
      <w:hyperlink r:id="rId370">
        <w:r w:rsidRPr="008C0D99">
          <w:rPr>
            <w:rStyle w:val="Hyperlink"/>
            <w:lang w:val="en-CA"/>
          </w:rPr>
          <w:t>https://doi.org/10.1111/AN.445</w:t>
        </w:r>
      </w:hyperlink>
      <w:r w:rsidRPr="008C0D99">
        <w:rPr>
          <w:lang w:val="en-CA"/>
        </w:rPr>
        <w:t>.</w:t>
      </w:r>
    </w:p>
    <w:p w14:paraId="6A1A5A5A" w14:textId="77777777" w:rsidR="0084489F" w:rsidRPr="008C0D99" w:rsidRDefault="00110FE6">
      <w:pPr>
        <w:pStyle w:val="BodyText"/>
        <w:rPr>
          <w:lang w:val="en-CA"/>
        </w:rPr>
      </w:pPr>
      <w:r w:rsidRPr="008C0D99">
        <w:rPr>
          <w:lang w:val="en-CA"/>
        </w:rPr>
        <w:t xml:space="preserve">Petersen, Toni. 1990. </w:t>
      </w:r>
      <w:r w:rsidRPr="008C0D99">
        <w:rPr>
          <w:i/>
          <w:iCs/>
          <w:lang w:val="en-CA"/>
        </w:rPr>
        <w:t>Art &amp; architecture thesaurus</w:t>
      </w:r>
      <w:r w:rsidRPr="008C0D99">
        <w:rPr>
          <w:lang w:val="en-CA"/>
        </w:rPr>
        <w:t>. New York; Oxford : Oxford University Press.</w:t>
      </w:r>
    </w:p>
    <w:p w14:paraId="100913ED" w14:textId="77777777" w:rsidR="0084489F" w:rsidRPr="0060792A" w:rsidRDefault="00110FE6">
      <w:pPr>
        <w:pStyle w:val="BodyText"/>
        <w:rPr>
          <w:lang w:val="en-US"/>
        </w:rPr>
      </w:pPr>
      <w:r>
        <w:t xml:space="preserve">Petrocchi, Giorgio et Società dantesca italiana. 1967. </w:t>
      </w:r>
      <w:r>
        <w:rPr>
          <w:i/>
          <w:iCs/>
        </w:rPr>
        <w:t>Le opere di Dante Alighieri: edizione nazionale</w:t>
      </w:r>
      <w:r>
        <w:t xml:space="preserve">. </w:t>
      </w:r>
      <w:r w:rsidRPr="0060792A">
        <w:rPr>
          <w:lang w:val="en-US"/>
        </w:rPr>
        <w:t>Milano : Mondadori.</w:t>
      </w:r>
    </w:p>
    <w:p w14:paraId="474E2DC9" w14:textId="77777777" w:rsidR="0084489F" w:rsidRPr="008C0D99" w:rsidRDefault="00110FE6">
      <w:pPr>
        <w:pStyle w:val="BodyText"/>
        <w:rPr>
          <w:lang w:val="en-CA"/>
        </w:rPr>
      </w:pPr>
      <w:r w:rsidRPr="0060792A">
        <w:rPr>
          <w:lang w:val="en-US"/>
        </w:rPr>
        <w:t xml:space="preserve">Phialon, Laetitia. 2018. </w:t>
      </w:r>
      <w:r w:rsidRPr="008C0D99">
        <w:rPr>
          <w:lang w:val="en-CA"/>
        </w:rPr>
        <w:t xml:space="preserve">« Funerary Landscapes in Mesohelladic and Early Mycenaean Central Greece: an Update ». </w:t>
      </w:r>
      <w:r w:rsidRPr="008C0D99">
        <w:rPr>
          <w:i/>
          <w:iCs/>
          <w:lang w:val="en-CA"/>
        </w:rPr>
        <w:t>Aegeus – Society for Aegean Prehistory</w:t>
      </w:r>
      <w:r w:rsidRPr="008C0D99">
        <w:rPr>
          <w:lang w:val="en-CA"/>
        </w:rPr>
        <w:t xml:space="preserve">. 26 septembre. </w:t>
      </w:r>
      <w:hyperlink r:id="rId371">
        <w:r w:rsidRPr="008C0D99">
          <w:rPr>
            <w:rStyle w:val="Hyperlink"/>
            <w:lang w:val="en-CA"/>
          </w:rPr>
          <w:t>https://www.aegeussociety.org/en/excavations_research/funerary-landscapes-in-mesohelladic-and-early-mycenaean-central-greece-an-update/</w:t>
        </w:r>
      </w:hyperlink>
      <w:r w:rsidRPr="008C0D99">
        <w:rPr>
          <w:lang w:val="en-CA"/>
        </w:rPr>
        <w:t>.</w:t>
      </w:r>
    </w:p>
    <w:p w14:paraId="1D3F44D3" w14:textId="77777777" w:rsidR="0084489F" w:rsidRPr="008C0D99" w:rsidRDefault="00110FE6">
      <w:pPr>
        <w:pStyle w:val="BodyText"/>
        <w:rPr>
          <w:lang w:val="en-CA"/>
        </w:rPr>
      </w:pPr>
      <w:r w:rsidRPr="008C0D99">
        <w:rPr>
          <w:lang w:val="en-CA"/>
        </w:rPr>
        <w:t xml:space="preserve">Pietrangeli, Carlo. 1986. </w:t>
      </w:r>
      <w:r w:rsidRPr="008C0D99">
        <w:rPr>
          <w:i/>
          <w:iCs/>
          <w:lang w:val="en-CA"/>
        </w:rPr>
        <w:t>The Sistine Chapel: the art, the history, and the restoration</w:t>
      </w:r>
      <w:r w:rsidRPr="008C0D99">
        <w:rPr>
          <w:lang w:val="en-CA"/>
        </w:rPr>
        <w:t>. New York : Harmony Books.</w:t>
      </w:r>
    </w:p>
    <w:p w14:paraId="1F400D19" w14:textId="77777777" w:rsidR="0084489F" w:rsidRPr="008C0D99" w:rsidRDefault="00110FE6">
      <w:pPr>
        <w:pStyle w:val="BodyText"/>
        <w:rPr>
          <w:lang w:val="en-CA"/>
        </w:rPr>
      </w:pPr>
      <w:r w:rsidRPr="008C0D99">
        <w:rPr>
          <w:lang w:val="en-CA"/>
        </w:rPr>
        <w:t xml:space="preserve">Pipes, Richard. 1997. </w:t>
      </w:r>
      <w:r w:rsidRPr="008C0D99">
        <w:rPr>
          <w:i/>
          <w:iCs/>
          <w:lang w:val="en-CA"/>
        </w:rPr>
        <w:t>The Formation of the Soviet Union: Communism and Nationalism, 1917–1923, Revised Edition</w:t>
      </w:r>
      <w:r w:rsidRPr="008C0D99">
        <w:rPr>
          <w:lang w:val="en-CA"/>
        </w:rPr>
        <w:t>. 2</w:t>
      </w:r>
      <w:r w:rsidRPr="008C0D99">
        <w:rPr>
          <w:vertAlign w:val="superscript"/>
          <w:lang w:val="en-CA"/>
        </w:rPr>
        <w:t>e</w:t>
      </w:r>
      <w:r w:rsidRPr="008C0D99">
        <w:rPr>
          <w:lang w:val="en-CA"/>
        </w:rPr>
        <w:t xml:space="preserve"> éd. Cambridge : Harvard University Press.</w:t>
      </w:r>
    </w:p>
    <w:p w14:paraId="774345A1" w14:textId="77777777" w:rsidR="0084489F" w:rsidRPr="008C0D99" w:rsidRDefault="00110FE6">
      <w:pPr>
        <w:pStyle w:val="BodyText"/>
        <w:rPr>
          <w:lang w:val="en-CA"/>
        </w:rPr>
      </w:pPr>
      <w:r w:rsidRPr="008C0D99">
        <w:rPr>
          <w:lang w:val="en-CA"/>
        </w:rPr>
        <w:t xml:space="preserve">Poe, Edgar Allan. 2002. </w:t>
      </w:r>
      <w:r w:rsidRPr="008C0D99">
        <w:rPr>
          <w:i/>
          <w:iCs/>
          <w:lang w:val="en-CA"/>
        </w:rPr>
        <w:t>Edgar Allan Poe : Complete Tales and Poems</w:t>
      </w:r>
      <w:r w:rsidRPr="008C0D99">
        <w:rPr>
          <w:lang w:val="en-CA"/>
        </w:rPr>
        <w:t>. Castle Books.</w:t>
      </w:r>
    </w:p>
    <w:p w14:paraId="6AD3319D" w14:textId="77777777" w:rsidR="0084489F" w:rsidRPr="008C0D99" w:rsidRDefault="00110FE6">
      <w:pPr>
        <w:pStyle w:val="BodyText"/>
        <w:rPr>
          <w:lang w:val="en-CA"/>
        </w:rPr>
      </w:pPr>
      <w:r w:rsidRPr="008C0D99">
        <w:rPr>
          <w:lang w:val="en-CA"/>
        </w:rPr>
        <w:t xml:space="preserve">Pomeroy, Sarah B. 1984. </w:t>
      </w:r>
      <w:r w:rsidRPr="008C0D99">
        <w:rPr>
          <w:i/>
          <w:iCs/>
          <w:lang w:val="en-CA"/>
        </w:rPr>
        <w:t>Women in Hellenistic Egypt: from Alexander to Cleopatra</w:t>
      </w:r>
      <w:r w:rsidRPr="008C0D99">
        <w:rPr>
          <w:lang w:val="en-CA"/>
        </w:rPr>
        <w:t>. Ann Arbor, Michigan : University of Michigan Library.</w:t>
      </w:r>
    </w:p>
    <w:p w14:paraId="43234540" w14:textId="77777777" w:rsidR="0084489F" w:rsidRPr="008C0D99" w:rsidRDefault="00110FE6">
      <w:pPr>
        <w:pStyle w:val="BodyText"/>
        <w:rPr>
          <w:lang w:val="en-CA"/>
        </w:rPr>
      </w:pPr>
      <w:r w:rsidRPr="008C0D99">
        <w:rPr>
          <w:lang w:val="en-CA"/>
        </w:rPr>
        <w:t xml:space="preserve">Poole, J. B., et R. Reed. 1962. « The Preparation of Leather and Parchment by the Dead Sea Scrolls Community ». </w:t>
      </w:r>
      <w:r w:rsidRPr="008C0D99">
        <w:rPr>
          <w:i/>
          <w:iCs/>
          <w:lang w:val="en-CA"/>
        </w:rPr>
        <w:t>Technology and Culture</w:t>
      </w:r>
      <w:r w:rsidRPr="008C0D99">
        <w:rPr>
          <w:lang w:val="en-CA"/>
        </w:rPr>
        <w:t xml:space="preserve"> 3 (1) : 1‑26. </w:t>
      </w:r>
      <w:hyperlink r:id="rId372">
        <w:r w:rsidRPr="008C0D99">
          <w:rPr>
            <w:rStyle w:val="Hyperlink"/>
            <w:lang w:val="en-CA"/>
          </w:rPr>
          <w:t>https://doi.org/10.2307/3100798</w:t>
        </w:r>
      </w:hyperlink>
      <w:r w:rsidRPr="008C0D99">
        <w:rPr>
          <w:lang w:val="en-CA"/>
        </w:rPr>
        <w:t>.</w:t>
      </w:r>
    </w:p>
    <w:p w14:paraId="3B2493C6" w14:textId="77777777" w:rsidR="0084489F" w:rsidRPr="008C0D99" w:rsidRDefault="00110FE6">
      <w:pPr>
        <w:pStyle w:val="BodyText"/>
        <w:rPr>
          <w:lang w:val="en-CA"/>
        </w:rPr>
      </w:pPr>
      <w:r w:rsidRPr="008C0D99">
        <w:rPr>
          <w:lang w:val="en-CA"/>
        </w:rPr>
        <w:t xml:space="preserve">Porter, Stephen. 2009. </w:t>
      </w:r>
      <w:r w:rsidRPr="008C0D99">
        <w:rPr>
          <w:i/>
          <w:iCs/>
          <w:lang w:val="en-CA"/>
        </w:rPr>
        <w:t>The Great Plague of London</w:t>
      </w:r>
      <w:r w:rsidRPr="008C0D99">
        <w:rPr>
          <w:lang w:val="en-CA"/>
        </w:rPr>
        <w:t>. Stroud : Amberley Publishing.</w:t>
      </w:r>
    </w:p>
    <w:p w14:paraId="0545DF83" w14:textId="0B38A5B4" w:rsidR="0084489F" w:rsidRPr="008C0D99" w:rsidRDefault="00110FE6">
      <w:pPr>
        <w:pStyle w:val="BodyText"/>
        <w:rPr>
          <w:lang w:val="en-CA"/>
        </w:rPr>
      </w:pPr>
      <w:r w:rsidRPr="008C0D99">
        <w:rPr>
          <w:lang w:val="en-CA"/>
        </w:rPr>
        <w:t xml:space="preserve">Potts, Timothy. 2015. </w:t>
      </w:r>
      <w:r w:rsidRPr="008C0D99">
        <w:rPr>
          <w:i/>
          <w:iCs/>
          <w:lang w:val="en-CA"/>
        </w:rPr>
        <w:t>The J. Paul Getty Museum Handbook of the Collection: Eighth Edition</w:t>
      </w:r>
      <w:r w:rsidRPr="008C0D99">
        <w:rPr>
          <w:lang w:val="en-CA"/>
        </w:rPr>
        <w:t xml:space="preserve">. </w:t>
      </w:r>
      <w:r w:rsidR="00672E90">
        <w:rPr>
          <w:lang w:val="en-CA"/>
        </w:rPr>
        <w:t>Édition révisée</w:t>
      </w:r>
      <w:r w:rsidRPr="008C0D99">
        <w:rPr>
          <w:lang w:val="en-CA"/>
        </w:rPr>
        <w:t>. Los Angeles : J. Paul Getty Museum.</w:t>
      </w:r>
    </w:p>
    <w:p w14:paraId="649C4A21" w14:textId="77777777" w:rsidR="0084489F" w:rsidRPr="008C0D99" w:rsidRDefault="00110FE6">
      <w:pPr>
        <w:pStyle w:val="BodyText"/>
        <w:rPr>
          <w:lang w:val="en-CA"/>
        </w:rPr>
      </w:pPr>
      <w:r w:rsidRPr="008C0D99">
        <w:rPr>
          <w:lang w:val="en-CA"/>
        </w:rPr>
        <w:t xml:space="preserve">Pryor, F. 2016. </w:t>
      </w:r>
      <w:r w:rsidRPr="008C0D99">
        <w:rPr>
          <w:i/>
          <w:iCs/>
          <w:lang w:val="en-CA"/>
        </w:rPr>
        <w:t>Stonehenge</w:t>
      </w:r>
      <w:r w:rsidRPr="008C0D99">
        <w:rPr>
          <w:lang w:val="en-CA"/>
        </w:rPr>
        <w:t>. London : Head of Zeus.</w:t>
      </w:r>
    </w:p>
    <w:p w14:paraId="5AD4ADE7" w14:textId="77777777" w:rsidR="0084489F" w:rsidRPr="008C0D99" w:rsidRDefault="00110FE6">
      <w:pPr>
        <w:pStyle w:val="BodyText"/>
        <w:rPr>
          <w:lang w:val="en-CA"/>
        </w:rPr>
      </w:pPr>
      <w:r w:rsidRPr="008C0D99">
        <w:rPr>
          <w:lang w:val="en-CA"/>
        </w:rPr>
        <w:t xml:space="preserve">Psimenos, S. 2005. </w:t>
      </w:r>
      <w:r w:rsidRPr="008C0D99">
        <w:rPr>
          <w:i/>
          <w:iCs/>
          <w:lang w:val="en-CA"/>
        </w:rPr>
        <w:t>Unexplored Peloponnese</w:t>
      </w:r>
      <w:r w:rsidRPr="008C0D99">
        <w:rPr>
          <w:lang w:val="en-CA"/>
        </w:rPr>
        <w:t>. Greece : Road Editions.</w:t>
      </w:r>
    </w:p>
    <w:p w14:paraId="2C204F8F" w14:textId="77777777" w:rsidR="0084489F" w:rsidRPr="008C0D99" w:rsidRDefault="00110FE6">
      <w:pPr>
        <w:pStyle w:val="BodyText"/>
        <w:rPr>
          <w:lang w:val="en-CA"/>
        </w:rPr>
      </w:pPr>
      <w:r w:rsidRPr="008C0D99">
        <w:rPr>
          <w:lang w:val="en-CA"/>
        </w:rPr>
        <w:t xml:space="preserve">Raga, Suzanne. 2016. « How Michael Jackson Bought the Publishing Rights to The Beatles Catalogue ». </w:t>
      </w:r>
      <w:r w:rsidRPr="008C0D99">
        <w:rPr>
          <w:i/>
          <w:iCs/>
          <w:lang w:val="en-CA"/>
        </w:rPr>
        <w:t>Mental Floss</w:t>
      </w:r>
      <w:r w:rsidRPr="008C0D99">
        <w:rPr>
          <w:lang w:val="en-CA"/>
        </w:rPr>
        <w:t xml:space="preserve">, 29 août 2016. </w:t>
      </w:r>
      <w:hyperlink r:id="rId373">
        <w:r w:rsidRPr="008C0D99">
          <w:rPr>
            <w:rStyle w:val="Hyperlink"/>
            <w:lang w:val="en-CA"/>
          </w:rPr>
          <w:t>https://www.mentalfloss.com/article/85007/how-michael-jackson-bought-publishing-rights-beatles-catalogue</w:t>
        </w:r>
      </w:hyperlink>
      <w:r w:rsidRPr="008C0D99">
        <w:rPr>
          <w:lang w:val="en-CA"/>
        </w:rPr>
        <w:t>.</w:t>
      </w:r>
    </w:p>
    <w:p w14:paraId="6E98F637" w14:textId="77777777" w:rsidR="0084489F" w:rsidRPr="0060792A" w:rsidRDefault="00110FE6">
      <w:pPr>
        <w:pStyle w:val="BodyText"/>
      </w:pPr>
      <w:r w:rsidRPr="008C0D99">
        <w:rPr>
          <w:lang w:val="en-CA"/>
        </w:rPr>
        <w:t xml:space="preserve">Raymond, Lee. 2006. « Exxon Mobil Corp. » </w:t>
      </w:r>
      <w:r w:rsidRPr="008C0D99">
        <w:rPr>
          <w:i/>
          <w:iCs/>
          <w:lang w:val="en-CA"/>
        </w:rPr>
        <w:t>Mergent’s Dividend Achievers</w:t>
      </w:r>
      <w:r w:rsidRPr="008C0D99">
        <w:rPr>
          <w:lang w:val="en-CA"/>
        </w:rPr>
        <w:t xml:space="preserve"> 3 (3) : 97‑97. </w:t>
      </w:r>
      <w:hyperlink r:id="rId374">
        <w:r w:rsidRPr="0060792A">
          <w:rPr>
            <w:rStyle w:val="Hyperlink"/>
          </w:rPr>
          <w:t>https://doi.org/10.1002/div.4323</w:t>
        </w:r>
      </w:hyperlink>
      <w:r w:rsidRPr="0060792A">
        <w:t>.</w:t>
      </w:r>
    </w:p>
    <w:p w14:paraId="7D2A90F1" w14:textId="77777777" w:rsidR="0084489F" w:rsidRPr="0060792A" w:rsidRDefault="296B54BA">
      <w:pPr>
        <w:pStyle w:val="BodyText"/>
      </w:pPr>
      <w:r w:rsidRPr="00CC39FB">
        <w:rPr>
          <w:lang w:val="fr-FR"/>
        </w:rPr>
        <w:t xml:space="preserve">Reaney, G. 1974. </w:t>
      </w:r>
      <w:r w:rsidRPr="00CC39FB">
        <w:rPr>
          <w:i/>
          <w:iCs/>
          <w:lang w:val="fr-FR"/>
        </w:rPr>
        <w:t>Guillaume de Machaut.</w:t>
      </w:r>
      <w:r w:rsidRPr="00CC39FB">
        <w:rPr>
          <w:lang w:val="fr-FR"/>
        </w:rPr>
        <w:t xml:space="preserve"> London : Oxford University Press.</w:t>
      </w:r>
    </w:p>
    <w:p w14:paraId="65075C38" w14:textId="77777777" w:rsidR="0084489F" w:rsidRPr="0060792A" w:rsidRDefault="296B54BA">
      <w:pPr>
        <w:pStyle w:val="BodyText"/>
      </w:pPr>
      <w:r w:rsidRPr="00CC39FB">
        <w:rPr>
          <w:lang w:val="fr-FR"/>
        </w:rPr>
        <w:t xml:space="preserve">Reid, S. 1993. </w:t>
      </w:r>
      <w:r w:rsidRPr="00CC39FB">
        <w:rPr>
          <w:i/>
          <w:iCs/>
          <w:lang w:val="fr-FR"/>
        </w:rPr>
        <w:t>Ancient Egypt</w:t>
      </w:r>
      <w:r w:rsidRPr="00CC39FB">
        <w:rPr>
          <w:lang w:val="fr-FR"/>
        </w:rPr>
        <w:t>. London : Belitha.</w:t>
      </w:r>
    </w:p>
    <w:p w14:paraId="6669B51F" w14:textId="77777777" w:rsidR="0084489F" w:rsidRPr="008C0D99" w:rsidRDefault="00110FE6">
      <w:pPr>
        <w:pStyle w:val="BodyText"/>
        <w:rPr>
          <w:lang w:val="en-CA"/>
        </w:rPr>
      </w:pPr>
      <w:r w:rsidRPr="0060792A">
        <w:t xml:space="preserve">Reiter, Raymond. </w:t>
      </w:r>
      <w:r w:rsidRPr="008C0D99">
        <w:rPr>
          <w:lang w:val="en-CA"/>
        </w:rPr>
        <w:t xml:space="preserve">1984. « Towards a Logical Reconstruction of Relational Database Theory ». Dans </w:t>
      </w:r>
      <w:r w:rsidRPr="008C0D99">
        <w:rPr>
          <w:i/>
          <w:iCs/>
          <w:lang w:val="en-CA"/>
        </w:rPr>
        <w:t>On Conceptual Modelling: Perspectives from Artificial Intelligence, Databases, and Programming Languages</w:t>
      </w:r>
      <w:r w:rsidRPr="008C0D99">
        <w:rPr>
          <w:lang w:val="en-CA"/>
        </w:rPr>
        <w:t xml:space="preserve">. Sous la direction de Michael L. Brodie, John Mylopoulos, et Joachim W. Schmidt, 191‑238. New York, NY : Springer-Verlag. </w:t>
      </w:r>
      <w:hyperlink r:id="rId375">
        <w:r w:rsidRPr="008C0D99">
          <w:rPr>
            <w:rStyle w:val="Hyperlink"/>
            <w:lang w:val="en-CA"/>
          </w:rPr>
          <w:t>https://doi.org/10.1007/978-1-4612-5196-5_8</w:t>
        </w:r>
      </w:hyperlink>
      <w:r w:rsidRPr="008C0D99">
        <w:rPr>
          <w:lang w:val="en-CA"/>
        </w:rPr>
        <w:t>.</w:t>
      </w:r>
    </w:p>
    <w:p w14:paraId="00564BDE" w14:textId="59235369" w:rsidR="0084489F" w:rsidRPr="008C0D99" w:rsidRDefault="00110FE6">
      <w:pPr>
        <w:pStyle w:val="BodyText"/>
        <w:rPr>
          <w:lang w:val="en-CA"/>
        </w:rPr>
      </w:pPr>
      <w:r w:rsidRPr="008C0D99">
        <w:rPr>
          <w:lang w:val="en-CA"/>
        </w:rPr>
        <w:t xml:space="preserve">Rieger, Bernhard. 2013. </w:t>
      </w:r>
      <w:r w:rsidRPr="008C0D99">
        <w:rPr>
          <w:i/>
          <w:iCs/>
          <w:lang w:val="en-CA"/>
        </w:rPr>
        <w:t>The People’s Car: A Global History of the Volkswagen Beetle</w:t>
      </w:r>
      <w:r w:rsidRPr="008C0D99">
        <w:rPr>
          <w:lang w:val="en-CA"/>
        </w:rPr>
        <w:t xml:space="preserve">. </w:t>
      </w:r>
      <w:r w:rsidR="00C7130C">
        <w:rPr>
          <w:lang w:val="en-CA"/>
        </w:rPr>
        <w:t>Édition illustrée</w:t>
      </w:r>
      <w:r w:rsidRPr="008C0D99">
        <w:rPr>
          <w:lang w:val="en-CA"/>
        </w:rPr>
        <w:t>. Cambridge, Mass : Harvard University Press.</w:t>
      </w:r>
    </w:p>
    <w:p w14:paraId="09A942D1" w14:textId="71BD4F48" w:rsidR="0084489F" w:rsidRPr="008C0D99" w:rsidRDefault="00110FE6">
      <w:pPr>
        <w:pStyle w:val="BodyText"/>
        <w:rPr>
          <w:lang w:val="en-CA"/>
        </w:rPr>
      </w:pPr>
      <w:r w:rsidRPr="008C0D99">
        <w:rPr>
          <w:lang w:val="en-CA"/>
        </w:rPr>
        <w:t xml:space="preserve">Riley, Christopher, et Phil Dolling. 2009. </w:t>
      </w:r>
      <w:r w:rsidRPr="008C0D99">
        <w:rPr>
          <w:i/>
          <w:iCs/>
          <w:lang w:val="en-CA"/>
        </w:rPr>
        <w:t>Apollo 11 Manual: An Insight into the Hardware from the First Manned Mission to Land on the Moon</w:t>
      </w:r>
      <w:r w:rsidRPr="008C0D99">
        <w:rPr>
          <w:lang w:val="en-CA"/>
        </w:rPr>
        <w:t xml:space="preserve">. </w:t>
      </w:r>
      <w:r w:rsidR="009D0EAD">
        <w:rPr>
          <w:lang w:val="en-CA"/>
        </w:rPr>
        <w:t>Réimpression</w:t>
      </w:r>
      <w:r w:rsidRPr="008C0D99">
        <w:rPr>
          <w:lang w:val="en-CA"/>
        </w:rPr>
        <w:t>. Sparkford : J H Haynes &amp; Co Ltd.</w:t>
      </w:r>
    </w:p>
    <w:p w14:paraId="3D750420" w14:textId="77777777" w:rsidR="0084489F" w:rsidRPr="008C0D99" w:rsidRDefault="00110FE6">
      <w:pPr>
        <w:pStyle w:val="BodyText"/>
        <w:rPr>
          <w:lang w:val="en-CA"/>
        </w:rPr>
      </w:pPr>
      <w:r w:rsidRPr="008C0D99">
        <w:rPr>
          <w:lang w:val="en-CA"/>
        </w:rPr>
        <w:t xml:space="preserve">River, Charles. 2016. </w:t>
      </w:r>
      <w:r w:rsidRPr="008C0D99">
        <w:rPr>
          <w:i/>
          <w:iCs/>
          <w:lang w:val="en-CA"/>
        </w:rPr>
        <w:t>Nineveh: The History and Legacy of the Ancient Assyrian Capital</w:t>
      </w:r>
      <w:r w:rsidRPr="008C0D99">
        <w:rPr>
          <w:lang w:val="en-CA"/>
        </w:rPr>
        <w:t>. CreateSpace Independent Publishing Platform.</w:t>
      </w:r>
    </w:p>
    <w:p w14:paraId="4D2C0A52" w14:textId="774FA190" w:rsidR="0084489F" w:rsidRPr="008C0D99" w:rsidRDefault="00110FE6">
      <w:pPr>
        <w:pStyle w:val="BodyText"/>
        <w:rPr>
          <w:lang w:val="en-CA"/>
        </w:rPr>
      </w:pPr>
      <w:r w:rsidRPr="008C0D99">
        <w:rPr>
          <w:lang w:val="en-CA"/>
        </w:rPr>
        <w:t xml:space="preserve">Robinson, John Martin. 2000. </w:t>
      </w:r>
      <w:r w:rsidRPr="008C0D99">
        <w:rPr>
          <w:i/>
          <w:iCs/>
          <w:lang w:val="en-CA"/>
        </w:rPr>
        <w:t>Buckingham Palace: The Official Illustrated History</w:t>
      </w:r>
      <w:r w:rsidRPr="008C0D99">
        <w:rPr>
          <w:lang w:val="en-CA"/>
        </w:rPr>
        <w:t xml:space="preserve">. </w:t>
      </w:r>
      <w:r w:rsidR="00313A65">
        <w:rPr>
          <w:lang w:val="en-CA"/>
        </w:rPr>
        <w:t>Première édition</w:t>
      </w:r>
      <w:r w:rsidRPr="008C0D99">
        <w:rPr>
          <w:lang w:val="en-CA"/>
        </w:rPr>
        <w:t>. London : Royal Collection Trust.</w:t>
      </w:r>
    </w:p>
    <w:p w14:paraId="2D94BA04" w14:textId="77777777" w:rsidR="0084489F" w:rsidRPr="008C0D99" w:rsidRDefault="00110FE6">
      <w:pPr>
        <w:pStyle w:val="BodyText"/>
        <w:rPr>
          <w:lang w:val="en-CA"/>
        </w:rPr>
      </w:pPr>
      <w:r w:rsidRPr="008C0D99">
        <w:rPr>
          <w:lang w:val="en-CA"/>
        </w:rPr>
        <w:t xml:space="preserve">Rolt, L. T. C. 1971. </w:t>
      </w:r>
      <w:r w:rsidRPr="008C0D99">
        <w:rPr>
          <w:i/>
          <w:iCs/>
          <w:lang w:val="en-CA"/>
        </w:rPr>
        <w:t>The railway museum, York.</w:t>
      </w:r>
      <w:r w:rsidRPr="008C0D99">
        <w:rPr>
          <w:lang w:val="en-CA"/>
        </w:rPr>
        <w:t xml:space="preserve"> British Railways Board.</w:t>
      </w:r>
    </w:p>
    <w:p w14:paraId="3DB0F735" w14:textId="77777777" w:rsidR="0084489F" w:rsidRPr="008C0D99" w:rsidRDefault="00110FE6">
      <w:pPr>
        <w:pStyle w:val="BodyText"/>
        <w:rPr>
          <w:lang w:val="en-CA"/>
        </w:rPr>
      </w:pPr>
      <w:r w:rsidRPr="008C0D99">
        <w:rPr>
          <w:lang w:val="en-CA"/>
        </w:rPr>
        <w:t xml:space="preserve">Rose, Harold, Hendrik S. Houthakker, William J. McDonough, et Geoffrey Maynard. 1978. </w:t>
      </w:r>
      <w:r w:rsidRPr="008C0D99">
        <w:rPr>
          <w:i/>
          <w:iCs/>
          <w:lang w:val="en-CA"/>
        </w:rPr>
        <w:t>The US dollar and its role as a reserve currency</w:t>
      </w:r>
      <w:r w:rsidRPr="008C0D99">
        <w:rPr>
          <w:lang w:val="en-CA"/>
        </w:rPr>
        <w:t>. British-North American Research Association.</w:t>
      </w:r>
    </w:p>
    <w:p w14:paraId="4908783B" w14:textId="77777777" w:rsidR="0084489F" w:rsidRPr="008C0D99" w:rsidRDefault="00110FE6">
      <w:pPr>
        <w:pStyle w:val="BodyText"/>
        <w:rPr>
          <w:lang w:val="en-CA"/>
        </w:rPr>
      </w:pPr>
      <w:r w:rsidRPr="008C0D99">
        <w:rPr>
          <w:lang w:val="en-CA"/>
        </w:rPr>
        <w:t xml:space="preserve">Scarratt, Kenneth, et Russell Shor. 2006. « The Cullinian Diamond Centennial: A history and Gemological Analysis of Cullinians ». </w:t>
      </w:r>
      <w:r w:rsidRPr="008C0D99">
        <w:rPr>
          <w:i/>
          <w:iCs/>
          <w:lang w:val="en-CA"/>
        </w:rPr>
        <w:t>Gems &amp; Gemology</w:t>
      </w:r>
      <w:r w:rsidRPr="008C0D99">
        <w:rPr>
          <w:lang w:val="en-CA"/>
        </w:rPr>
        <w:t xml:space="preserve"> 42 (2) : 120‑32.</w:t>
      </w:r>
    </w:p>
    <w:p w14:paraId="64F95050" w14:textId="77777777" w:rsidR="0084489F" w:rsidRPr="008C0D99" w:rsidRDefault="00110FE6">
      <w:pPr>
        <w:pStyle w:val="BodyText"/>
        <w:rPr>
          <w:lang w:val="en-CA"/>
        </w:rPr>
      </w:pPr>
      <w:r w:rsidRPr="008C0D99">
        <w:rPr>
          <w:lang w:val="en-CA"/>
        </w:rPr>
        <w:t xml:space="preserve">Shaw, Ian. 2000. </w:t>
      </w:r>
      <w:r w:rsidRPr="008C0D99">
        <w:rPr>
          <w:i/>
          <w:iCs/>
          <w:lang w:val="en-CA"/>
        </w:rPr>
        <w:t>The Oxford history of ancient Egypt</w:t>
      </w:r>
      <w:r w:rsidRPr="008C0D99">
        <w:rPr>
          <w:lang w:val="en-CA"/>
        </w:rPr>
        <w:t>. Oxford; New York : Oxford University Press.</w:t>
      </w:r>
    </w:p>
    <w:p w14:paraId="4B8B07F2" w14:textId="77777777" w:rsidR="0084489F" w:rsidRPr="008C0D99" w:rsidRDefault="00110FE6">
      <w:pPr>
        <w:pStyle w:val="BodyText"/>
        <w:rPr>
          <w:lang w:val="en-CA"/>
        </w:rPr>
      </w:pPr>
      <w:r w:rsidRPr="008C0D99">
        <w:rPr>
          <w:lang w:val="en-CA"/>
        </w:rPr>
        <w:t xml:space="preserve">Shipway, J. S., SIR T. BOUCH, B. BAKER, et SIR J. FOWLER. 1990. « The Forth Railway Bridge Centenary 1880-1990: Some Notes on its Design ». </w:t>
      </w:r>
      <w:r w:rsidRPr="008C0D99">
        <w:rPr>
          <w:i/>
          <w:iCs/>
          <w:lang w:val="en-CA"/>
        </w:rPr>
        <w:t>Proceedings of the Institution of Civil Engineers</w:t>
      </w:r>
      <w:r w:rsidRPr="008C0D99">
        <w:rPr>
          <w:lang w:val="en-CA"/>
        </w:rPr>
        <w:t xml:space="preserve"> 88 (6) : 1079‑1107.</w:t>
      </w:r>
    </w:p>
    <w:p w14:paraId="2FBCA48F" w14:textId="77777777" w:rsidR="0084489F" w:rsidRPr="008C0D99" w:rsidRDefault="00110FE6">
      <w:pPr>
        <w:pStyle w:val="BodyText"/>
        <w:rPr>
          <w:lang w:val="en-CA"/>
        </w:rPr>
      </w:pPr>
      <w:r w:rsidRPr="008C0D99">
        <w:rPr>
          <w:lang w:val="en-CA"/>
        </w:rPr>
        <w:t xml:space="preserve">Siegler, M. A., et S. E. Smrekar. 2014. « Lunar heat flow: Regional prospective of the Apollo landing sites ». </w:t>
      </w:r>
      <w:r w:rsidRPr="008C0D99">
        <w:rPr>
          <w:i/>
          <w:iCs/>
          <w:lang w:val="en-CA"/>
        </w:rPr>
        <w:t>Journal of Geophysical Research: Planets</w:t>
      </w:r>
      <w:r w:rsidRPr="008C0D99">
        <w:rPr>
          <w:lang w:val="en-CA"/>
        </w:rPr>
        <w:t xml:space="preserve"> 119 (1) : 47‑63.</w:t>
      </w:r>
    </w:p>
    <w:p w14:paraId="7301CD06" w14:textId="77777777" w:rsidR="0084489F" w:rsidRPr="008C0D99" w:rsidRDefault="00110FE6">
      <w:pPr>
        <w:pStyle w:val="BodyText"/>
        <w:rPr>
          <w:lang w:val="en-CA"/>
        </w:rPr>
      </w:pPr>
      <w:r w:rsidRPr="008C0D99">
        <w:rPr>
          <w:lang w:val="en-CA"/>
        </w:rPr>
        <w:t xml:space="preserve">Simpson, John, et Edmund Weiner. 1989. </w:t>
      </w:r>
      <w:r w:rsidRPr="008C0D99">
        <w:rPr>
          <w:i/>
          <w:iCs/>
          <w:lang w:val="en-CA"/>
        </w:rPr>
        <w:t>The Oxford English Dictionary: 20 Volume Set</w:t>
      </w:r>
      <w:r w:rsidRPr="008C0D99">
        <w:rPr>
          <w:lang w:val="en-CA"/>
        </w:rPr>
        <w:t>. 2</w:t>
      </w:r>
      <w:r w:rsidRPr="008C0D99">
        <w:rPr>
          <w:vertAlign w:val="superscript"/>
          <w:lang w:val="en-CA"/>
        </w:rPr>
        <w:t>e</w:t>
      </w:r>
      <w:r w:rsidRPr="008C0D99">
        <w:rPr>
          <w:lang w:val="en-CA"/>
        </w:rPr>
        <w:t xml:space="preserve"> éd. Oxford, New York : Oxford University Press.</w:t>
      </w:r>
    </w:p>
    <w:p w14:paraId="27235F89" w14:textId="77777777" w:rsidR="0084489F" w:rsidRPr="008C0D99" w:rsidRDefault="00110FE6">
      <w:pPr>
        <w:pStyle w:val="BodyText"/>
        <w:rPr>
          <w:lang w:val="en-CA"/>
        </w:rPr>
      </w:pPr>
      <w:r w:rsidRPr="008C0D99">
        <w:rPr>
          <w:lang w:val="en-CA"/>
        </w:rPr>
        <w:t xml:space="preserve">Sinkevičius, Stanislovas, et Vytautas Naruševičius. 2002. « Investigation of anaphase aberrations in Chaffinch (Fringilla coelebs Linnaeus, 1758) populations from different regions of Lithuania ». </w:t>
      </w:r>
      <w:r w:rsidRPr="008C0D99">
        <w:rPr>
          <w:i/>
          <w:iCs/>
          <w:lang w:val="en-CA"/>
        </w:rPr>
        <w:t>Acta zoologica Lituanica</w:t>
      </w:r>
      <w:r w:rsidRPr="008C0D99">
        <w:rPr>
          <w:lang w:val="en-CA"/>
        </w:rPr>
        <w:t xml:space="preserve"> 12 (1) : 3‑9.</w:t>
      </w:r>
    </w:p>
    <w:p w14:paraId="1314C418" w14:textId="77777777" w:rsidR="0084489F" w:rsidRPr="008C0D99" w:rsidRDefault="00110FE6">
      <w:pPr>
        <w:pStyle w:val="BodyText"/>
        <w:rPr>
          <w:lang w:val="en-CA"/>
        </w:rPr>
      </w:pPr>
      <w:r w:rsidRPr="008C0D99">
        <w:rPr>
          <w:lang w:val="en-CA"/>
        </w:rPr>
        <w:t xml:space="preserve">Sitwell, S. 2017. </w:t>
      </w:r>
      <w:r w:rsidRPr="008C0D99">
        <w:rPr>
          <w:i/>
          <w:iCs/>
          <w:lang w:val="en-CA"/>
        </w:rPr>
        <w:t>Mozart</w:t>
      </w:r>
      <w:r w:rsidRPr="008C0D99">
        <w:rPr>
          <w:lang w:val="en-CA"/>
        </w:rPr>
        <w:t>. London : Bello.</w:t>
      </w:r>
    </w:p>
    <w:p w14:paraId="1EB37E79" w14:textId="77777777" w:rsidR="0084489F" w:rsidRPr="008C0D99" w:rsidRDefault="00110FE6">
      <w:pPr>
        <w:pStyle w:val="BodyText"/>
        <w:rPr>
          <w:lang w:val="en-CA"/>
        </w:rPr>
      </w:pPr>
      <w:r w:rsidRPr="008C0D99">
        <w:rPr>
          <w:lang w:val="en-CA"/>
        </w:rPr>
        <w:t xml:space="preserve">Smith, Barry, et Achille C. Varzi. 2000. « Fiat and bona fide boundaries ». </w:t>
      </w:r>
      <w:r w:rsidRPr="008C0D99">
        <w:rPr>
          <w:i/>
          <w:iCs/>
          <w:lang w:val="en-CA"/>
        </w:rPr>
        <w:t>Philosophical and phenomenological research</w:t>
      </w:r>
      <w:r w:rsidRPr="008C0D99">
        <w:rPr>
          <w:lang w:val="en-CA"/>
        </w:rPr>
        <w:t>, 401‑20.</w:t>
      </w:r>
    </w:p>
    <w:p w14:paraId="6707B2CF" w14:textId="77777777" w:rsidR="0084489F" w:rsidRPr="008C0D99" w:rsidRDefault="00110FE6">
      <w:pPr>
        <w:pStyle w:val="BodyText"/>
        <w:rPr>
          <w:lang w:val="en-CA"/>
        </w:rPr>
      </w:pPr>
      <w:r w:rsidRPr="008C0D99">
        <w:rPr>
          <w:lang w:val="en-CA"/>
        </w:rPr>
        <w:t xml:space="preserve">Smith, William. 1844. </w:t>
      </w:r>
      <w:r w:rsidRPr="008C0D99">
        <w:rPr>
          <w:i/>
          <w:iCs/>
          <w:lang w:val="en-CA"/>
        </w:rPr>
        <w:t>Dictionary of Greek and Roman biography and mythology.</w:t>
      </w:r>
      <w:r w:rsidRPr="008C0D99">
        <w:rPr>
          <w:lang w:val="en-CA"/>
        </w:rPr>
        <w:t xml:space="preserve"> London : Taylor and Walton.</w:t>
      </w:r>
    </w:p>
    <w:p w14:paraId="2D639AA6" w14:textId="77777777" w:rsidR="0084489F" w:rsidRPr="008C0D99" w:rsidRDefault="00110FE6">
      <w:pPr>
        <w:pStyle w:val="BodyText"/>
        <w:rPr>
          <w:lang w:val="en-CA"/>
        </w:rPr>
      </w:pPr>
      <w:r w:rsidRPr="008C0D99">
        <w:rPr>
          <w:lang w:val="en-CA"/>
        </w:rPr>
        <w:t xml:space="preserve">Solomon, Brian. 2003. </w:t>
      </w:r>
      <w:r w:rsidRPr="008C0D99">
        <w:rPr>
          <w:i/>
          <w:iCs/>
          <w:lang w:val="en-CA"/>
        </w:rPr>
        <w:t>Railway Masterpieces</w:t>
      </w:r>
      <w:r w:rsidRPr="008C0D99">
        <w:rPr>
          <w:lang w:val="en-CA"/>
        </w:rPr>
        <w:t>. David &amp; Charles.</w:t>
      </w:r>
    </w:p>
    <w:p w14:paraId="613097E9" w14:textId="77777777" w:rsidR="0084489F" w:rsidRPr="008C0D99" w:rsidRDefault="00110FE6">
      <w:pPr>
        <w:pStyle w:val="BodyText"/>
        <w:rPr>
          <w:lang w:val="en-CA"/>
        </w:rPr>
      </w:pPr>
      <w:r>
        <w:t xml:space="preserve">Spiers, A, et Gabriel Surenne. </w:t>
      </w:r>
      <w:r w:rsidRPr="008C0D99">
        <w:rPr>
          <w:lang w:val="en-CA"/>
        </w:rPr>
        <w:t xml:space="preserve">1854. </w:t>
      </w:r>
      <w:r w:rsidRPr="008C0D99">
        <w:rPr>
          <w:i/>
          <w:iCs/>
          <w:lang w:val="en-CA"/>
        </w:rPr>
        <w:t>The standard pronouncing dictionary of the French and English languages</w:t>
      </w:r>
      <w:r w:rsidRPr="008C0D99">
        <w:rPr>
          <w:lang w:val="en-CA"/>
        </w:rPr>
        <w:t>. New York : Appleton.</w:t>
      </w:r>
    </w:p>
    <w:p w14:paraId="2040BC09" w14:textId="77777777" w:rsidR="0084489F" w:rsidRPr="008C0D99" w:rsidRDefault="00110FE6">
      <w:pPr>
        <w:pStyle w:val="BodyText"/>
        <w:rPr>
          <w:lang w:val="en-CA"/>
        </w:rPr>
      </w:pPr>
      <w:r w:rsidRPr="008C0D99">
        <w:rPr>
          <w:lang w:val="en-CA"/>
        </w:rPr>
        <w:t xml:space="preserve">Steinbeck, John. 2000. </w:t>
      </w:r>
      <w:r w:rsidRPr="008C0D99">
        <w:rPr>
          <w:i/>
          <w:iCs/>
          <w:lang w:val="en-CA"/>
        </w:rPr>
        <w:t>Log from the Sea of Cortez</w:t>
      </w:r>
      <w:r w:rsidRPr="008C0D99">
        <w:rPr>
          <w:lang w:val="en-CA"/>
        </w:rPr>
        <w:t>. London : Penguin.</w:t>
      </w:r>
    </w:p>
    <w:p w14:paraId="6E7A5871" w14:textId="77777777" w:rsidR="0084489F" w:rsidRPr="008C0D99" w:rsidRDefault="00110FE6">
      <w:pPr>
        <w:pStyle w:val="BodyText"/>
        <w:rPr>
          <w:lang w:val="en-CA"/>
        </w:rPr>
      </w:pPr>
      <w:r w:rsidRPr="008C0D99">
        <w:rPr>
          <w:lang w:val="en-CA"/>
        </w:rPr>
        <w:t xml:space="preserve">Stevenson, Robert Louis, William Morrison, et William W Mann. 1909. </w:t>
      </w:r>
      <w:r w:rsidRPr="008C0D99">
        <w:rPr>
          <w:i/>
          <w:iCs/>
          <w:lang w:val="en-CA"/>
        </w:rPr>
        <w:t>Doktoro Jekyll kaj Sinjoro Hyde</w:t>
      </w:r>
      <w:r w:rsidRPr="008C0D99">
        <w:rPr>
          <w:lang w:val="en-CA"/>
        </w:rPr>
        <w:t>. London : The British Esperanto Association.</w:t>
      </w:r>
    </w:p>
    <w:p w14:paraId="669FE993" w14:textId="77777777" w:rsidR="0084489F" w:rsidRPr="008C0D99" w:rsidRDefault="00110FE6">
      <w:pPr>
        <w:pStyle w:val="BodyText"/>
        <w:rPr>
          <w:lang w:val="en-CA"/>
        </w:rPr>
      </w:pPr>
      <w:r w:rsidRPr="008C0D99">
        <w:rPr>
          <w:lang w:val="en-CA"/>
        </w:rPr>
        <w:t xml:space="preserve">Stoneman, Richard. 2004. </w:t>
      </w:r>
      <w:r w:rsidRPr="008C0D99">
        <w:rPr>
          <w:i/>
          <w:iCs/>
          <w:lang w:val="en-CA"/>
        </w:rPr>
        <w:t>Alexander the Great</w:t>
      </w:r>
      <w:r w:rsidRPr="008C0D99">
        <w:rPr>
          <w:lang w:val="en-CA"/>
        </w:rPr>
        <w:t>. London; New York : Routledge.</w:t>
      </w:r>
    </w:p>
    <w:p w14:paraId="1FD0966E" w14:textId="77777777" w:rsidR="0084489F" w:rsidRPr="008C0D99" w:rsidRDefault="00110FE6">
      <w:pPr>
        <w:pStyle w:val="BodyText"/>
        <w:rPr>
          <w:lang w:val="en-CA"/>
        </w:rPr>
      </w:pPr>
      <w:r w:rsidRPr="0060792A">
        <w:rPr>
          <w:lang w:val="en-US"/>
        </w:rPr>
        <w:t xml:space="preserve">Strano, T. 1953. </w:t>
      </w:r>
      <w:r w:rsidRPr="0060792A">
        <w:rPr>
          <w:i/>
          <w:iCs/>
          <w:lang w:val="en-US"/>
        </w:rPr>
        <w:t>Leonard da Vinci</w:t>
      </w:r>
      <w:r w:rsidRPr="0060792A">
        <w:rPr>
          <w:lang w:val="en-US"/>
        </w:rPr>
        <w:t xml:space="preserve">. </w:t>
      </w:r>
      <w:r w:rsidRPr="008C0D99">
        <w:rPr>
          <w:lang w:val="en-CA"/>
        </w:rPr>
        <w:t>Milano.</w:t>
      </w:r>
    </w:p>
    <w:p w14:paraId="2027AE43" w14:textId="77777777" w:rsidR="0084489F" w:rsidRPr="008C0D99" w:rsidRDefault="00110FE6">
      <w:pPr>
        <w:pStyle w:val="BodyText"/>
        <w:rPr>
          <w:lang w:val="en-CA"/>
        </w:rPr>
      </w:pPr>
      <w:r w:rsidRPr="008C0D99">
        <w:rPr>
          <w:lang w:val="en-CA"/>
        </w:rPr>
        <w:t xml:space="preserve">Strauss, Walter L. 1974. </w:t>
      </w:r>
      <w:r w:rsidRPr="008C0D99">
        <w:rPr>
          <w:i/>
          <w:iCs/>
          <w:lang w:val="en-CA"/>
        </w:rPr>
        <w:t>The Complete Drawings of Albrecht Dürer: 1520-1528</w:t>
      </w:r>
      <w:r w:rsidRPr="008C0D99">
        <w:rPr>
          <w:lang w:val="en-CA"/>
        </w:rPr>
        <w:t>. Vol. 4. Abaris Books.</w:t>
      </w:r>
    </w:p>
    <w:p w14:paraId="2D5511F0" w14:textId="77777777" w:rsidR="0084489F" w:rsidRPr="008C0D99" w:rsidRDefault="00110FE6">
      <w:pPr>
        <w:pStyle w:val="BodyText"/>
        <w:rPr>
          <w:lang w:val="en-CA"/>
        </w:rPr>
      </w:pPr>
      <w:r w:rsidRPr="008C0D99">
        <w:rPr>
          <w:lang w:val="en-CA"/>
        </w:rPr>
        <w:t xml:space="preserve">Strong, Roy. 2005. </w:t>
      </w:r>
      <w:r w:rsidRPr="008C0D99">
        <w:rPr>
          <w:i/>
          <w:iCs/>
          <w:lang w:val="en-CA"/>
        </w:rPr>
        <w:t>Coronation: a history of kingship and the British monarchy</w:t>
      </w:r>
      <w:r w:rsidRPr="008C0D99">
        <w:rPr>
          <w:lang w:val="en-CA"/>
        </w:rPr>
        <w:t>. Harpercollins Pub Limited.</w:t>
      </w:r>
    </w:p>
    <w:p w14:paraId="339DF69C" w14:textId="77777777" w:rsidR="0084489F" w:rsidRDefault="00110FE6">
      <w:pPr>
        <w:pStyle w:val="BodyText"/>
      </w:pPr>
      <w:r w:rsidRPr="008C0D99">
        <w:rPr>
          <w:lang w:val="en-CA"/>
        </w:rPr>
        <w:t xml:space="preserve">Sugao, Tamotsu. 2020. « Construction of massive seawall completed in Shizuoka ». </w:t>
      </w:r>
      <w:r>
        <w:rPr>
          <w:i/>
          <w:iCs/>
        </w:rPr>
        <w:t>The Asahi Shimbun</w:t>
      </w:r>
      <w:r>
        <w:t xml:space="preserve">, 30 mars 2020. </w:t>
      </w:r>
      <w:hyperlink r:id="rId376">
        <w:r>
          <w:rPr>
            <w:rStyle w:val="Hyperlink"/>
          </w:rPr>
          <w:t>https://www.asahi.com/ajw/articles/13257178</w:t>
        </w:r>
      </w:hyperlink>
      <w:r>
        <w:t>.</w:t>
      </w:r>
    </w:p>
    <w:p w14:paraId="4E0A9104" w14:textId="77777777" w:rsidR="0084489F" w:rsidRPr="008C0D99" w:rsidRDefault="00110FE6">
      <w:pPr>
        <w:pStyle w:val="BodyText"/>
        <w:rPr>
          <w:lang w:val="en-CA"/>
        </w:rPr>
      </w:pPr>
      <w:r w:rsidRPr="008C0D99">
        <w:rPr>
          <w:lang w:val="en-CA"/>
        </w:rPr>
        <w:t xml:space="preserve">Syrmas, A. 1896. </w:t>
      </w:r>
      <w:r w:rsidRPr="008C0D99">
        <w:rPr>
          <w:i/>
          <w:iCs/>
          <w:lang w:val="en-CA"/>
        </w:rPr>
        <w:t>Account Book of ship D.S.Skyliytsis 28/9/1895-19/10/1896 Captain A.Syrmas</w:t>
      </w:r>
      <w:r w:rsidRPr="008C0D99">
        <w:rPr>
          <w:lang w:val="en-CA"/>
        </w:rPr>
        <w:t>. Vol. 5.</w:t>
      </w:r>
    </w:p>
    <w:p w14:paraId="066A3833" w14:textId="77777777" w:rsidR="0084489F" w:rsidRPr="008C0D99" w:rsidRDefault="00110FE6">
      <w:pPr>
        <w:pStyle w:val="BodyText"/>
        <w:rPr>
          <w:lang w:val="en-CA"/>
        </w:rPr>
      </w:pPr>
      <w:r w:rsidRPr="008C0D99">
        <w:rPr>
          <w:lang w:val="en-CA"/>
        </w:rPr>
        <w:t xml:space="preserve">Temperton, Paul. 1997. </w:t>
      </w:r>
      <w:r w:rsidRPr="008C0D99">
        <w:rPr>
          <w:i/>
          <w:iCs/>
          <w:lang w:val="en-CA"/>
        </w:rPr>
        <w:t>The euro</w:t>
      </w:r>
      <w:r w:rsidRPr="008C0D99">
        <w:rPr>
          <w:lang w:val="en-CA"/>
        </w:rPr>
        <w:t>. Chichester : Wiley.</w:t>
      </w:r>
    </w:p>
    <w:p w14:paraId="33FAA5AA" w14:textId="77777777" w:rsidR="0084489F" w:rsidRPr="008C0D99" w:rsidRDefault="00110FE6">
      <w:pPr>
        <w:pStyle w:val="BodyText"/>
        <w:rPr>
          <w:lang w:val="en-CA"/>
        </w:rPr>
      </w:pPr>
      <w:r w:rsidRPr="0060792A">
        <w:rPr>
          <w:lang w:val="fr-CA"/>
        </w:rPr>
        <w:t xml:space="preserve">Temple, Robert, et Olivia Temple. </w:t>
      </w:r>
      <w:r w:rsidRPr="008C0D99">
        <w:rPr>
          <w:lang w:val="en-CA"/>
        </w:rPr>
        <w:t xml:space="preserve">2009. </w:t>
      </w:r>
      <w:r w:rsidRPr="008C0D99">
        <w:rPr>
          <w:i/>
          <w:iCs/>
          <w:lang w:val="en-CA"/>
        </w:rPr>
        <w:t>The Sphinx Mystery: The Forgotten Origins of the Sanctuary of Anubis</w:t>
      </w:r>
      <w:r w:rsidRPr="008C0D99">
        <w:rPr>
          <w:lang w:val="en-CA"/>
        </w:rPr>
        <w:t>. Rochester, Vt : Inner Traditions.</w:t>
      </w:r>
    </w:p>
    <w:p w14:paraId="31B239E2" w14:textId="77777777" w:rsidR="0084489F" w:rsidRDefault="00110FE6">
      <w:pPr>
        <w:pStyle w:val="BodyText"/>
      </w:pPr>
      <w:r w:rsidRPr="008C0D99">
        <w:rPr>
          <w:lang w:val="en-CA"/>
        </w:rPr>
        <w:t xml:space="preserve">The Editors of Encyclopaedia Britannica. 1998. « Adoration of the shepherds ». </w:t>
      </w:r>
      <w:r w:rsidRPr="0060792A">
        <w:rPr>
          <w:lang w:val="fr-CA"/>
        </w:rPr>
        <w:t xml:space="preserve">Dans </w:t>
      </w:r>
      <w:r w:rsidRPr="0060792A">
        <w:rPr>
          <w:i/>
          <w:iCs/>
          <w:lang w:val="fr-CA"/>
        </w:rPr>
        <w:t>Encyclopedia Britannica</w:t>
      </w:r>
      <w:r w:rsidRPr="0060792A">
        <w:rPr>
          <w:lang w:val="fr-CA"/>
        </w:rPr>
        <w:t xml:space="preserve">. </w:t>
      </w:r>
      <w:r>
        <w:t xml:space="preserve">Consulté le 1998. </w:t>
      </w:r>
      <w:hyperlink r:id="rId377">
        <w:r>
          <w:rPr>
            <w:rStyle w:val="Hyperlink"/>
          </w:rPr>
          <w:t>https://www.britannica.com/topic/adoration-of-the-shepherds-religious-motif</w:t>
        </w:r>
      </w:hyperlink>
      <w:r>
        <w:t>.</w:t>
      </w:r>
    </w:p>
    <w:p w14:paraId="1D6365C0" w14:textId="77777777" w:rsidR="0084489F" w:rsidRPr="008C0D99" w:rsidRDefault="00110FE6">
      <w:pPr>
        <w:pStyle w:val="BodyText"/>
        <w:rPr>
          <w:lang w:val="en-CA"/>
        </w:rPr>
      </w:pPr>
      <w:r w:rsidRPr="008C0D99">
        <w:rPr>
          <w:lang w:val="en-CA"/>
        </w:rPr>
        <w:t xml:space="preserve">Thieberger, F. 1947. </w:t>
      </w:r>
      <w:r w:rsidRPr="008C0D99">
        <w:rPr>
          <w:i/>
          <w:iCs/>
          <w:lang w:val="en-CA"/>
        </w:rPr>
        <w:t>King Solomon</w:t>
      </w:r>
      <w:r w:rsidRPr="008C0D99">
        <w:rPr>
          <w:lang w:val="en-CA"/>
        </w:rPr>
        <w:t>. Oxford.</w:t>
      </w:r>
    </w:p>
    <w:p w14:paraId="094337A4" w14:textId="77777777" w:rsidR="0084489F" w:rsidRDefault="00110FE6">
      <w:pPr>
        <w:pStyle w:val="BodyText"/>
      </w:pPr>
      <w:r w:rsidRPr="008C0D99">
        <w:rPr>
          <w:lang w:val="en-CA"/>
        </w:rPr>
        <w:t xml:space="preserve">Thomas, John. 1972. </w:t>
      </w:r>
      <w:r w:rsidRPr="008C0D99">
        <w:rPr>
          <w:i/>
          <w:iCs/>
          <w:lang w:val="en-CA"/>
        </w:rPr>
        <w:t>The Tay Bridge disaster: new light on the 1879 tragedy</w:t>
      </w:r>
      <w:r w:rsidRPr="008C0D99">
        <w:rPr>
          <w:lang w:val="en-CA"/>
        </w:rPr>
        <w:t xml:space="preserve">. </w:t>
      </w:r>
      <w:r>
        <w:t>Douglas David &amp; Charles.</w:t>
      </w:r>
    </w:p>
    <w:p w14:paraId="72BA4D97" w14:textId="77777777" w:rsidR="0084489F" w:rsidRPr="008C0D99" w:rsidRDefault="00110FE6">
      <w:pPr>
        <w:pStyle w:val="BodyText"/>
        <w:rPr>
          <w:lang w:val="en-CA"/>
        </w:rPr>
      </w:pPr>
      <w:r>
        <w:t xml:space="preserve">Tissandier, Gaston. 1889. </w:t>
      </w:r>
      <w:r>
        <w:rPr>
          <w:i/>
          <w:iCs/>
        </w:rPr>
        <w:t>La tour Eiffel de 300 mètres: description du monument, sa construction, ses organes mécaniques, son but et son utilité</w:t>
      </w:r>
      <w:r>
        <w:t xml:space="preserve">. </w:t>
      </w:r>
      <w:r w:rsidRPr="008C0D99">
        <w:rPr>
          <w:lang w:val="en-CA"/>
        </w:rPr>
        <w:t>Paris : G. Masson.</w:t>
      </w:r>
    </w:p>
    <w:p w14:paraId="703F90D7" w14:textId="77777777" w:rsidR="0084489F" w:rsidRPr="008C0D99" w:rsidRDefault="00110FE6">
      <w:pPr>
        <w:pStyle w:val="BodyText"/>
        <w:rPr>
          <w:lang w:val="en-CA"/>
        </w:rPr>
      </w:pPr>
      <w:r w:rsidRPr="008C0D99">
        <w:rPr>
          <w:lang w:val="en-CA"/>
        </w:rPr>
        <w:t xml:space="preserve">Trell, Bluma L. 1945. « The temple of Artemis at Ephesos ». </w:t>
      </w:r>
      <w:r w:rsidRPr="008C0D99">
        <w:rPr>
          <w:i/>
          <w:iCs/>
          <w:lang w:val="en-CA"/>
        </w:rPr>
        <w:t>Numismatic Notes and Monographs</w:t>
      </w:r>
      <w:r w:rsidRPr="008C0D99">
        <w:rPr>
          <w:lang w:val="en-CA"/>
        </w:rPr>
        <w:t>, n</w:t>
      </w:r>
      <w:r w:rsidRPr="008C0D99">
        <w:rPr>
          <w:vertAlign w:val="superscript"/>
          <w:lang w:val="en-CA"/>
        </w:rPr>
        <w:t>o</w:t>
      </w:r>
      <w:r w:rsidRPr="008C0D99">
        <w:rPr>
          <w:lang w:val="en-CA"/>
        </w:rPr>
        <w:t xml:space="preserve"> 107 : ii‑71.</w:t>
      </w:r>
    </w:p>
    <w:p w14:paraId="51A47307" w14:textId="77777777" w:rsidR="0084489F" w:rsidRPr="008C0D99" w:rsidRDefault="00110FE6">
      <w:pPr>
        <w:pStyle w:val="BodyText"/>
        <w:rPr>
          <w:lang w:val="en-CA"/>
        </w:rPr>
      </w:pPr>
      <w:r w:rsidRPr="008C0D99">
        <w:rPr>
          <w:lang w:val="en-CA"/>
        </w:rPr>
        <w:t xml:space="preserve">UN Security Council. 2002. « Resolution 1441 ». Resolution. United Nations Security Council. Consulté le 5 février 2021. </w:t>
      </w:r>
      <w:hyperlink r:id="rId378">
        <w:r w:rsidRPr="008C0D99">
          <w:rPr>
            <w:rStyle w:val="Hyperlink"/>
            <w:lang w:val="en-CA"/>
          </w:rPr>
          <w:t>http://digitallibrary.un.org/record/478123</w:t>
        </w:r>
      </w:hyperlink>
      <w:r w:rsidRPr="008C0D99">
        <w:rPr>
          <w:lang w:val="en-CA"/>
        </w:rPr>
        <w:t>.</w:t>
      </w:r>
    </w:p>
    <w:p w14:paraId="2CDDB52D" w14:textId="77777777" w:rsidR="0084489F" w:rsidRPr="008C0D99" w:rsidRDefault="00110FE6">
      <w:pPr>
        <w:pStyle w:val="BodyText"/>
        <w:rPr>
          <w:lang w:val="en-CA"/>
        </w:rPr>
      </w:pPr>
      <w:r w:rsidRPr="008C0D99">
        <w:rPr>
          <w:lang w:val="en-CA"/>
        </w:rPr>
        <w:t xml:space="preserve">Unger, Harlow Giles. 2015. </w:t>
      </w:r>
      <w:r w:rsidRPr="008C0D99">
        <w:rPr>
          <w:i/>
          <w:iCs/>
          <w:lang w:val="en-CA"/>
        </w:rPr>
        <w:t>Mr. President George Washington and the Making of the Nation’s Highest Office.</w:t>
      </w:r>
      <w:r w:rsidRPr="008C0D99">
        <w:rPr>
          <w:lang w:val="en-CA"/>
        </w:rPr>
        <w:t xml:space="preserve"> Cambridge; New York : Da Capo Press, Incorporated Perseus Books Group [Distributor.</w:t>
      </w:r>
    </w:p>
    <w:p w14:paraId="507C4CD3" w14:textId="77777777" w:rsidR="0084489F" w:rsidRPr="008C0D99" w:rsidRDefault="00110FE6">
      <w:pPr>
        <w:pStyle w:val="BodyText"/>
        <w:rPr>
          <w:lang w:val="en-CA"/>
        </w:rPr>
      </w:pPr>
      <w:r w:rsidRPr="008C0D99">
        <w:rPr>
          <w:lang w:val="en-CA"/>
        </w:rPr>
        <w:t xml:space="preserve">Walberg, Gisela. 1992. « The Finds at Tell el-Dabʿa and Middle Minoan Chronology ». </w:t>
      </w:r>
      <w:r w:rsidRPr="008C0D99">
        <w:rPr>
          <w:i/>
          <w:iCs/>
          <w:lang w:val="en-CA"/>
        </w:rPr>
        <w:t>Ägypten und Levante / Egypt and the Levant</w:t>
      </w:r>
      <w:r w:rsidRPr="008C0D99">
        <w:rPr>
          <w:lang w:val="en-CA"/>
        </w:rPr>
        <w:t xml:space="preserve"> 3 : 157‑59.</w:t>
      </w:r>
    </w:p>
    <w:p w14:paraId="4B9C0D73" w14:textId="77777777" w:rsidR="0084489F" w:rsidRPr="008C0D99" w:rsidRDefault="00110FE6">
      <w:pPr>
        <w:pStyle w:val="BodyText"/>
        <w:rPr>
          <w:lang w:val="en-CA"/>
        </w:rPr>
      </w:pPr>
      <w:r w:rsidRPr="008C0D99">
        <w:rPr>
          <w:lang w:val="en-CA"/>
        </w:rPr>
        <w:t xml:space="preserve">Walker, Mike, Sigfus Johnsen, Sune Olander Rasmussen, Trevor Popp, Jørgen-Peder Steffensen, Phil Gibbard, Wim Hoek, John Lowe, John Andrews, et Svante Björck. 2009. « Formal definition and dating of the GSSP (Global Stratotype Section and Point) for the base of the Holocene using the Greenland NGRIP ice core, and selected auxiliary records ». </w:t>
      </w:r>
      <w:r w:rsidRPr="008C0D99">
        <w:rPr>
          <w:i/>
          <w:iCs/>
          <w:lang w:val="en-CA"/>
        </w:rPr>
        <w:t>Journal of Quaternary Science: Published for the Quaternary Research Association</w:t>
      </w:r>
      <w:r w:rsidRPr="008C0D99">
        <w:rPr>
          <w:lang w:val="en-CA"/>
        </w:rPr>
        <w:t xml:space="preserve"> 24 (1) : 3‑17.</w:t>
      </w:r>
    </w:p>
    <w:p w14:paraId="3CBCC39A" w14:textId="77777777" w:rsidR="0084489F" w:rsidRPr="008C0D99" w:rsidRDefault="00110FE6">
      <w:pPr>
        <w:pStyle w:val="BodyText"/>
        <w:rPr>
          <w:lang w:val="en-CA"/>
        </w:rPr>
      </w:pPr>
      <w:r w:rsidRPr="008C0D99">
        <w:rPr>
          <w:lang w:val="en-CA"/>
        </w:rPr>
        <w:t xml:space="preserve">Walker, Susan et British Museum. 2004. </w:t>
      </w:r>
      <w:r w:rsidRPr="008C0D99">
        <w:rPr>
          <w:i/>
          <w:iCs/>
          <w:lang w:val="en-CA"/>
        </w:rPr>
        <w:t>The Portland vase</w:t>
      </w:r>
      <w:r w:rsidRPr="008C0D99">
        <w:rPr>
          <w:lang w:val="en-CA"/>
        </w:rPr>
        <w:t>. London : British Museum Press.</w:t>
      </w:r>
    </w:p>
    <w:p w14:paraId="30A8C815" w14:textId="77777777" w:rsidR="0084489F" w:rsidRPr="008C0D99" w:rsidRDefault="00110FE6">
      <w:pPr>
        <w:pStyle w:val="BodyText"/>
        <w:rPr>
          <w:lang w:val="en-CA"/>
        </w:rPr>
      </w:pPr>
      <w:r w:rsidRPr="008C0D99">
        <w:rPr>
          <w:lang w:val="en-CA"/>
        </w:rPr>
        <w:t xml:space="preserve">Watrous, L. Vance, Donald Haggis, Krzysztof Nowicki, Natalia Vogeikoff-Brogan, et Maryanne Schultz. 2012. </w:t>
      </w:r>
      <w:r w:rsidRPr="008C0D99">
        <w:rPr>
          <w:i/>
          <w:iCs/>
          <w:lang w:val="en-CA"/>
        </w:rPr>
        <w:t>Archaeological Survey of the Gournia Landscape: A Regional History of the Mirabello Bay, Crete, in Antiquity</w:t>
      </w:r>
      <w:r w:rsidRPr="008C0D99">
        <w:rPr>
          <w:lang w:val="en-CA"/>
        </w:rPr>
        <w:t>. Vol. 37. INSTAP Academic Press (Institute for Aegean Prehistory).</w:t>
      </w:r>
    </w:p>
    <w:p w14:paraId="56109F00" w14:textId="77777777" w:rsidR="0084489F" w:rsidRPr="008C0D99" w:rsidRDefault="00110FE6">
      <w:pPr>
        <w:pStyle w:val="BodyText"/>
        <w:rPr>
          <w:lang w:val="en-CA"/>
        </w:rPr>
      </w:pPr>
      <w:r w:rsidRPr="008C0D99">
        <w:rPr>
          <w:lang w:val="en-CA"/>
        </w:rPr>
        <w:t xml:space="preserve">Watson, Michael John. 1990. « Cluster compounds of gold and the platinum metals. » Ph.D., University of Oxford. </w:t>
      </w:r>
      <w:hyperlink r:id="rId379">
        <w:r w:rsidRPr="008C0D99">
          <w:rPr>
            <w:rStyle w:val="Hyperlink"/>
            <w:lang w:val="en-CA"/>
          </w:rPr>
          <w:t>https://ethos.bl.uk/OrderDetails.do?uin=uk.bl.ethos.279996</w:t>
        </w:r>
      </w:hyperlink>
      <w:r w:rsidRPr="008C0D99">
        <w:rPr>
          <w:lang w:val="en-CA"/>
        </w:rPr>
        <w:t>.</w:t>
      </w:r>
    </w:p>
    <w:p w14:paraId="56B0A6E1" w14:textId="77777777" w:rsidR="0084489F" w:rsidRPr="008C0D99" w:rsidRDefault="00110FE6">
      <w:pPr>
        <w:pStyle w:val="BodyText"/>
        <w:rPr>
          <w:lang w:val="en-CA"/>
        </w:rPr>
      </w:pPr>
      <w:r w:rsidRPr="008C0D99">
        <w:rPr>
          <w:lang w:val="en-CA"/>
        </w:rPr>
        <w:t xml:space="preserve">Wheat, C. 2005. « The Real Queen(s) of Crime ». </w:t>
      </w:r>
      <w:r w:rsidRPr="008C0D99">
        <w:rPr>
          <w:i/>
          <w:iCs/>
          <w:lang w:val="en-CA"/>
        </w:rPr>
        <w:t>CLUES: A Journal of Detection</w:t>
      </w:r>
      <w:r w:rsidRPr="008C0D99">
        <w:rPr>
          <w:lang w:val="en-CA"/>
        </w:rPr>
        <w:t xml:space="preserve"> 23 : 86‑90. </w:t>
      </w:r>
      <w:hyperlink r:id="rId380">
        <w:r w:rsidRPr="008C0D99">
          <w:rPr>
            <w:rStyle w:val="Hyperlink"/>
            <w:lang w:val="en-CA"/>
          </w:rPr>
          <w:t>https://doi.org/doi:10.3200/CLUS.23.4.87-90</w:t>
        </w:r>
      </w:hyperlink>
      <w:r w:rsidRPr="008C0D99">
        <w:rPr>
          <w:lang w:val="en-CA"/>
        </w:rPr>
        <w:t>.</w:t>
      </w:r>
    </w:p>
    <w:p w14:paraId="51FEE472" w14:textId="77777777" w:rsidR="0084489F" w:rsidRPr="008C0D99" w:rsidRDefault="00110FE6">
      <w:pPr>
        <w:pStyle w:val="BodyText"/>
        <w:rPr>
          <w:lang w:val="en-CA"/>
        </w:rPr>
      </w:pPr>
      <w:r w:rsidRPr="008C0D99">
        <w:rPr>
          <w:lang w:val="en-CA"/>
        </w:rPr>
        <w:t xml:space="preserve">Whittington, H. 1964. </w:t>
      </w:r>
      <w:r w:rsidRPr="008C0D99">
        <w:rPr>
          <w:i/>
          <w:iCs/>
          <w:lang w:val="en-CA"/>
        </w:rPr>
        <w:t>The fall of the Roman Empire</w:t>
      </w:r>
      <w:r w:rsidRPr="008C0D99">
        <w:rPr>
          <w:lang w:val="en-CA"/>
        </w:rPr>
        <w:t>. Greenwich, Conn. : Fawcett.</w:t>
      </w:r>
    </w:p>
    <w:p w14:paraId="3A8EDA08" w14:textId="77777777" w:rsidR="0084489F" w:rsidRPr="008C0D99" w:rsidRDefault="00110FE6">
      <w:pPr>
        <w:pStyle w:val="BodyText"/>
        <w:rPr>
          <w:lang w:val="en-CA"/>
        </w:rPr>
      </w:pPr>
      <w:r w:rsidRPr="008C0D99">
        <w:rPr>
          <w:lang w:val="en-CA"/>
        </w:rPr>
        <w:t xml:space="preserve">Wicks, Robert. 2014. </w:t>
      </w:r>
      <w:r w:rsidRPr="008C0D99">
        <w:rPr>
          <w:i/>
          <w:iCs/>
          <w:lang w:val="en-CA"/>
        </w:rPr>
        <w:t>Heathrow Airport Manual: Designing, building and operating the world’s busiest international airport (Haynes Manual) (Airfield Operations Manual) by Robert Wicks (2014) Hardcover</w:t>
      </w:r>
      <w:r w:rsidRPr="008C0D99">
        <w:rPr>
          <w:lang w:val="en-CA"/>
        </w:rPr>
        <w:t>. UK : Haynes Publishing.</w:t>
      </w:r>
    </w:p>
    <w:p w14:paraId="154F3EF9" w14:textId="77777777" w:rsidR="0084489F" w:rsidRDefault="00110FE6">
      <w:pPr>
        <w:pStyle w:val="BodyText"/>
      </w:pPr>
      <w:r w:rsidRPr="008C0D99">
        <w:rPr>
          <w:lang w:val="en-CA"/>
        </w:rPr>
        <w:t xml:space="preserve">Wiencke, Matthew. 1998. « Johann Winckelmann | German art historian ». </w:t>
      </w:r>
      <w:r>
        <w:t xml:space="preserve">Dans </w:t>
      </w:r>
      <w:r>
        <w:rPr>
          <w:i/>
          <w:iCs/>
        </w:rPr>
        <w:t>Encyclopedia Britannica</w:t>
      </w:r>
      <w:r>
        <w:t xml:space="preserve">. Consulté le 1998. </w:t>
      </w:r>
      <w:hyperlink r:id="rId381">
        <w:r>
          <w:rPr>
            <w:rStyle w:val="Hyperlink"/>
          </w:rPr>
          <w:t>https://www.britannica.com/biography/Johann-Joachim-Winckelmann</w:t>
        </w:r>
      </w:hyperlink>
      <w:r>
        <w:t>.</w:t>
      </w:r>
    </w:p>
    <w:p w14:paraId="1C2F96AC" w14:textId="5E12AC7F" w:rsidR="0084489F" w:rsidRDefault="002B076B">
      <w:pPr>
        <w:pStyle w:val="BodyText"/>
      </w:pPr>
      <w:r w:rsidRPr="0060792A">
        <w:rPr>
          <w:lang w:val="fr-CA"/>
        </w:rPr>
        <w:t>Wikipédia</w:t>
      </w:r>
      <w:r w:rsidR="00110FE6" w:rsidRPr="0060792A">
        <w:rPr>
          <w:lang w:val="fr-CA"/>
        </w:rPr>
        <w:t xml:space="preserve">. 2021. « Et in Arcadia ego ». </w:t>
      </w:r>
      <w:r w:rsidR="00110FE6" w:rsidRPr="008D4435">
        <w:rPr>
          <w:lang w:val="fr-CA"/>
        </w:rPr>
        <w:t xml:space="preserve">Dans </w:t>
      </w:r>
      <w:r>
        <w:rPr>
          <w:i/>
          <w:iCs/>
          <w:lang w:val="fr-CA"/>
        </w:rPr>
        <w:t>Wikipédia</w:t>
      </w:r>
      <w:r w:rsidR="00110FE6" w:rsidRPr="008D4435">
        <w:rPr>
          <w:lang w:val="fr-CA"/>
        </w:rPr>
        <w:t xml:space="preserve">. </w:t>
      </w:r>
      <w:r w:rsidR="00110FE6">
        <w:t xml:space="preserve">Consulté le 31 janvier 2021. </w:t>
      </w:r>
      <w:hyperlink r:id="rId382">
        <w:r w:rsidR="00110FE6">
          <w:rPr>
            <w:rStyle w:val="Hyperlink"/>
          </w:rPr>
          <w:t>https://en.wikipedia.org/w/index.php?title=Et_in_Arcadia_ego&amp;oldid=1003943423</w:t>
        </w:r>
      </w:hyperlink>
      <w:r w:rsidR="00110FE6">
        <w:t>.</w:t>
      </w:r>
    </w:p>
    <w:p w14:paraId="68B41182" w14:textId="2B170E64" w:rsidR="0084489F" w:rsidRDefault="00110FE6">
      <w:pPr>
        <w:pStyle w:val="BodyText"/>
      </w:pPr>
      <w:r w:rsidRPr="008C0D99">
        <w:rPr>
          <w:lang w:val="en-CA"/>
        </w:rPr>
        <w:t xml:space="preserve">———. 2022a. « Battle of Hastings ». Dans </w:t>
      </w:r>
      <w:r w:rsidR="002B076B">
        <w:rPr>
          <w:i/>
          <w:iCs/>
          <w:lang w:val="en-CA"/>
        </w:rPr>
        <w:t>Wikipédia</w:t>
      </w:r>
      <w:r w:rsidRPr="008C0D99">
        <w:rPr>
          <w:i/>
          <w:iCs/>
          <w:lang w:val="en-CA"/>
        </w:rPr>
        <w:t>; The Free Encyclopedia</w:t>
      </w:r>
      <w:r w:rsidRPr="008C0D99">
        <w:rPr>
          <w:lang w:val="en-CA"/>
        </w:rPr>
        <w:t xml:space="preserve">. </w:t>
      </w:r>
      <w:r>
        <w:t xml:space="preserve">Consulté le 12 mai 2022. </w:t>
      </w:r>
      <w:hyperlink r:id="rId383">
        <w:r>
          <w:rPr>
            <w:rStyle w:val="Hyperlink"/>
          </w:rPr>
          <w:t>https://en.wikipedia.org/wiki/Battle_of_Hastings</w:t>
        </w:r>
      </w:hyperlink>
      <w:r>
        <w:t>.</w:t>
      </w:r>
    </w:p>
    <w:p w14:paraId="5F109DF0" w14:textId="5EFFE659" w:rsidR="0084489F" w:rsidRDefault="00110FE6">
      <w:pPr>
        <w:pStyle w:val="BodyText"/>
      </w:pPr>
      <w:r w:rsidRPr="008C0D99">
        <w:rPr>
          <w:lang w:val="en-CA"/>
        </w:rPr>
        <w:t xml:space="preserve">———. 2022b. « Battle of the Catalaunian Plains ». Dans </w:t>
      </w:r>
      <w:r w:rsidR="002B076B">
        <w:rPr>
          <w:i/>
          <w:iCs/>
          <w:lang w:val="en-CA"/>
        </w:rPr>
        <w:t>Wikipédia</w:t>
      </w:r>
      <w:r w:rsidRPr="008C0D99">
        <w:rPr>
          <w:i/>
          <w:iCs/>
          <w:lang w:val="en-CA"/>
        </w:rPr>
        <w:t>; The Free Encyclopedia</w:t>
      </w:r>
      <w:r w:rsidRPr="008C0D99">
        <w:rPr>
          <w:lang w:val="en-CA"/>
        </w:rPr>
        <w:t xml:space="preserve">. </w:t>
      </w:r>
      <w:r>
        <w:t xml:space="preserve">Consulté le 19 avril 2022. </w:t>
      </w:r>
      <w:hyperlink r:id="rId384">
        <w:r>
          <w:rPr>
            <w:rStyle w:val="Hyperlink"/>
          </w:rPr>
          <w:t>https://en.wikipedia.org/wiki/Battle_of_the_Catalaunian_Plains</w:t>
        </w:r>
      </w:hyperlink>
      <w:r>
        <w:t>.</w:t>
      </w:r>
    </w:p>
    <w:p w14:paraId="1B87E7BE" w14:textId="77777777" w:rsidR="0084489F" w:rsidRPr="008C0D99" w:rsidRDefault="00110FE6">
      <w:pPr>
        <w:pStyle w:val="BodyText"/>
        <w:rPr>
          <w:lang w:val="en-CA"/>
        </w:rPr>
      </w:pPr>
      <w:r w:rsidRPr="008C0D99">
        <w:rPr>
          <w:lang w:val="en-CA"/>
        </w:rPr>
        <w:t xml:space="preserve">Wildfang, Frederic B. 2005. </w:t>
      </w:r>
      <w:r w:rsidRPr="008C0D99">
        <w:rPr>
          <w:i/>
          <w:iCs/>
          <w:lang w:val="en-CA"/>
        </w:rPr>
        <w:t>Lake Havasu City</w:t>
      </w:r>
      <w:r w:rsidRPr="008C0D99">
        <w:rPr>
          <w:lang w:val="en-CA"/>
        </w:rPr>
        <w:t>. Charleston SC : Arcadia.</w:t>
      </w:r>
    </w:p>
    <w:p w14:paraId="47D2188C" w14:textId="77777777" w:rsidR="0084489F" w:rsidRPr="008C0D99" w:rsidRDefault="00110FE6">
      <w:pPr>
        <w:pStyle w:val="BodyText"/>
        <w:rPr>
          <w:lang w:val="en-CA"/>
        </w:rPr>
      </w:pPr>
      <w:r w:rsidRPr="008C0D99">
        <w:rPr>
          <w:lang w:val="en-CA"/>
        </w:rPr>
        <w:t xml:space="preserve">Williams, A. Susan. 1993. </w:t>
      </w:r>
      <w:r w:rsidRPr="008C0D99">
        <w:rPr>
          <w:i/>
          <w:iCs/>
          <w:lang w:val="en-CA"/>
        </w:rPr>
        <w:t>The Greeks.</w:t>
      </w:r>
      <w:r w:rsidRPr="008C0D99">
        <w:rPr>
          <w:lang w:val="en-CA"/>
        </w:rPr>
        <w:t xml:space="preserve"> Wayland.</w:t>
      </w:r>
    </w:p>
    <w:p w14:paraId="6204995C" w14:textId="77777777" w:rsidR="0084489F" w:rsidRPr="008C0D99" w:rsidRDefault="00110FE6">
      <w:pPr>
        <w:pStyle w:val="BodyText"/>
        <w:rPr>
          <w:lang w:val="en-CA"/>
        </w:rPr>
      </w:pPr>
      <w:r w:rsidRPr="008C0D99">
        <w:rPr>
          <w:lang w:val="en-CA"/>
        </w:rPr>
        <w:t xml:space="preserve">Williams, John. 2020. </w:t>
      </w:r>
      <w:r w:rsidRPr="008C0D99">
        <w:rPr>
          <w:i/>
          <w:iCs/>
          <w:lang w:val="en-CA"/>
        </w:rPr>
        <w:t>Goethe’s Faust</w:t>
      </w:r>
      <w:r w:rsidRPr="008C0D99">
        <w:rPr>
          <w:lang w:val="en-CA"/>
        </w:rPr>
        <w:t xml:space="preserve">. London : Routledge. </w:t>
      </w:r>
      <w:hyperlink r:id="rId385">
        <w:r w:rsidRPr="008C0D99">
          <w:rPr>
            <w:rStyle w:val="Hyperlink"/>
            <w:lang w:val="en-CA"/>
          </w:rPr>
          <w:t>https://doi.org/10.4324/9781003006121</w:t>
        </w:r>
      </w:hyperlink>
      <w:r w:rsidRPr="008C0D99">
        <w:rPr>
          <w:lang w:val="en-CA"/>
        </w:rPr>
        <w:t>.</w:t>
      </w:r>
    </w:p>
    <w:p w14:paraId="657C4AD7" w14:textId="77777777" w:rsidR="0084489F" w:rsidRPr="008C0D99" w:rsidRDefault="00110FE6">
      <w:pPr>
        <w:pStyle w:val="BodyText"/>
        <w:rPr>
          <w:lang w:val="en-CA"/>
        </w:rPr>
      </w:pPr>
      <w:r w:rsidRPr="008C0D99">
        <w:rPr>
          <w:lang w:val="en-CA"/>
        </w:rPr>
        <w:t xml:space="preserve">Willis, Sam. 2010. </w:t>
      </w:r>
      <w:r w:rsidRPr="008C0D99">
        <w:rPr>
          <w:i/>
          <w:iCs/>
          <w:lang w:val="en-CA"/>
        </w:rPr>
        <w:t>The ‘Fighting Temeraire’: Legend of Trafalgar</w:t>
      </w:r>
      <w:r w:rsidRPr="008C0D99">
        <w:rPr>
          <w:lang w:val="en-CA"/>
        </w:rPr>
        <w:t>. London : Quercus.</w:t>
      </w:r>
    </w:p>
    <w:p w14:paraId="6C5013F0" w14:textId="44F619AF" w:rsidR="0084489F" w:rsidRPr="008C0D99" w:rsidRDefault="00110FE6">
      <w:pPr>
        <w:pStyle w:val="BodyText"/>
        <w:rPr>
          <w:lang w:val="en-CA"/>
        </w:rPr>
      </w:pPr>
      <w:r w:rsidRPr="008C0D99">
        <w:rPr>
          <w:lang w:val="en-CA"/>
        </w:rPr>
        <w:t xml:space="preserve">Wilson, Michael. 1994. </w:t>
      </w:r>
      <w:r w:rsidRPr="008C0D99">
        <w:rPr>
          <w:i/>
          <w:iCs/>
          <w:lang w:val="en-CA"/>
        </w:rPr>
        <w:t>The Impressionists</w:t>
      </w:r>
      <w:r w:rsidRPr="008C0D99">
        <w:rPr>
          <w:lang w:val="en-CA"/>
        </w:rPr>
        <w:t xml:space="preserve">. </w:t>
      </w:r>
      <w:r w:rsidR="009D0EAD">
        <w:rPr>
          <w:lang w:val="en-CA"/>
        </w:rPr>
        <w:t>Réimpression</w:t>
      </w:r>
      <w:r w:rsidRPr="008C0D99">
        <w:rPr>
          <w:lang w:val="en-CA"/>
        </w:rPr>
        <w:t>. Oxford England ; New York : [New York] : Phaidon Press.</w:t>
      </w:r>
    </w:p>
    <w:p w14:paraId="5719C55D" w14:textId="77777777" w:rsidR="0084489F" w:rsidRPr="008C0D99" w:rsidRDefault="00110FE6">
      <w:pPr>
        <w:pStyle w:val="BodyText"/>
        <w:rPr>
          <w:lang w:val="en-CA"/>
        </w:rPr>
      </w:pPr>
      <w:r w:rsidRPr="008C0D99">
        <w:rPr>
          <w:lang w:val="en-CA"/>
        </w:rPr>
        <w:t xml:space="preserve">Woelkerling, William J, Gry Gustavsen, et Heidi Elin Myklebost. 2005. </w:t>
      </w:r>
      <w:r w:rsidRPr="008C0D99">
        <w:rPr>
          <w:i/>
          <w:iCs/>
          <w:lang w:val="en-CA"/>
        </w:rPr>
        <w:t>The coralline red algal herbarium of Mikael Foslie: revised catalogue with analyses</w:t>
      </w:r>
      <w:r w:rsidRPr="008C0D99">
        <w:rPr>
          <w:lang w:val="en-CA"/>
        </w:rPr>
        <w:t>. Trondheim : Kgl. Norske videnskabers selskab, Museet.</w:t>
      </w:r>
    </w:p>
    <w:p w14:paraId="12B55F46" w14:textId="77777777" w:rsidR="0084489F" w:rsidRPr="008C0D99" w:rsidRDefault="00110FE6">
      <w:pPr>
        <w:pStyle w:val="BodyText"/>
        <w:rPr>
          <w:lang w:val="en-CA"/>
        </w:rPr>
      </w:pPr>
      <w:r w:rsidRPr="008C0D99">
        <w:rPr>
          <w:lang w:val="en-CA"/>
        </w:rPr>
        <w:t xml:space="preserve">Wolff, Arnold, Rainer Gaertner, et Margret Maranuk-Rohmeder. 1999. </w:t>
      </w:r>
      <w:r w:rsidRPr="008C0D99">
        <w:rPr>
          <w:i/>
          <w:iCs/>
          <w:lang w:val="en-CA"/>
        </w:rPr>
        <w:t>The Cologne Cathedral</w:t>
      </w:r>
      <w:r w:rsidRPr="008C0D99">
        <w:rPr>
          <w:lang w:val="en-CA"/>
        </w:rPr>
        <w:t>. Verlag Kolner Dom.</w:t>
      </w:r>
    </w:p>
    <w:p w14:paraId="5314B5C7" w14:textId="77777777" w:rsidR="0084489F" w:rsidRPr="008C0D99" w:rsidRDefault="00110FE6">
      <w:pPr>
        <w:pStyle w:val="BodyText"/>
        <w:rPr>
          <w:lang w:val="en-CA"/>
        </w:rPr>
      </w:pPr>
      <w:r w:rsidRPr="008C0D99">
        <w:rPr>
          <w:lang w:val="en-CA"/>
        </w:rPr>
        <w:t xml:space="preserve">Yakel, E. 2000. « Museums, Management, Media, and Memory: Lessons from the Enola Gay Exhibition ». </w:t>
      </w:r>
      <w:r w:rsidRPr="008C0D99">
        <w:rPr>
          <w:i/>
          <w:iCs/>
          <w:lang w:val="en-CA"/>
        </w:rPr>
        <w:t>Libraries and Culture</w:t>
      </w:r>
      <w:r w:rsidRPr="008C0D99">
        <w:rPr>
          <w:lang w:val="en-CA"/>
        </w:rPr>
        <w:t xml:space="preserve"> 35 : 278‑310.</w:t>
      </w:r>
    </w:p>
    <w:p w14:paraId="5C8E79B8" w14:textId="39480EE1" w:rsidR="0084489F" w:rsidRPr="008C0D99" w:rsidRDefault="00110FE6">
      <w:pPr>
        <w:pStyle w:val="BodyText"/>
        <w:rPr>
          <w:lang w:val="en-CA"/>
        </w:rPr>
      </w:pPr>
      <w:r w:rsidRPr="008C0D99">
        <w:rPr>
          <w:lang w:val="en-CA"/>
        </w:rPr>
        <w:t xml:space="preserve">Yerkes, David. 1989. </w:t>
      </w:r>
      <w:r w:rsidRPr="008C0D99">
        <w:rPr>
          <w:i/>
          <w:iCs/>
          <w:lang w:val="en-CA"/>
        </w:rPr>
        <w:t>Webster’s Encyclopedic Unabridged Dictionary of the English Languagea</w:t>
      </w:r>
      <w:r w:rsidRPr="008C0D99">
        <w:rPr>
          <w:lang w:val="en-CA"/>
        </w:rPr>
        <w:t xml:space="preserve">. </w:t>
      </w:r>
      <w:r w:rsidR="007E0C6F">
        <w:rPr>
          <w:lang w:val="en-CA"/>
        </w:rPr>
        <w:t>Édition abrégée</w:t>
      </w:r>
      <w:r w:rsidRPr="008C0D99">
        <w:rPr>
          <w:lang w:val="en-CA"/>
        </w:rPr>
        <w:t>. New York : Random House.</w:t>
      </w:r>
    </w:p>
    <w:p w14:paraId="60E06D4C" w14:textId="77777777" w:rsidR="0084489F" w:rsidRPr="008C0D99" w:rsidRDefault="00110FE6">
      <w:pPr>
        <w:pStyle w:val="BodyText"/>
        <w:rPr>
          <w:lang w:val="en-CA"/>
        </w:rPr>
      </w:pPr>
      <w:r w:rsidRPr="008C0D99">
        <w:rPr>
          <w:lang w:val="en-CA"/>
        </w:rPr>
        <w:t xml:space="preserve">YouInGreece.com. 2020. « Venetian Walls of Heraklion ». YouInGreece.com. 2020. </w:t>
      </w:r>
      <w:hyperlink r:id="rId386">
        <w:r w:rsidRPr="008C0D99">
          <w:rPr>
            <w:rStyle w:val="Hyperlink"/>
            <w:lang w:val="en-CA"/>
          </w:rPr>
          <w:t>https://youingreece.com/heraklion/venetian-walls</w:t>
        </w:r>
      </w:hyperlink>
      <w:r w:rsidRPr="008C0D99">
        <w:rPr>
          <w:lang w:val="en-CA"/>
        </w:rPr>
        <w:t>.</w:t>
      </w:r>
    </w:p>
    <w:p w14:paraId="1CCDD434" w14:textId="77777777" w:rsidR="0084489F" w:rsidRDefault="00110FE6">
      <w:pPr>
        <w:pStyle w:val="Heading1"/>
      </w:pPr>
      <w:bookmarkStart w:id="612" w:name="_Toc176864678"/>
      <w:bookmarkStart w:id="613" w:name="annexe"/>
      <w:bookmarkEnd w:id="611"/>
      <w:r>
        <w:t>Annexe</w:t>
      </w:r>
      <w:bookmarkEnd w:id="612"/>
    </w:p>
    <w:p w14:paraId="1F528F55" w14:textId="77777777" w:rsidR="0084489F" w:rsidRDefault="00110FE6">
      <w:pPr>
        <w:pStyle w:val="Heading2"/>
      </w:pPr>
      <w:bookmarkStart w:id="614" w:name="_Toc176864679"/>
      <w:bookmarkStart w:id="615" w:name="classes-et-proprietes-depreciees"/>
      <w:r>
        <w:t>Classes et propriétés dépréciées</w:t>
      </w:r>
      <w:bookmarkEnd w:id="614"/>
    </w:p>
    <w:p w14:paraId="3D516B73" w14:textId="77777777" w:rsidR="0084489F" w:rsidRDefault="00110FE6">
      <w:pPr>
        <w:pStyle w:val="FirstParagraph"/>
      </w:pPr>
      <w:r w:rsidRPr="1B9E7434">
        <w:rPr>
          <w:lang w:val="fr-FR"/>
        </w:rPr>
        <w:t>La liste qui suit énumère les classes et/ou propriétés qui ont été dépréciées depuis la version 5.0.4 du CIDOC CRM (laquelle a servi d’ébauche communautaire pour ISO21127:2014 ainsi que pour cette version 7.1.3). Bien que le modèle CIDOC CRM soit développé selon les principes du changement monotone et que tout soit mis en œuvre pour minimiser la rétro-incompatibilité (notamment grâce à une modélisation conservatrice tant initialement qu’au cours de l’évolution du modèle), certaines révisions exigent inévitablement des mises à jour des bases de connaissances qui s’appuient sur d’anciennes versions de l’ontologie afin de réconcilier les instances avec la version actuelle. Les tableaux ci-bas indiquent quelles classes et quelles propriétés ont été dépréciées de telle sorte qu’elles exigent une mise à jour des bases de connaissances auparavant conformes au CIDOC CRM afin d’être conformes avec la version la plus récente du standard.</w:t>
      </w:r>
    </w:p>
    <w:p w14:paraId="7793DDC3" w14:textId="77777777" w:rsidR="0084489F" w:rsidRDefault="00110FE6">
      <w:pPr>
        <w:pStyle w:val="BodyText"/>
      </w:pPr>
      <w:r>
        <w:t>Le tableau « </w:t>
      </w:r>
      <w:hyperlink w:anchor="X417eae3bce5028baf3dcc79313567d3ef981614">
        <w:r>
          <w:rPr>
            <w:rStyle w:val="Hyperlink"/>
          </w:rPr>
          <w:t>Instructions de migration des classes dépréciées</w:t>
        </w:r>
      </w:hyperlink>
      <w:r>
        <w:t> » énumère les classes dépréciées ainsi que les classes ou entités primitives qu’il est recommandé d’utiliser à la place de celles-ci.</w:t>
      </w:r>
    </w:p>
    <w:p w14:paraId="7EAF6A83" w14:textId="77777777" w:rsidR="0084489F" w:rsidRDefault="00110FE6">
      <w:pPr>
        <w:pStyle w:val="BodyText"/>
      </w:pPr>
      <w:r w:rsidRPr="1B9E7434">
        <w:rPr>
          <w:lang w:val="fr-FR"/>
        </w:rPr>
        <w:t>[n.d.t. Le tableau « </w:t>
      </w:r>
      <w:hyperlink w:anchor="X2892d8efbf5689812fdccfe5cd915dac6354b9b">
        <w:r w:rsidRPr="1B9E7434">
          <w:rPr>
            <w:rStyle w:val="Hyperlink"/>
            <w:lang w:val="fr-FR"/>
          </w:rPr>
          <w:t xml:space="preserve">Instructions de migration pour </w:t>
        </w:r>
      </w:hyperlink>
      <w:hyperlink w:anchor="X2892d8efbf5689812fdccfe5cd915dac6354b9b">
        <w:r w:rsidRPr="1B9E7434">
          <w:rPr>
            <w:rStyle w:val="VerbatimChar"/>
            <w:lang w:val="fr-FR"/>
          </w:rPr>
          <w:t>E81_Transformation</w:t>
        </w:r>
      </w:hyperlink>
      <w:hyperlink w:anchor="X2892d8efbf5689812fdccfe5cd915dac6354b9b">
        <w:r w:rsidRPr="1B9E7434">
          <w:rPr>
            <w:rStyle w:val="Hyperlink"/>
            <w:lang w:val="fr-FR"/>
          </w:rPr>
          <w:t xml:space="preserve"> (domaine d’application restreint)</w:t>
        </w:r>
      </w:hyperlink>
      <w:r w:rsidRPr="1B9E7434">
        <w:rPr>
          <w:lang w:val="fr-FR"/>
        </w:rPr>
        <w:t xml:space="preserve"> » fait des recommandations quant à la meilleure manière de mettre à jour une base de connaissances à la suite de la restriction du domaine d’application de </w:t>
      </w:r>
      <w:r w:rsidRPr="1B9E7434">
        <w:rPr>
          <w:rStyle w:val="VerbatimChar"/>
          <w:lang w:val="fr-FR"/>
        </w:rPr>
        <w:t>E81_Transformation</w:t>
      </w:r>
      <w:r w:rsidRPr="1B9E7434">
        <w:rPr>
          <w:lang w:val="fr-FR"/>
        </w:rPr>
        <w:t>.]</w:t>
      </w:r>
    </w:p>
    <w:p w14:paraId="2A961A5A" w14:textId="77777777" w:rsidR="0084489F" w:rsidRDefault="00110FE6">
      <w:pPr>
        <w:pStyle w:val="BodyText"/>
      </w:pPr>
      <w:r>
        <w:t>Le tableau « </w:t>
      </w:r>
      <w:hyperlink w:anchor="Xbc0824d9ded619875c902969e52b54684c8ccc7">
        <w:r>
          <w:rPr>
            <w:rStyle w:val="Hyperlink"/>
          </w:rPr>
          <w:t>Instructions de migration des propriétés dépréciées</w:t>
        </w:r>
      </w:hyperlink>
      <w:r>
        <w:t> » énumère les propriétés dépréciées ainsi que celles qu’il est recommandé d’utiliser à la place de celles-ci. C’est un bon outil pour comprendre comment bien construire de nouveaux chemins sémantiques entre des instances de classes dépréciées et les remplacements de classes ou d’entités primitives qui sont recommandés. Il indique aussi comment procéder lorsque la portée d'une propriété a été réduite à une sous-classe de sa portée précédente.</w:t>
      </w:r>
    </w:p>
    <w:p w14:paraId="5B7DC4C9" w14:textId="77777777" w:rsidR="0084489F" w:rsidRDefault="00110FE6">
      <w:pPr>
        <w:pStyle w:val="BlockText"/>
      </w:pPr>
      <w:r>
        <w:rPr>
          <w:b/>
          <w:bCs/>
          <w:i/>
          <w:iCs/>
        </w:rPr>
        <w:t>Note de traduction</w:t>
      </w:r>
    </w:p>
    <w:p w14:paraId="02F347E9" w14:textId="77777777" w:rsidR="0084489F" w:rsidRDefault="00110FE6">
      <w:pPr>
        <w:pStyle w:val="BlockText"/>
      </w:pPr>
      <w:r>
        <w:t>Une note présentant le « </w:t>
      </w:r>
      <w:hyperlink w:anchor="X2892d8efbf5689812fdccfe5cd915dac6354b9b">
        <w:r>
          <w:rPr>
            <w:rStyle w:val="Hyperlink"/>
          </w:rPr>
          <w:t>Instructions de migration pour E81_Transformation (domaine d’application restreint)</w:t>
        </w:r>
      </w:hyperlink>
      <w:r>
        <w:t> » a été ajoutée afin d’être exhaustifs et cohérents quant à la description des tableaux présentés.</w:t>
      </w:r>
    </w:p>
    <w:p w14:paraId="4A1A76E8" w14:textId="77777777" w:rsidR="0084489F" w:rsidRDefault="00110FE6">
      <w:pPr>
        <w:pStyle w:val="BlockText"/>
      </w:pPr>
      <w:r>
        <w:rPr>
          <w:b/>
          <w:bCs/>
          <w:i/>
          <w:iCs/>
        </w:rPr>
        <w:t>Références</w:t>
      </w:r>
    </w:p>
    <w:p w14:paraId="74508423" w14:textId="77777777" w:rsidR="0084489F" w:rsidRDefault="0084489F">
      <w:pPr>
        <w:pStyle w:val="BlockText"/>
      </w:pPr>
    </w:p>
    <w:p w14:paraId="4FEA2C19" w14:textId="77777777" w:rsidR="0084489F" w:rsidRDefault="00110FE6">
      <w:pPr>
        <w:pStyle w:val="Heading3"/>
      </w:pPr>
      <w:bookmarkStart w:id="616" w:name="_Toc176864680"/>
      <w:bookmarkStart w:id="617" w:name="X417eae3bce5028baf3dcc79313567d3ef981614"/>
      <w:r>
        <w:t>Instructions de migration des classes dépréciées</w:t>
      </w:r>
      <w:bookmarkEnd w:id="616"/>
    </w:p>
    <w:tbl>
      <w:tblPr>
        <w:tblStyle w:val="Table"/>
        <w:tblW w:w="0" w:type="auto"/>
        <w:tblInd w:w="0" w:type="dxa"/>
        <w:tblLook w:val="0000" w:firstRow="0" w:lastRow="0" w:firstColumn="0" w:lastColumn="0" w:noHBand="0" w:noVBand="0"/>
      </w:tblPr>
      <w:tblGrid>
        <w:gridCol w:w="4329"/>
        <w:gridCol w:w="6451"/>
      </w:tblGrid>
      <w:tr w:rsidR="005D75A2" w14:paraId="60F1E413" w14:textId="77777777" w:rsidTr="32DF344F">
        <w:tc>
          <w:tcPr>
            <w:tcW w:w="0" w:type="auto"/>
          </w:tcPr>
          <w:p w14:paraId="65AA9ECF" w14:textId="77777777" w:rsidR="005D75A2" w:rsidRDefault="005D75A2">
            <w:r>
              <w:rPr>
                <w:b/>
                <w:bCs/>
              </w:rPr>
              <w:t>Classe dépréciée</w:t>
            </w:r>
          </w:p>
        </w:tc>
        <w:tc>
          <w:tcPr>
            <w:tcW w:w="0" w:type="auto"/>
          </w:tcPr>
          <w:p w14:paraId="5D9B6255" w14:textId="77777777" w:rsidR="005D75A2" w:rsidRDefault="005D75A2">
            <w:r>
              <w:rPr>
                <w:b/>
                <w:bCs/>
              </w:rPr>
              <w:t>Instruction de migration</w:t>
            </w:r>
          </w:p>
        </w:tc>
      </w:tr>
      <w:tr w:rsidR="005D75A2" w14:paraId="3B4E9AAA" w14:textId="77777777" w:rsidTr="32DF344F">
        <w:tc>
          <w:tcPr>
            <w:tcW w:w="0" w:type="auto"/>
          </w:tcPr>
          <w:p w14:paraId="3AC7A324" w14:textId="77777777" w:rsidR="005D75A2" w:rsidRDefault="005D75A2">
            <w:r>
              <w:rPr>
                <w:rStyle w:val="VerbatimChar"/>
              </w:rPr>
              <w:t>E38_Image</w:t>
            </w:r>
          </w:p>
        </w:tc>
        <w:tc>
          <w:tcPr>
            <w:tcW w:w="0" w:type="auto"/>
          </w:tcPr>
          <w:p w14:paraId="17CA67AF" w14:textId="712106C1" w:rsidR="005D75A2" w:rsidRDefault="005D75A2">
            <w:r w:rsidRPr="32DF344F">
              <w:rPr>
                <w:lang w:val="fr-FR"/>
              </w:rPr>
              <w:t xml:space="preserve">utiliser </w:t>
            </w:r>
            <w:r w:rsidRPr="32DF344F">
              <w:rPr>
                <w:rStyle w:val="VerbatimChar"/>
                <w:lang w:val="fr-FR"/>
              </w:rPr>
              <w:t>E36_Entité_visuelle</w:t>
            </w:r>
          </w:p>
        </w:tc>
      </w:tr>
      <w:tr w:rsidR="005D75A2" w14:paraId="169DA7A2" w14:textId="77777777" w:rsidTr="32DF344F">
        <w:tc>
          <w:tcPr>
            <w:tcW w:w="0" w:type="auto"/>
          </w:tcPr>
          <w:p w14:paraId="51904872" w14:textId="77777777" w:rsidR="005D75A2" w:rsidRDefault="005D75A2">
            <w:r>
              <w:rPr>
                <w:rStyle w:val="VerbatimChar"/>
              </w:rPr>
              <w:t>E40_Entité_légale</w:t>
            </w:r>
          </w:p>
        </w:tc>
        <w:tc>
          <w:tcPr>
            <w:tcW w:w="0" w:type="auto"/>
          </w:tcPr>
          <w:p w14:paraId="27380B57" w14:textId="1A346158" w:rsidR="005D75A2" w:rsidRDefault="005D75A2">
            <w:r w:rsidRPr="32DF344F">
              <w:rPr>
                <w:lang w:val="fr-FR"/>
              </w:rPr>
              <w:t xml:space="preserve">utiliser </w:t>
            </w:r>
            <w:r w:rsidRPr="32DF344F">
              <w:rPr>
                <w:rStyle w:val="VerbatimChar"/>
                <w:lang w:val="fr-FR"/>
              </w:rPr>
              <w:t>E74_Groupe</w:t>
            </w:r>
          </w:p>
        </w:tc>
      </w:tr>
      <w:tr w:rsidR="005D75A2" w14:paraId="3ED68274" w14:textId="77777777" w:rsidTr="32DF344F">
        <w:tc>
          <w:tcPr>
            <w:tcW w:w="0" w:type="auto"/>
          </w:tcPr>
          <w:p w14:paraId="3934AE18" w14:textId="77777777" w:rsidR="005D75A2" w:rsidRDefault="005D75A2">
            <w:r>
              <w:rPr>
                <w:rStyle w:val="VerbatimChar"/>
              </w:rPr>
              <w:t>E44_Appellation_du_lieu</w:t>
            </w:r>
          </w:p>
        </w:tc>
        <w:tc>
          <w:tcPr>
            <w:tcW w:w="0" w:type="auto"/>
          </w:tcPr>
          <w:p w14:paraId="3507AA0F" w14:textId="3442918F" w:rsidR="005D75A2" w:rsidRDefault="005D75A2">
            <w:r w:rsidRPr="32DF344F">
              <w:rPr>
                <w:lang w:val="fr-FR"/>
              </w:rPr>
              <w:t xml:space="preserve">utiliser </w:t>
            </w:r>
            <w:r w:rsidRPr="32DF344F">
              <w:rPr>
                <w:rStyle w:val="VerbatimChar"/>
                <w:lang w:val="fr-FR"/>
              </w:rPr>
              <w:t>E41_Appellation</w:t>
            </w:r>
          </w:p>
        </w:tc>
      </w:tr>
      <w:tr w:rsidR="005D75A2" w14:paraId="02EFA8AD" w14:textId="77777777" w:rsidTr="32DF344F">
        <w:tc>
          <w:tcPr>
            <w:tcW w:w="0" w:type="auto"/>
          </w:tcPr>
          <w:p w14:paraId="46575ED4" w14:textId="77777777" w:rsidR="005D75A2" w:rsidRDefault="005D75A2">
            <w:r>
              <w:rPr>
                <w:rStyle w:val="VerbatimChar"/>
              </w:rPr>
              <w:t>E45_Adresse</w:t>
            </w:r>
          </w:p>
        </w:tc>
        <w:tc>
          <w:tcPr>
            <w:tcW w:w="0" w:type="auto"/>
          </w:tcPr>
          <w:p w14:paraId="20DDB7D2" w14:textId="30BCA665" w:rsidR="005D75A2" w:rsidRDefault="005D75A2">
            <w:r w:rsidRPr="32DF344F">
              <w:rPr>
                <w:lang w:val="fr-FR"/>
              </w:rPr>
              <w:t xml:space="preserve">utiliser </w:t>
            </w:r>
            <w:r w:rsidRPr="32DF344F">
              <w:rPr>
                <w:rStyle w:val="VerbatimChar"/>
                <w:lang w:val="fr-FR"/>
              </w:rPr>
              <w:t>E41_Appellation</w:t>
            </w:r>
            <w:r w:rsidRPr="32DF344F">
              <w:rPr>
                <w:lang w:val="fr-FR"/>
              </w:rPr>
              <w:t xml:space="preserve">, </w:t>
            </w:r>
            <w:r w:rsidRPr="32DF344F">
              <w:rPr>
                <w:rStyle w:val="VerbatimChar"/>
                <w:lang w:val="fr-FR"/>
              </w:rPr>
              <w:t>P2_a_pour_type</w:t>
            </w:r>
            <w:r w:rsidRPr="32DF344F">
              <w:rPr>
                <w:lang w:val="fr-FR"/>
              </w:rPr>
              <w:t> : « Adresse »</w:t>
            </w:r>
          </w:p>
        </w:tc>
      </w:tr>
      <w:tr w:rsidR="005D75A2" w14:paraId="247268AD" w14:textId="77777777" w:rsidTr="32DF344F">
        <w:tc>
          <w:tcPr>
            <w:tcW w:w="0" w:type="auto"/>
          </w:tcPr>
          <w:p w14:paraId="3F26A028" w14:textId="77777777" w:rsidR="005D75A2" w:rsidRDefault="005D75A2">
            <w:r>
              <w:rPr>
                <w:rStyle w:val="VerbatimChar"/>
              </w:rPr>
              <w:t>E46_Définition_de_section</w:t>
            </w:r>
          </w:p>
        </w:tc>
        <w:tc>
          <w:tcPr>
            <w:tcW w:w="0" w:type="auto"/>
          </w:tcPr>
          <w:p w14:paraId="47DAF7EC" w14:textId="6FCFD2D6" w:rsidR="005D75A2" w:rsidRDefault="005D75A2">
            <w:r w:rsidRPr="32DF344F">
              <w:rPr>
                <w:lang w:val="fr-FR"/>
              </w:rPr>
              <w:t xml:space="preserve">utiliser </w:t>
            </w:r>
            <w:r w:rsidRPr="32DF344F">
              <w:rPr>
                <w:rStyle w:val="VerbatimChar"/>
                <w:lang w:val="fr-FR"/>
              </w:rPr>
              <w:t>E41_Appellation</w:t>
            </w:r>
          </w:p>
        </w:tc>
      </w:tr>
      <w:tr w:rsidR="005D75A2" w14:paraId="207B4B07" w14:textId="77777777" w:rsidTr="32DF344F">
        <w:tc>
          <w:tcPr>
            <w:tcW w:w="0" w:type="auto"/>
          </w:tcPr>
          <w:p w14:paraId="54266F4B" w14:textId="77777777" w:rsidR="005D75A2" w:rsidRDefault="005D75A2">
            <w:r>
              <w:rPr>
                <w:rStyle w:val="VerbatimChar"/>
              </w:rPr>
              <w:t>E47_Coordonnées_spatiales</w:t>
            </w:r>
          </w:p>
        </w:tc>
        <w:tc>
          <w:tcPr>
            <w:tcW w:w="0" w:type="auto"/>
          </w:tcPr>
          <w:p w14:paraId="618874CC" w14:textId="05A05B9B" w:rsidR="005D75A2" w:rsidRDefault="005D75A2">
            <w:r w:rsidRPr="32DF344F">
              <w:rPr>
                <w:lang w:val="fr-FR"/>
              </w:rPr>
              <w:t xml:space="preserve">utiliser </w:t>
            </w:r>
            <w:r w:rsidRPr="32DF344F">
              <w:rPr>
                <w:rStyle w:val="VerbatimChar"/>
                <w:lang w:val="fr-FR"/>
              </w:rPr>
              <w:t>E94_Primitive_spatiale</w:t>
            </w:r>
          </w:p>
        </w:tc>
      </w:tr>
      <w:tr w:rsidR="005D75A2" w14:paraId="05E2696E" w14:textId="77777777" w:rsidTr="32DF344F">
        <w:tc>
          <w:tcPr>
            <w:tcW w:w="0" w:type="auto"/>
          </w:tcPr>
          <w:p w14:paraId="34FA126D" w14:textId="77777777" w:rsidR="005D75A2" w:rsidRDefault="005D75A2">
            <w:r>
              <w:rPr>
                <w:rStyle w:val="VerbatimChar"/>
              </w:rPr>
              <w:t>E48_Nom_de_lieu</w:t>
            </w:r>
          </w:p>
        </w:tc>
        <w:tc>
          <w:tcPr>
            <w:tcW w:w="0" w:type="auto"/>
          </w:tcPr>
          <w:p w14:paraId="78A1B2FD" w14:textId="3D5BBC9C" w:rsidR="005D75A2" w:rsidRDefault="005D75A2">
            <w:r w:rsidRPr="32DF344F">
              <w:rPr>
                <w:lang w:val="fr-FR"/>
              </w:rPr>
              <w:t xml:space="preserve">utiliser </w:t>
            </w:r>
            <w:r w:rsidRPr="32DF344F">
              <w:rPr>
                <w:rStyle w:val="VerbatimChar"/>
                <w:lang w:val="fr-FR"/>
              </w:rPr>
              <w:t>E41_Appellation</w:t>
            </w:r>
          </w:p>
        </w:tc>
      </w:tr>
      <w:tr w:rsidR="005D75A2" w14:paraId="67F8CB86" w14:textId="77777777" w:rsidTr="32DF344F">
        <w:tc>
          <w:tcPr>
            <w:tcW w:w="0" w:type="auto"/>
          </w:tcPr>
          <w:p w14:paraId="59F34959" w14:textId="77777777" w:rsidR="005D75A2" w:rsidRDefault="005D75A2">
            <w:r>
              <w:rPr>
                <w:rStyle w:val="VerbatimChar"/>
              </w:rPr>
              <w:t>E49_Appellation_de_temps</w:t>
            </w:r>
          </w:p>
        </w:tc>
        <w:tc>
          <w:tcPr>
            <w:tcW w:w="0" w:type="auto"/>
          </w:tcPr>
          <w:p w14:paraId="6551B17F" w14:textId="75D49F83" w:rsidR="005D75A2" w:rsidRDefault="005D75A2">
            <w:r w:rsidRPr="32DF344F">
              <w:rPr>
                <w:lang w:val="fr-FR"/>
              </w:rPr>
              <w:t xml:space="preserve">utiliser </w:t>
            </w:r>
            <w:r w:rsidRPr="32DF344F">
              <w:rPr>
                <w:rStyle w:val="VerbatimChar"/>
                <w:lang w:val="fr-FR"/>
              </w:rPr>
              <w:t>E41_Appellation</w:t>
            </w:r>
          </w:p>
        </w:tc>
      </w:tr>
      <w:tr w:rsidR="005D75A2" w14:paraId="3DCED901" w14:textId="77777777" w:rsidTr="32DF344F">
        <w:tc>
          <w:tcPr>
            <w:tcW w:w="0" w:type="auto"/>
          </w:tcPr>
          <w:p w14:paraId="4EA4B28A" w14:textId="77777777" w:rsidR="005D75A2" w:rsidRDefault="005D75A2">
            <w:r>
              <w:rPr>
                <w:rStyle w:val="VerbatimChar"/>
              </w:rPr>
              <w:t>E50_Date</w:t>
            </w:r>
          </w:p>
        </w:tc>
        <w:tc>
          <w:tcPr>
            <w:tcW w:w="0" w:type="auto"/>
          </w:tcPr>
          <w:p w14:paraId="1F623053" w14:textId="020D447D" w:rsidR="005D75A2" w:rsidRDefault="005D75A2">
            <w:r w:rsidRPr="32DF344F">
              <w:rPr>
                <w:lang w:val="fr-FR"/>
              </w:rPr>
              <w:t xml:space="preserve">utiliser </w:t>
            </w:r>
            <w:r w:rsidRPr="32DF344F">
              <w:rPr>
                <w:rStyle w:val="VerbatimChar"/>
                <w:lang w:val="fr-FR"/>
              </w:rPr>
              <w:t>E61_Primitive_temporelle</w:t>
            </w:r>
          </w:p>
        </w:tc>
      </w:tr>
      <w:tr w:rsidR="005D75A2" w14:paraId="738E6A56" w14:textId="77777777" w:rsidTr="32DF344F">
        <w:tc>
          <w:tcPr>
            <w:tcW w:w="0" w:type="auto"/>
          </w:tcPr>
          <w:p w14:paraId="4367C7DD" w14:textId="77777777" w:rsidR="005D75A2" w:rsidRDefault="005D75A2">
            <w:r>
              <w:rPr>
                <w:rStyle w:val="VerbatimChar"/>
              </w:rPr>
              <w:t>E51_Point_de_contact</w:t>
            </w:r>
          </w:p>
        </w:tc>
        <w:tc>
          <w:tcPr>
            <w:tcW w:w="0" w:type="auto"/>
          </w:tcPr>
          <w:p w14:paraId="7F6B5494" w14:textId="045A64FB" w:rsidR="005D75A2" w:rsidRDefault="005D75A2">
            <w:r w:rsidRPr="32DF344F">
              <w:rPr>
                <w:lang w:val="fr-FR"/>
              </w:rPr>
              <w:t xml:space="preserve">utiliser </w:t>
            </w:r>
            <w:r w:rsidRPr="32DF344F">
              <w:rPr>
                <w:rStyle w:val="VerbatimChar"/>
                <w:lang w:val="fr-FR"/>
              </w:rPr>
              <w:t>E41_Appellation</w:t>
            </w:r>
            <w:r w:rsidRPr="32DF344F">
              <w:rPr>
                <w:lang w:val="fr-FR"/>
              </w:rPr>
              <w:t xml:space="preserve">, </w:t>
            </w:r>
            <w:r w:rsidRPr="32DF344F">
              <w:rPr>
                <w:rStyle w:val="VerbatimChar"/>
                <w:lang w:val="fr-FR"/>
              </w:rPr>
              <w:t>P2_a_pour_type</w:t>
            </w:r>
            <w:r w:rsidRPr="32DF344F">
              <w:rPr>
                <w:lang w:val="fr-FR"/>
              </w:rPr>
              <w:t> : « Point de contact »</w:t>
            </w:r>
          </w:p>
        </w:tc>
      </w:tr>
      <w:tr w:rsidR="005D75A2" w14:paraId="723132CC" w14:textId="77777777" w:rsidTr="32DF344F">
        <w:tc>
          <w:tcPr>
            <w:tcW w:w="0" w:type="auto"/>
          </w:tcPr>
          <w:p w14:paraId="39926AB1" w14:textId="77777777" w:rsidR="005D75A2" w:rsidRDefault="005D75A2">
            <w:r>
              <w:rPr>
                <w:rStyle w:val="VerbatimChar"/>
              </w:rPr>
              <w:t>E75_Appellation_d’objet_conceptuel</w:t>
            </w:r>
          </w:p>
        </w:tc>
        <w:tc>
          <w:tcPr>
            <w:tcW w:w="0" w:type="auto"/>
          </w:tcPr>
          <w:p w14:paraId="4113CF1C" w14:textId="67FD060E" w:rsidR="005D75A2" w:rsidRDefault="005D75A2">
            <w:r w:rsidRPr="32DF344F">
              <w:rPr>
                <w:lang w:val="fr-FR"/>
              </w:rPr>
              <w:t xml:space="preserve">utiliser </w:t>
            </w:r>
            <w:r w:rsidRPr="32DF344F">
              <w:rPr>
                <w:rStyle w:val="VerbatimChar"/>
                <w:lang w:val="fr-FR"/>
              </w:rPr>
              <w:t>E41_Appellation</w:t>
            </w:r>
          </w:p>
        </w:tc>
      </w:tr>
      <w:tr w:rsidR="005D75A2" w14:paraId="73FEAC9E" w14:textId="77777777" w:rsidTr="32DF344F">
        <w:tc>
          <w:tcPr>
            <w:tcW w:w="0" w:type="auto"/>
          </w:tcPr>
          <w:p w14:paraId="6476BA5D" w14:textId="77777777" w:rsidR="005D75A2" w:rsidRDefault="005D75A2">
            <w:r>
              <w:rPr>
                <w:rStyle w:val="VerbatimChar"/>
              </w:rPr>
              <w:t>E82_Appellation_d’acteur</w:t>
            </w:r>
          </w:p>
        </w:tc>
        <w:tc>
          <w:tcPr>
            <w:tcW w:w="0" w:type="auto"/>
          </w:tcPr>
          <w:p w14:paraId="39D85E2C" w14:textId="26E2A8B1" w:rsidR="005D75A2" w:rsidRDefault="005D75A2">
            <w:r w:rsidRPr="32DF344F">
              <w:rPr>
                <w:lang w:val="fr-FR"/>
              </w:rPr>
              <w:t xml:space="preserve">utiliser </w:t>
            </w:r>
            <w:r w:rsidRPr="32DF344F">
              <w:rPr>
                <w:rStyle w:val="VerbatimChar"/>
                <w:lang w:val="fr-FR"/>
              </w:rPr>
              <w:t>E41_Appellation</w:t>
            </w:r>
          </w:p>
        </w:tc>
      </w:tr>
      <w:tr w:rsidR="005D75A2" w14:paraId="56AE3961" w14:textId="77777777" w:rsidTr="32DF344F">
        <w:tc>
          <w:tcPr>
            <w:tcW w:w="0" w:type="auto"/>
          </w:tcPr>
          <w:p w14:paraId="0C3116DF" w14:textId="77777777" w:rsidR="005D75A2" w:rsidRDefault="005D75A2">
            <w:r>
              <w:rPr>
                <w:rStyle w:val="VerbatimChar"/>
              </w:rPr>
              <w:t>E84_Porteur_d’information</w:t>
            </w:r>
          </w:p>
        </w:tc>
        <w:tc>
          <w:tcPr>
            <w:tcW w:w="0" w:type="auto"/>
          </w:tcPr>
          <w:p w14:paraId="52472B06" w14:textId="73031995" w:rsidR="005D75A2" w:rsidRDefault="005D75A2">
            <w:r w:rsidRPr="32DF344F">
              <w:rPr>
                <w:lang w:val="fr-FR"/>
              </w:rPr>
              <w:t xml:space="preserve">utiliser </w:t>
            </w:r>
            <w:r w:rsidRPr="32DF344F">
              <w:rPr>
                <w:rStyle w:val="VerbatimChar"/>
                <w:lang w:val="fr-FR"/>
              </w:rPr>
              <w:t>E22_Objet_élaboré_par_l'humain</w:t>
            </w:r>
            <w:r w:rsidRPr="32DF344F">
              <w:rPr>
                <w:lang w:val="fr-FR"/>
              </w:rPr>
              <w:t xml:space="preserve">, </w:t>
            </w:r>
            <w:r w:rsidRPr="32DF344F">
              <w:rPr>
                <w:rStyle w:val="VerbatimChar"/>
                <w:lang w:val="fr-FR"/>
              </w:rPr>
              <w:t>P2_a_pour_type</w:t>
            </w:r>
            <w:r w:rsidRPr="32DF344F">
              <w:rPr>
                <w:lang w:val="fr-FR"/>
              </w:rPr>
              <w:t> : « Porteur d’information »</w:t>
            </w:r>
          </w:p>
        </w:tc>
      </w:tr>
      <w:tr w:rsidR="005D75A2" w14:paraId="2A94FE6B" w14:textId="77777777" w:rsidTr="32DF344F">
        <w:tc>
          <w:tcPr>
            <w:tcW w:w="0" w:type="auto"/>
          </w:tcPr>
          <w:p w14:paraId="74DC1155" w14:textId="77777777" w:rsidR="005D75A2" w:rsidRDefault="005D75A2">
            <w:r>
              <w:rPr>
                <w:i/>
                <w:iCs/>
              </w:rPr>
              <w:t>Note de traduction</w:t>
            </w:r>
          </w:p>
        </w:tc>
        <w:tc>
          <w:tcPr>
            <w:tcW w:w="0" w:type="auto"/>
          </w:tcPr>
          <w:p w14:paraId="727C88FA" w14:textId="756A4A23" w:rsidR="005D75A2" w:rsidRDefault="005D75A2">
            <w:r>
              <w:t>Les traductions des classes dépréciées sont littérales et n’ont pas fait l’objet d’un examen dédié dans le cadre de ce travail.</w:t>
            </w:r>
          </w:p>
        </w:tc>
      </w:tr>
      <w:tr w:rsidR="005D75A2" w14:paraId="2C7169F1" w14:textId="77777777" w:rsidTr="32DF344F">
        <w:tc>
          <w:tcPr>
            <w:tcW w:w="0" w:type="auto"/>
          </w:tcPr>
          <w:p w14:paraId="30F121BE" w14:textId="77777777" w:rsidR="005D75A2" w:rsidRDefault="005D75A2">
            <w:r>
              <w:rPr>
                <w:i/>
                <w:iCs/>
              </w:rPr>
              <w:t>Références</w:t>
            </w:r>
          </w:p>
        </w:tc>
        <w:tc>
          <w:tcPr>
            <w:tcW w:w="0" w:type="auto"/>
          </w:tcPr>
          <w:p w14:paraId="64D74FD4" w14:textId="77777777" w:rsidR="005D75A2" w:rsidRDefault="005D75A2">
            <w:pPr>
              <w:pStyle w:val="Compact"/>
            </w:pPr>
          </w:p>
        </w:tc>
      </w:tr>
    </w:tbl>
    <w:p w14:paraId="15FA144D" w14:textId="77777777" w:rsidR="0084489F" w:rsidRDefault="00110FE6">
      <w:pPr>
        <w:pStyle w:val="Heading3"/>
      </w:pPr>
      <w:bookmarkStart w:id="618" w:name="_Toc176864681"/>
      <w:bookmarkStart w:id="619" w:name="Xbc0824d9ded619875c902969e52b54684c8ccc7"/>
      <w:bookmarkEnd w:id="617"/>
      <w:r>
        <w:t>Instructions de migration des propriétés dépréciées</w:t>
      </w:r>
      <w:bookmarkEnd w:id="618"/>
    </w:p>
    <w:tbl>
      <w:tblPr>
        <w:tblStyle w:val="Table"/>
        <w:tblW w:w="4969" w:type="pct"/>
        <w:tblInd w:w="0" w:type="dxa"/>
        <w:tblLook w:val="0000" w:firstRow="0" w:lastRow="0" w:firstColumn="0" w:lastColumn="0" w:noHBand="0" w:noVBand="0"/>
      </w:tblPr>
      <w:tblGrid>
        <w:gridCol w:w="4692"/>
        <w:gridCol w:w="6022"/>
      </w:tblGrid>
      <w:tr w:rsidR="005D75A2" w14:paraId="079573B1" w14:textId="77777777" w:rsidTr="32DF344F">
        <w:tc>
          <w:tcPr>
            <w:tcW w:w="0" w:type="auto"/>
          </w:tcPr>
          <w:p w14:paraId="35E987F8" w14:textId="77777777" w:rsidR="005D75A2" w:rsidRDefault="005D75A2">
            <w:r>
              <w:rPr>
                <w:b/>
                <w:bCs/>
              </w:rPr>
              <w:t>Propriété dépréciée</w:t>
            </w:r>
          </w:p>
        </w:tc>
        <w:tc>
          <w:tcPr>
            <w:tcW w:w="0" w:type="auto"/>
          </w:tcPr>
          <w:p w14:paraId="5B11FF32" w14:textId="77777777" w:rsidR="005D75A2" w:rsidRDefault="005D75A2">
            <w:r>
              <w:rPr>
                <w:b/>
                <w:bCs/>
              </w:rPr>
              <w:t>Instruction de migration</w:t>
            </w:r>
          </w:p>
        </w:tc>
      </w:tr>
      <w:tr w:rsidR="005D75A2" w14:paraId="16E24F57" w14:textId="77777777" w:rsidTr="32DF344F">
        <w:tc>
          <w:tcPr>
            <w:tcW w:w="0" w:type="auto"/>
          </w:tcPr>
          <w:p w14:paraId="0B83FD55" w14:textId="6D183906" w:rsidR="005D75A2" w:rsidRDefault="005D75A2">
            <w:r w:rsidRPr="32DF344F">
              <w:rPr>
                <w:rStyle w:val="VerbatimChar"/>
                <w:lang w:val="fr-FR"/>
              </w:rPr>
              <w:t>P58_a_pour_définition_de_section (définit_la_section)</w:t>
            </w:r>
          </w:p>
        </w:tc>
        <w:tc>
          <w:tcPr>
            <w:tcW w:w="0" w:type="auto"/>
          </w:tcPr>
          <w:p w14:paraId="619A69E9" w14:textId="6B431971" w:rsidR="005D75A2" w:rsidRDefault="005D75A2">
            <w:r w:rsidRPr="32DF344F">
              <w:rPr>
                <w:lang w:val="fr-FR"/>
              </w:rPr>
              <w:t xml:space="preserve">utiliser </w:t>
            </w:r>
            <w:r w:rsidRPr="32DF344F">
              <w:rPr>
                <w:rStyle w:val="VerbatimChar"/>
                <w:lang w:val="fr-FR"/>
              </w:rPr>
              <w:t>P1_est_identifié_par (identifie)</w:t>
            </w:r>
          </w:p>
        </w:tc>
      </w:tr>
      <w:tr w:rsidR="005D75A2" w14:paraId="430CFFEB" w14:textId="77777777" w:rsidTr="32DF344F">
        <w:tc>
          <w:tcPr>
            <w:tcW w:w="0" w:type="auto"/>
          </w:tcPr>
          <w:p w14:paraId="030A8B49" w14:textId="583B43DC" w:rsidR="005D75A2" w:rsidRDefault="005D75A2">
            <w:r w:rsidRPr="32DF344F">
              <w:rPr>
                <w:rStyle w:val="VerbatimChar"/>
                <w:lang w:val="fr-FR"/>
              </w:rPr>
              <w:t>P78_est_identifié_par</w:t>
            </w:r>
            <w:r w:rsidRPr="32DF344F">
              <w:rPr>
                <w:lang w:val="fr-FR"/>
              </w:rPr>
              <w:t xml:space="preserve">  </w:t>
            </w:r>
            <w:r w:rsidRPr="32DF344F">
              <w:rPr>
                <w:rStyle w:val="VerbatimChar"/>
                <w:lang w:val="fr-FR"/>
              </w:rPr>
              <w:t>(identifie)</w:t>
            </w:r>
            <w:r w:rsidRPr="32DF344F">
              <w:rPr>
                <w:i/>
                <w:iCs/>
                <w:lang w:val="fr-FR"/>
              </w:rPr>
              <w:t> </w:t>
            </w:r>
            <w:r w:rsidRPr="32DF344F">
              <w:rPr>
                <w:lang w:val="fr-FR"/>
              </w:rPr>
              <w:t xml:space="preserve">: </w:t>
            </w:r>
            <w:r w:rsidRPr="32DF344F">
              <w:rPr>
                <w:rStyle w:val="VerbatimChar"/>
                <w:lang w:val="fr-FR"/>
              </w:rPr>
              <w:t>E49_Appellation_de_temps</w:t>
            </w:r>
          </w:p>
          <w:p w14:paraId="468E185B" w14:textId="2905E3EB" w:rsidR="005D75A2" w:rsidRDefault="005D75A2">
            <w:r w:rsidRPr="32DF344F">
              <w:rPr>
                <w:lang w:val="fr-FR"/>
              </w:rPr>
              <w:t xml:space="preserve">[à l’exception des instances de </w:t>
            </w:r>
            <w:r w:rsidRPr="32DF344F">
              <w:rPr>
                <w:rStyle w:val="VerbatimChar"/>
                <w:lang w:val="fr-FR"/>
              </w:rPr>
              <w:t>E50_Date</w:t>
            </w:r>
            <w:r w:rsidRPr="32DF344F">
              <w:rPr>
                <w:lang w:val="fr-FR"/>
              </w:rPr>
              <w:t>]</w:t>
            </w:r>
          </w:p>
        </w:tc>
        <w:tc>
          <w:tcPr>
            <w:tcW w:w="0" w:type="auto"/>
          </w:tcPr>
          <w:p w14:paraId="544934AD" w14:textId="6EBF3268" w:rsidR="005D75A2" w:rsidRDefault="005D75A2">
            <w:r w:rsidRPr="32DF344F">
              <w:rPr>
                <w:lang w:val="fr-FR"/>
              </w:rPr>
              <w:t xml:space="preserve">utiliser </w:t>
            </w:r>
            <w:r w:rsidRPr="32DF344F">
              <w:rPr>
                <w:rStyle w:val="VerbatimChar"/>
                <w:lang w:val="fr-FR"/>
              </w:rPr>
              <w:t>P1_est_identifié_par (identifie)</w:t>
            </w:r>
            <w:r w:rsidRPr="32DF344F">
              <w:rPr>
                <w:lang w:val="fr-FR"/>
              </w:rPr>
              <w:t xml:space="preserve"> : </w:t>
            </w:r>
            <w:r w:rsidRPr="32DF344F">
              <w:rPr>
                <w:rStyle w:val="VerbatimChar"/>
                <w:lang w:val="fr-FR"/>
              </w:rPr>
              <w:t xml:space="preserve">E41_Appellation </w:t>
            </w:r>
            <w:r w:rsidRPr="32DF344F">
              <w:rPr>
                <w:lang w:val="fr-FR"/>
              </w:rPr>
              <w:t>[par exemple, des noms de règles impériales japonaises]</w:t>
            </w:r>
          </w:p>
        </w:tc>
      </w:tr>
      <w:tr w:rsidR="005D75A2" w14:paraId="2D62C713" w14:textId="77777777" w:rsidTr="32DF344F">
        <w:tc>
          <w:tcPr>
            <w:tcW w:w="0" w:type="auto"/>
          </w:tcPr>
          <w:p w14:paraId="64C2B09D" w14:textId="77777777" w:rsidR="005D75A2" w:rsidRDefault="005D75A2">
            <w:r>
              <w:rPr>
                <w:rStyle w:val="VerbatimChar"/>
              </w:rPr>
              <w:t>P78_est_identifié_par (identifie)</w:t>
            </w:r>
            <w:r>
              <w:rPr>
                <w:i/>
                <w:iCs/>
              </w:rPr>
              <w:t> </w:t>
            </w:r>
            <w:r>
              <w:t xml:space="preserve">: </w:t>
            </w:r>
            <w:r>
              <w:rPr>
                <w:rStyle w:val="VerbatimChar"/>
              </w:rPr>
              <w:t>E50_Date</w:t>
            </w:r>
          </w:p>
        </w:tc>
        <w:tc>
          <w:tcPr>
            <w:tcW w:w="0" w:type="auto"/>
          </w:tcPr>
          <w:p w14:paraId="1BFE5380" w14:textId="27536C1F" w:rsidR="005D75A2" w:rsidRDefault="005D75A2">
            <w:r w:rsidRPr="32DF344F">
              <w:rPr>
                <w:lang w:val="fr-FR"/>
              </w:rPr>
              <w:t xml:space="preserve">utiliser </w:t>
            </w:r>
            <w:r w:rsidRPr="32DF344F">
              <w:rPr>
                <w:rStyle w:val="VerbatimChar"/>
                <w:lang w:val="fr-FR"/>
              </w:rPr>
              <w:t>P170i_temps_défini_par</w:t>
            </w:r>
            <w:r w:rsidRPr="32DF344F">
              <w:rPr>
                <w:lang w:val="fr-FR"/>
              </w:rPr>
              <w:t xml:space="preserve"> : </w:t>
            </w:r>
            <w:r w:rsidRPr="32DF344F">
              <w:rPr>
                <w:rStyle w:val="VerbatimChar"/>
                <w:lang w:val="fr-FR"/>
              </w:rPr>
              <w:t>E61_Primitive_temporelle</w:t>
            </w:r>
          </w:p>
        </w:tc>
      </w:tr>
      <w:tr w:rsidR="005D75A2" w14:paraId="41FDC6B1" w14:textId="77777777" w:rsidTr="32DF344F">
        <w:tc>
          <w:tcPr>
            <w:tcW w:w="0" w:type="auto"/>
          </w:tcPr>
          <w:p w14:paraId="417BE77D" w14:textId="12E2C4E4" w:rsidR="005D75A2" w:rsidRDefault="005D75A2">
            <w:r w:rsidRPr="32DF344F">
              <w:rPr>
                <w:rStyle w:val="VerbatimChar"/>
                <w:lang w:val="fr-FR"/>
              </w:rPr>
              <w:t>P88_consiste_en (fait_partie_de)</w:t>
            </w:r>
          </w:p>
        </w:tc>
        <w:tc>
          <w:tcPr>
            <w:tcW w:w="0" w:type="auto"/>
          </w:tcPr>
          <w:p w14:paraId="496C7A1B" w14:textId="6BA3C55E" w:rsidR="005D75A2" w:rsidRDefault="005D75A2">
            <w:r w:rsidRPr="32DF344F">
              <w:rPr>
                <w:lang w:val="fr-FR"/>
              </w:rPr>
              <w:t xml:space="preserve">s’il s’agit d’une décomposition géométrique, utiliser </w:t>
            </w:r>
            <w:r w:rsidRPr="32DF344F">
              <w:rPr>
                <w:rStyle w:val="VerbatimChar"/>
                <w:lang w:val="fr-FR"/>
              </w:rPr>
              <w:t>P89i_contient</w:t>
            </w:r>
          </w:p>
          <w:p w14:paraId="61953386" w14:textId="77777777" w:rsidR="005D75A2" w:rsidRDefault="005D75A2">
            <w:r>
              <w:t xml:space="preserve">Si le lieu dont il est question est une instance de </w:t>
            </w:r>
            <w:r>
              <w:rPr>
                <w:rStyle w:val="VerbatimChar"/>
              </w:rPr>
              <w:t>E26_Caractéristique_physique</w:t>
            </w:r>
            <w:r>
              <w:t xml:space="preserve"> et que l’usage de </w:t>
            </w:r>
            <w:r>
              <w:rPr>
                <w:rStyle w:val="VerbatimChar"/>
              </w:rPr>
              <w:t>P88_consiste_en</w:t>
            </w:r>
            <w:r>
              <w:t xml:space="preserve"> a pour objectif de décrire la décomposition en des composantes naturelles, décrire explicitement l’instance de </w:t>
            </w:r>
            <w:r>
              <w:rPr>
                <w:rStyle w:val="VerbatimChar"/>
              </w:rPr>
              <w:t>E26_Caractéristique_physique</w:t>
            </w:r>
            <w:r>
              <w:t xml:space="preserve"> ainsi que ses composantes en utilisant </w:t>
            </w:r>
            <w:r>
              <w:rPr>
                <w:rStyle w:val="VerbatimChar"/>
              </w:rPr>
              <w:t>P46_est_composé_de</w:t>
            </w:r>
          </w:p>
        </w:tc>
      </w:tr>
      <w:tr w:rsidR="005D75A2" w14:paraId="410EAAC3" w14:textId="77777777" w:rsidTr="32DF344F">
        <w:tc>
          <w:tcPr>
            <w:tcW w:w="0" w:type="auto"/>
          </w:tcPr>
          <w:p w14:paraId="3FBC41ED" w14:textId="5E0594C6" w:rsidR="005D75A2" w:rsidRDefault="005D75A2">
            <w:r w:rsidRPr="32DF344F">
              <w:rPr>
                <w:rStyle w:val="VerbatimChar"/>
                <w:lang w:val="fr-FR"/>
              </w:rPr>
              <w:t>P83_a_eu_pour_durée_minimale (était_la_durée_minimale_de)</w:t>
            </w:r>
          </w:p>
          <w:p w14:paraId="343A01D5" w14:textId="77777777" w:rsidR="005D75A2" w:rsidRDefault="005D75A2"/>
          <w:p w14:paraId="30650EF6" w14:textId="5C80F896" w:rsidR="005D75A2" w:rsidRDefault="005D75A2" w:rsidP="32DF344F">
            <w:pPr>
              <w:rPr>
                <w:lang w:val="fr-FR"/>
              </w:rPr>
            </w:pPr>
            <w:r w:rsidRPr="32DF344F">
              <w:rPr>
                <w:lang w:val="fr-FR"/>
              </w:rPr>
              <w:t>et</w:t>
            </w:r>
          </w:p>
          <w:p w14:paraId="2FFBD141" w14:textId="6F5F1390" w:rsidR="005D75A2" w:rsidRDefault="005D75A2">
            <w:r w:rsidRPr="32DF344F">
              <w:rPr>
                <w:rStyle w:val="VerbatimChar"/>
                <w:lang w:val="fr-FR"/>
              </w:rPr>
              <w:t>P84_a_eu_pour_durée_maximale (était_la_durée_maximale_de)</w:t>
            </w:r>
          </w:p>
        </w:tc>
        <w:tc>
          <w:tcPr>
            <w:tcW w:w="0" w:type="auto"/>
          </w:tcPr>
          <w:p w14:paraId="6A9774F1" w14:textId="7F8271C1" w:rsidR="005D75A2" w:rsidRDefault="005D75A2">
            <w:r w:rsidRPr="32DF344F">
              <w:rPr>
                <w:lang w:val="fr-FR"/>
              </w:rPr>
              <w:t xml:space="preserve">utiliser </w:t>
            </w:r>
            <w:r w:rsidRPr="32DF344F">
              <w:rPr>
                <w:rStyle w:val="VerbatimChar"/>
                <w:lang w:val="fr-FR"/>
              </w:rPr>
              <w:t>P191_a_eu_pour_durée (était_la_durée_de)</w:t>
            </w:r>
          </w:p>
          <w:p w14:paraId="4F6E2295" w14:textId="1EA63851" w:rsidR="005D75A2" w:rsidRDefault="005D75A2">
            <w:r w:rsidRPr="32DF344F">
              <w:rPr>
                <w:lang w:val="fr-FR"/>
              </w:rPr>
              <w:t xml:space="preserve">Les instances de </w:t>
            </w:r>
            <w:r w:rsidRPr="32DF344F">
              <w:rPr>
                <w:rStyle w:val="VerbatimChar"/>
                <w:lang w:val="fr-FR"/>
              </w:rPr>
              <w:t>E60_Nombre</w:t>
            </w:r>
            <w:r w:rsidRPr="32DF344F">
              <w:rPr>
                <w:lang w:val="fr-FR"/>
              </w:rPr>
              <w:t xml:space="preserve"> qui se trouvent dans des chemins sémantiques complets (</w:t>
            </w:r>
            <w:r w:rsidRPr="32DF344F">
              <w:rPr>
                <w:rStyle w:val="VerbatimChar"/>
                <w:lang w:val="fr-FR"/>
              </w:rPr>
              <w:t>E52_Intervalle_temporel</w:t>
            </w:r>
            <w:r w:rsidRPr="32DF344F">
              <w:rPr>
                <w:lang w:val="fr-FR"/>
              </w:rPr>
              <w:t xml:space="preserve"> . </w:t>
            </w:r>
            <w:r w:rsidRPr="32DF344F">
              <w:rPr>
                <w:rStyle w:val="VerbatimChar"/>
                <w:lang w:val="fr-FR"/>
              </w:rPr>
              <w:t>P83_a_eu_pour_durée_minimale</w:t>
            </w:r>
            <w:r w:rsidRPr="32DF344F">
              <w:rPr>
                <w:lang w:val="fr-FR"/>
              </w:rPr>
              <w:t xml:space="preserve"> . </w:t>
            </w:r>
            <w:r w:rsidRPr="32DF344F">
              <w:rPr>
                <w:rStyle w:val="VerbatimChar"/>
                <w:lang w:val="fr-FR"/>
              </w:rPr>
              <w:t>E54_Dimension</w:t>
            </w:r>
            <w:r w:rsidRPr="32DF344F">
              <w:rPr>
                <w:lang w:val="fr-FR"/>
              </w:rPr>
              <w:t xml:space="preserve"> . </w:t>
            </w:r>
            <w:r w:rsidRPr="32DF344F">
              <w:rPr>
                <w:rStyle w:val="VerbatimChar"/>
                <w:lang w:val="fr-FR"/>
              </w:rPr>
              <w:t>P90_a_pour_valeur</w:t>
            </w:r>
            <w:r w:rsidRPr="32DF344F">
              <w:rPr>
                <w:lang w:val="fr-FR"/>
              </w:rPr>
              <w:t xml:space="preserve"> . </w:t>
            </w:r>
            <w:r w:rsidRPr="32DF344F">
              <w:rPr>
                <w:rStyle w:val="VerbatimChar"/>
                <w:lang w:val="fr-FR"/>
              </w:rPr>
              <w:t>E60_Nombre</w:t>
            </w:r>
            <w:r w:rsidRPr="32DF344F">
              <w:rPr>
                <w:lang w:val="fr-FR"/>
              </w:rPr>
              <w:t xml:space="preserve"> et </w:t>
            </w:r>
            <w:r w:rsidRPr="32DF344F">
              <w:rPr>
                <w:rStyle w:val="VerbatimChar"/>
                <w:lang w:val="fr-FR"/>
              </w:rPr>
              <w:t>E52_Intervalle_temporel</w:t>
            </w:r>
            <w:r w:rsidRPr="32DF344F">
              <w:rPr>
                <w:lang w:val="fr-FR"/>
              </w:rPr>
              <w:t xml:space="preserve"> . </w:t>
            </w:r>
            <w:r w:rsidRPr="32DF344F">
              <w:rPr>
                <w:rStyle w:val="VerbatimChar"/>
                <w:lang w:val="fr-FR"/>
              </w:rPr>
              <w:t>P84_a_eu_pour_durée_maximale</w:t>
            </w:r>
            <w:r w:rsidRPr="32DF344F">
              <w:rPr>
                <w:lang w:val="fr-FR"/>
              </w:rPr>
              <w:t xml:space="preserve"> . </w:t>
            </w:r>
            <w:r w:rsidRPr="32DF344F">
              <w:rPr>
                <w:rStyle w:val="VerbatimChar"/>
                <w:lang w:val="fr-FR"/>
              </w:rPr>
              <w:t>E54_Dimension</w:t>
            </w:r>
            <w:r w:rsidRPr="32DF344F">
              <w:rPr>
                <w:lang w:val="fr-FR"/>
              </w:rPr>
              <w:t xml:space="preserve"> . </w:t>
            </w:r>
            <w:r w:rsidRPr="32DF344F">
              <w:rPr>
                <w:rStyle w:val="VerbatimChar"/>
                <w:lang w:val="fr-FR"/>
              </w:rPr>
              <w:t>P90_a_pour_valeur</w:t>
            </w:r>
            <w:r w:rsidRPr="32DF344F">
              <w:rPr>
                <w:lang w:val="fr-FR"/>
              </w:rPr>
              <w:t xml:space="preserve"> . </w:t>
            </w:r>
            <w:r w:rsidRPr="32DF344F">
              <w:rPr>
                <w:rStyle w:val="VerbatimChar"/>
                <w:lang w:val="fr-FR"/>
              </w:rPr>
              <w:t>E60_Nombre</w:t>
            </w:r>
            <w:r w:rsidRPr="32DF344F">
              <w:rPr>
                <w:lang w:val="fr-FR"/>
              </w:rPr>
              <w:t xml:space="preserve">) devraient être amalgamées en un seul intervalle numérique, instance de </w:t>
            </w:r>
            <w:r w:rsidRPr="32DF344F">
              <w:rPr>
                <w:rStyle w:val="VerbatimChar"/>
                <w:lang w:val="fr-FR"/>
              </w:rPr>
              <w:t>E60_Nombre</w:t>
            </w:r>
            <w:r w:rsidRPr="32DF344F">
              <w:rPr>
                <w:lang w:val="fr-FR"/>
              </w:rPr>
              <w:t xml:space="preserve"> : </w:t>
            </w:r>
            <w:r w:rsidRPr="32DF344F">
              <w:rPr>
                <w:rStyle w:val="VerbatimChar"/>
                <w:lang w:val="fr-FR"/>
              </w:rPr>
              <w:t>E52_Intervalle_temporel</w:t>
            </w:r>
            <w:r w:rsidRPr="32DF344F">
              <w:rPr>
                <w:lang w:val="fr-FR"/>
              </w:rPr>
              <w:t xml:space="preserve"> . </w:t>
            </w:r>
            <w:r w:rsidRPr="32DF344F">
              <w:rPr>
                <w:rStyle w:val="VerbatimChar"/>
                <w:lang w:val="fr-FR"/>
              </w:rPr>
              <w:t>P191_a_eu_pour_durée</w:t>
            </w:r>
            <w:r w:rsidRPr="32DF344F">
              <w:rPr>
                <w:lang w:val="fr-FR"/>
              </w:rPr>
              <w:t xml:space="preserve"> . </w:t>
            </w:r>
            <w:r w:rsidRPr="32DF344F">
              <w:rPr>
                <w:rStyle w:val="VerbatimChar"/>
                <w:lang w:val="fr-FR"/>
              </w:rPr>
              <w:t>E54_Dimension</w:t>
            </w:r>
            <w:r w:rsidRPr="32DF344F">
              <w:rPr>
                <w:lang w:val="fr-FR"/>
              </w:rPr>
              <w:t xml:space="preserve"> . </w:t>
            </w:r>
            <w:r w:rsidRPr="32DF344F">
              <w:rPr>
                <w:rStyle w:val="VerbatimChar"/>
                <w:lang w:val="fr-FR"/>
              </w:rPr>
              <w:t>P90_a_pour_valeur</w:t>
            </w:r>
            <w:r w:rsidRPr="32DF344F">
              <w:rPr>
                <w:lang w:val="fr-FR"/>
              </w:rPr>
              <w:t xml:space="preserve"> . </w:t>
            </w:r>
            <w:r w:rsidRPr="32DF344F">
              <w:rPr>
                <w:rStyle w:val="VerbatimChar"/>
                <w:lang w:val="fr-FR"/>
              </w:rPr>
              <w:t>E60_Nombre</w:t>
            </w:r>
          </w:p>
          <w:p w14:paraId="4F319096" w14:textId="77777777" w:rsidR="005D75A2" w:rsidRDefault="005D75A2">
            <w:r>
              <w:t xml:space="preserve">Pour représenter les intervalles en encodage </w:t>
            </w:r>
            <w:hyperlink r:id="rId387">
              <w:r>
                <w:rPr>
                  <w:rStyle w:val="Hyperlink"/>
                </w:rPr>
                <w:t>RDF</w:t>
              </w:r>
            </w:hyperlink>
            <w:r>
              <w:t>/</w:t>
            </w:r>
            <w:hyperlink r:id="rId388">
              <w:r>
                <w:rPr>
                  <w:rStyle w:val="Hyperlink"/>
                </w:rPr>
                <w:t>OWL</w:t>
              </w:r>
            </w:hyperlink>
            <w:r>
              <w:t>, voir les recommandations d’implémentation de chacun.</w:t>
            </w:r>
          </w:p>
        </w:tc>
      </w:tr>
      <w:tr w:rsidR="005D75A2" w14:paraId="45DDC225" w14:textId="77777777" w:rsidTr="32DF344F">
        <w:tc>
          <w:tcPr>
            <w:tcW w:w="0" w:type="auto"/>
          </w:tcPr>
          <w:p w14:paraId="6AB9D799" w14:textId="77777777" w:rsidR="005D75A2" w:rsidRDefault="005D75A2">
            <w:r>
              <w:rPr>
                <w:rStyle w:val="VerbatimChar"/>
              </w:rPr>
              <w:t>P87_est_identifié_par (identifie)</w:t>
            </w:r>
            <w:r>
              <w:rPr>
                <w:i/>
                <w:iCs/>
              </w:rPr>
              <w:t> </w:t>
            </w:r>
            <w:r>
              <w:t xml:space="preserve">: </w:t>
            </w:r>
            <w:r>
              <w:rPr>
                <w:rStyle w:val="VerbatimChar"/>
              </w:rPr>
              <w:t>E44_Appellation_du_lieu</w:t>
            </w:r>
            <w:r>
              <w:t xml:space="preserve"> (à l’exception des instances de </w:t>
            </w:r>
            <w:r>
              <w:rPr>
                <w:rStyle w:val="VerbatimChar"/>
              </w:rPr>
              <w:t>E47_Coordonnées_spatiales</w:t>
            </w:r>
            <w:r>
              <w:t>).</w:t>
            </w:r>
          </w:p>
        </w:tc>
        <w:tc>
          <w:tcPr>
            <w:tcW w:w="0" w:type="auto"/>
          </w:tcPr>
          <w:p w14:paraId="769103D6" w14:textId="339656B5" w:rsidR="005D75A2" w:rsidRDefault="005D75A2">
            <w:r w:rsidRPr="32DF344F">
              <w:rPr>
                <w:lang w:val="fr-FR"/>
              </w:rPr>
              <w:t xml:space="preserve">utiliser </w:t>
            </w:r>
            <w:r w:rsidRPr="32DF344F">
              <w:rPr>
                <w:rStyle w:val="VerbatimChar"/>
                <w:lang w:val="fr-FR"/>
              </w:rPr>
              <w:t>P1_est_identifié_par (identifie)</w:t>
            </w:r>
            <w:r w:rsidRPr="32DF344F">
              <w:rPr>
                <w:lang w:val="fr-FR"/>
              </w:rPr>
              <w:t xml:space="preserve"> : </w:t>
            </w:r>
            <w:r w:rsidRPr="32DF344F">
              <w:rPr>
                <w:rStyle w:val="VerbatimChar"/>
                <w:lang w:val="fr-FR"/>
              </w:rPr>
              <w:t>E41_Appellation</w:t>
            </w:r>
          </w:p>
        </w:tc>
      </w:tr>
      <w:tr w:rsidR="005D75A2" w14:paraId="7B9B840C" w14:textId="77777777" w:rsidTr="32DF344F">
        <w:tc>
          <w:tcPr>
            <w:tcW w:w="0" w:type="auto"/>
          </w:tcPr>
          <w:p w14:paraId="676DD371" w14:textId="77777777" w:rsidR="005D75A2" w:rsidRDefault="005D75A2">
            <w:r>
              <w:rPr>
                <w:rStyle w:val="VerbatimChar"/>
              </w:rPr>
              <w:t>P87_est_identifié_par (identifie)</w:t>
            </w:r>
            <w:r>
              <w:rPr>
                <w:i/>
                <w:iCs/>
              </w:rPr>
              <w:t> </w:t>
            </w:r>
            <w:r>
              <w:t xml:space="preserve">: </w:t>
            </w:r>
            <w:r>
              <w:rPr>
                <w:rStyle w:val="VerbatimChar"/>
              </w:rPr>
              <w:t>E47_Coordonnées_spatiales</w:t>
            </w:r>
          </w:p>
        </w:tc>
        <w:tc>
          <w:tcPr>
            <w:tcW w:w="0" w:type="auto"/>
          </w:tcPr>
          <w:p w14:paraId="7B557342" w14:textId="7273EB5D" w:rsidR="005D75A2" w:rsidRDefault="005D75A2">
            <w:r w:rsidRPr="32DF344F">
              <w:rPr>
                <w:lang w:val="fr-FR"/>
              </w:rPr>
              <w:t xml:space="preserve">utiliser </w:t>
            </w:r>
            <w:r w:rsidRPr="32DF344F">
              <w:rPr>
                <w:rStyle w:val="VerbatimChar"/>
                <w:lang w:val="fr-FR"/>
              </w:rPr>
              <w:t>P168i_définit_le_lieu</w:t>
            </w:r>
            <w:r w:rsidRPr="32DF344F">
              <w:rPr>
                <w:lang w:val="fr-FR"/>
              </w:rPr>
              <w:t xml:space="preserve"> : </w:t>
            </w:r>
            <w:r w:rsidRPr="32DF344F">
              <w:rPr>
                <w:rStyle w:val="VerbatimChar"/>
                <w:lang w:val="fr-FR"/>
              </w:rPr>
              <w:t>E94_Primitive_spatiale</w:t>
            </w:r>
          </w:p>
        </w:tc>
      </w:tr>
      <w:tr w:rsidR="005D75A2" w14:paraId="3E64CCB1" w14:textId="77777777" w:rsidTr="32DF344F">
        <w:tc>
          <w:tcPr>
            <w:tcW w:w="0" w:type="auto"/>
          </w:tcPr>
          <w:p w14:paraId="1825A956" w14:textId="77777777" w:rsidR="005D75A2" w:rsidRDefault="005D75A2">
            <w:r>
              <w:rPr>
                <w:rStyle w:val="VerbatimChar"/>
              </w:rPr>
              <w:t>P114_a_pour_équivalence_temporelle</w:t>
            </w:r>
            <w:r>
              <w:t>*</w:t>
            </w:r>
          </w:p>
        </w:tc>
        <w:tc>
          <w:tcPr>
            <w:tcW w:w="0" w:type="auto"/>
          </w:tcPr>
          <w:p w14:paraId="77DE0E26" w14:textId="53328C9D" w:rsidR="005D75A2" w:rsidRDefault="005D75A2">
            <w:r w:rsidRPr="32DF344F">
              <w:rPr>
                <w:lang w:val="fr-FR"/>
              </w:rPr>
              <w:t xml:space="preserve">utiliser le chemin sémantique complet depuis </w:t>
            </w:r>
            <w:r w:rsidRPr="32DF344F">
              <w:rPr>
                <w:rStyle w:val="VerbatimChar"/>
                <w:lang w:val="fr-FR"/>
              </w:rPr>
              <w:t xml:space="preserve">E2_Entité_temporelle </w:t>
            </w:r>
            <w:r w:rsidRPr="32DF344F">
              <w:rPr>
                <w:lang w:val="fr-FR"/>
              </w:rPr>
              <w:t xml:space="preserve">en passant par </w:t>
            </w:r>
            <w:r w:rsidRPr="32DF344F">
              <w:rPr>
                <w:rStyle w:val="VerbatimChar"/>
                <w:lang w:val="fr-FR"/>
              </w:rPr>
              <w:t>P4_a_pour_intervalle_temporel</w:t>
            </w:r>
            <w:r w:rsidRPr="32DF344F">
              <w:rPr>
                <w:lang w:val="fr-FR"/>
              </w:rPr>
              <w:t xml:space="preserve">, </w:t>
            </w:r>
            <w:r w:rsidRPr="32DF344F">
              <w:rPr>
                <w:rStyle w:val="VerbatimChar"/>
                <w:lang w:val="fr-FR"/>
              </w:rPr>
              <w:t>E52_Intervalle_temporel</w:t>
            </w:r>
            <w:r w:rsidRPr="32DF344F">
              <w:rPr>
                <w:lang w:val="fr-FR"/>
              </w:rPr>
              <w:t xml:space="preserve">, </w:t>
            </w:r>
            <w:r w:rsidRPr="32DF344F">
              <w:rPr>
                <w:rStyle w:val="VerbatimChar"/>
                <w:lang w:val="fr-FR"/>
              </w:rPr>
              <w:t>P4i_est_l’intervalle_temporel_de</w:t>
            </w:r>
            <w:r w:rsidRPr="32DF344F">
              <w:rPr>
                <w:lang w:val="fr-FR"/>
              </w:rPr>
              <w:t xml:space="preserve"> . </w:t>
            </w:r>
            <w:r w:rsidRPr="32DF344F">
              <w:rPr>
                <w:rStyle w:val="VerbatimChar"/>
                <w:lang w:val="fr-FR"/>
              </w:rPr>
              <w:t>E2_Entité_temporelle</w:t>
            </w:r>
          </w:p>
          <w:p w14:paraId="1CD1B3B4" w14:textId="1298D14A" w:rsidR="005D75A2" w:rsidRDefault="005D75A2">
            <w:r w:rsidRPr="32DF344F">
              <w:rPr>
                <w:lang w:val="fr-FR"/>
              </w:rPr>
              <w:t xml:space="preserve">Théoriquement, </w:t>
            </w:r>
            <w:r w:rsidRPr="32DF344F">
              <w:rPr>
                <w:i/>
                <w:iCs/>
                <w:lang w:val="fr-FR"/>
              </w:rPr>
              <w:t>P114_a_pour_équivalence_temporelle</w:t>
            </w:r>
            <w:r w:rsidRPr="32DF344F">
              <w:rPr>
                <w:lang w:val="fr-FR"/>
              </w:rPr>
              <w:t xml:space="preserve"> est l’équivalent de la conjonction de (</w:t>
            </w:r>
            <w:r w:rsidRPr="32DF344F">
              <w:rPr>
                <w:rStyle w:val="VerbatimChar"/>
                <w:lang w:val="fr-FR"/>
              </w:rPr>
              <w:t>P175_commence_avant_ou_au_moment_du_début_de</w:t>
            </w:r>
            <w:r w:rsidRPr="32DF344F">
              <w:rPr>
                <w:lang w:val="fr-FR"/>
              </w:rPr>
              <w:t xml:space="preserve"> et </w:t>
            </w:r>
            <w:r w:rsidRPr="32DF344F">
              <w:rPr>
                <w:rStyle w:val="VerbatimChar"/>
                <w:lang w:val="fr-FR"/>
              </w:rPr>
              <w:t>P175i_commence_après_ou_au_moment_du_début_de</w:t>
            </w:r>
            <w:r w:rsidRPr="32DF344F">
              <w:rPr>
                <w:lang w:val="fr-FR"/>
              </w:rPr>
              <w:t xml:space="preserve"> et  </w:t>
            </w:r>
            <w:r w:rsidRPr="32DF344F">
              <w:rPr>
                <w:rStyle w:val="VerbatimChar"/>
                <w:lang w:val="fr-FR"/>
              </w:rPr>
              <w:t>P184_se_termine_avant_ou_au_moment_de_la_fin_de</w:t>
            </w:r>
            <w:r w:rsidRPr="32DF344F">
              <w:rPr>
                <w:lang w:val="fr-FR"/>
              </w:rPr>
              <w:t xml:space="preserve"> et </w:t>
            </w:r>
            <w:r w:rsidRPr="32DF344F">
              <w:rPr>
                <w:rStyle w:val="VerbatimChar"/>
                <w:lang w:val="fr-FR"/>
              </w:rPr>
              <w:t>P184i_se_termine_au_moment_ou_après_la_fin_de</w:t>
            </w:r>
            <w:r w:rsidRPr="32DF344F">
              <w:rPr>
                <w:lang w:val="fr-FR"/>
              </w:rPr>
              <w:t xml:space="preserve">) sans frontières temporelles floues. Cependant, seules une cause commune ou un intervalle temporel déclaré socialement peuvent mener à l’équivalence temporelle de différentes instances de </w:t>
            </w:r>
            <w:r w:rsidRPr="32DF344F">
              <w:rPr>
                <w:rStyle w:val="VerbatimChar"/>
                <w:lang w:val="fr-FR"/>
              </w:rPr>
              <w:t>E2_Entité_temporelle</w:t>
            </w:r>
            <w:r w:rsidRPr="32DF344F">
              <w:rPr>
                <w:lang w:val="fr-FR"/>
              </w:rPr>
              <w:t>. Par conséquent, la création d’un chemin sémantique complet est la stratégie de migration qui devrait toujours être privilégiée.</w:t>
            </w:r>
          </w:p>
        </w:tc>
      </w:tr>
      <w:tr w:rsidR="005D75A2" w14:paraId="0B15FA79" w14:textId="77777777" w:rsidTr="32DF344F">
        <w:tc>
          <w:tcPr>
            <w:tcW w:w="0" w:type="auto"/>
          </w:tcPr>
          <w:p w14:paraId="3C0D6955" w14:textId="55C63E15" w:rsidR="005D75A2" w:rsidRDefault="005D75A2" w:rsidP="32DF344F">
            <w:pPr>
              <w:rPr>
                <w:lang w:val="fr-FR"/>
              </w:rPr>
            </w:pPr>
            <w:r w:rsidRPr="32DF344F">
              <w:rPr>
                <w:rStyle w:val="VerbatimChar"/>
                <w:lang w:val="fr-FR"/>
              </w:rPr>
              <w:t>P115_termine (est terminé par)</w:t>
            </w:r>
            <w:r w:rsidRPr="32DF344F">
              <w:rPr>
                <w:lang w:val="fr-FR"/>
              </w:rPr>
              <w:t>*</w:t>
            </w:r>
          </w:p>
        </w:tc>
        <w:tc>
          <w:tcPr>
            <w:tcW w:w="0" w:type="auto"/>
          </w:tcPr>
          <w:p w14:paraId="698EC335" w14:textId="27660E72" w:rsidR="005D75A2" w:rsidRDefault="005D75A2">
            <w:r w:rsidRPr="32DF344F">
              <w:rPr>
                <w:lang w:val="fr-FR"/>
              </w:rPr>
              <w:t xml:space="preserve">utiliser </w:t>
            </w:r>
            <w:r w:rsidRPr="32DF344F">
              <w:rPr>
                <w:rStyle w:val="VerbatimChar"/>
                <w:lang w:val="fr-FR"/>
              </w:rPr>
              <w:t>P176i_commence_avant_le_début_de</w:t>
            </w:r>
            <w:r w:rsidRPr="32DF344F">
              <w:rPr>
                <w:lang w:val="fr-FR"/>
              </w:rPr>
              <w:t xml:space="preserve"> </w:t>
            </w:r>
            <w:r w:rsidRPr="32DF344F">
              <w:rPr>
                <w:b/>
                <w:bCs/>
                <w:lang w:val="fr-FR"/>
              </w:rPr>
              <w:t>et</w:t>
            </w:r>
            <w:r w:rsidRPr="32DF344F">
              <w:rPr>
                <w:lang w:val="fr-FR"/>
              </w:rPr>
              <w:t xml:space="preserve"> </w:t>
            </w:r>
            <w:r w:rsidRPr="32DF344F">
              <w:rPr>
                <w:rStyle w:val="VerbatimChar"/>
                <w:lang w:val="fr-FR"/>
              </w:rPr>
              <w:t>P184_se_termine_avant_ou_au_moment_de_la_fin_de</w:t>
            </w:r>
            <w:r w:rsidRPr="32DF344F">
              <w:rPr>
                <w:lang w:val="fr-FR"/>
              </w:rPr>
              <w:t xml:space="preserve"> et </w:t>
            </w:r>
            <w:r w:rsidRPr="32DF344F">
              <w:rPr>
                <w:rStyle w:val="VerbatimChar"/>
                <w:lang w:val="fr-FR"/>
              </w:rPr>
              <w:t>P184i_se_termine_au_moment_ou_après_la_fin_de</w:t>
            </w:r>
            <w:r w:rsidRPr="32DF344F">
              <w:rPr>
                <w:lang w:val="fr-FR"/>
              </w:rPr>
              <w:t xml:space="preserve"> [</w:t>
            </w:r>
            <w:r w:rsidRPr="32DF344F">
              <w:rPr>
                <w:rStyle w:val="VerbatimChar"/>
                <w:lang w:val="fr-FR"/>
              </w:rPr>
              <w:t>P176i_commence_avant_le_début_de</w:t>
            </w:r>
            <w:r w:rsidRPr="32DF344F">
              <w:rPr>
                <w:lang w:val="fr-FR"/>
              </w:rPr>
              <w:t xml:space="preserve"> est exigé car la portée de </w:t>
            </w:r>
            <w:r w:rsidRPr="32DF344F">
              <w:rPr>
                <w:rStyle w:val="VerbatimChar"/>
                <w:lang w:val="fr-FR"/>
              </w:rPr>
              <w:t>E2_Entité_temporelle</w:t>
            </w:r>
            <w:r w:rsidRPr="32DF344F">
              <w:rPr>
                <w:lang w:val="fr-FR"/>
              </w:rPr>
              <w:t xml:space="preserve"> doit être plus longue que le domaine de </w:t>
            </w:r>
            <w:r w:rsidRPr="32DF344F">
              <w:rPr>
                <w:rStyle w:val="VerbatimChar"/>
                <w:lang w:val="fr-FR"/>
              </w:rPr>
              <w:t>E2_Entité_temporelle</w:t>
            </w:r>
            <w:r w:rsidRPr="32DF344F">
              <w:rPr>
                <w:lang w:val="fr-FR"/>
              </w:rPr>
              <w:t>].</w:t>
            </w:r>
          </w:p>
        </w:tc>
      </w:tr>
      <w:tr w:rsidR="005D75A2" w14:paraId="4E76B6CC" w14:textId="77777777" w:rsidTr="32DF344F">
        <w:tc>
          <w:tcPr>
            <w:tcW w:w="0" w:type="auto"/>
          </w:tcPr>
          <w:p w14:paraId="6536B8D0" w14:textId="72762EC2" w:rsidR="005D75A2" w:rsidRDefault="005D75A2">
            <w:r w:rsidRPr="32DF344F">
              <w:rPr>
                <w:rStyle w:val="VerbatimChar"/>
                <w:lang w:val="fr-FR"/>
              </w:rPr>
              <w:t>P116_commence (est_commencé_par)</w:t>
            </w:r>
            <w:r w:rsidRPr="32DF344F">
              <w:rPr>
                <w:lang w:val="fr-FR"/>
              </w:rPr>
              <w:t>*</w:t>
            </w:r>
          </w:p>
        </w:tc>
        <w:tc>
          <w:tcPr>
            <w:tcW w:w="0" w:type="auto"/>
          </w:tcPr>
          <w:p w14:paraId="7F5D00FD" w14:textId="1C44C74D" w:rsidR="005D75A2" w:rsidRDefault="005D75A2">
            <w:r w:rsidRPr="32DF344F">
              <w:rPr>
                <w:lang w:val="fr-FR"/>
              </w:rPr>
              <w:t xml:space="preserve">utiliser </w:t>
            </w:r>
            <w:r w:rsidRPr="32DF344F">
              <w:rPr>
                <w:rStyle w:val="VerbatimChar"/>
                <w:lang w:val="fr-FR"/>
              </w:rPr>
              <w:t>P175_commence_avant_ou_au_moment_du_début_de</w:t>
            </w:r>
            <w:r w:rsidRPr="32DF344F">
              <w:rPr>
                <w:lang w:val="fr-FR"/>
              </w:rPr>
              <w:t xml:space="preserve"> </w:t>
            </w:r>
            <w:r w:rsidRPr="32DF344F">
              <w:rPr>
                <w:b/>
                <w:bCs/>
                <w:lang w:val="fr-FR"/>
              </w:rPr>
              <w:t>et</w:t>
            </w:r>
            <w:r w:rsidRPr="32DF344F">
              <w:rPr>
                <w:lang w:val="fr-FR"/>
              </w:rPr>
              <w:t xml:space="preserve"> </w:t>
            </w:r>
            <w:r w:rsidRPr="32DF344F">
              <w:rPr>
                <w:rStyle w:val="VerbatimChar"/>
                <w:lang w:val="fr-FR"/>
              </w:rPr>
              <w:t>P175i_commence_après_ou_au_moment_du_début_de</w:t>
            </w:r>
            <w:r w:rsidRPr="32DF344F">
              <w:rPr>
                <w:lang w:val="fr-FR"/>
              </w:rPr>
              <w:t xml:space="preserve"> </w:t>
            </w:r>
            <w:r w:rsidRPr="32DF344F">
              <w:rPr>
                <w:b/>
                <w:bCs/>
                <w:lang w:val="fr-FR"/>
              </w:rPr>
              <w:t>et</w:t>
            </w:r>
            <w:r w:rsidRPr="32DF344F">
              <w:rPr>
                <w:lang w:val="fr-FR"/>
              </w:rPr>
              <w:t xml:space="preserve"> </w:t>
            </w:r>
            <w:r w:rsidRPr="32DF344F">
              <w:rPr>
                <w:rStyle w:val="VerbatimChar"/>
                <w:lang w:val="fr-FR"/>
              </w:rPr>
              <w:t>P185_se_termine_avant_la_fin_de</w:t>
            </w:r>
            <w:r w:rsidRPr="32DF344F">
              <w:rPr>
                <w:lang w:val="fr-FR"/>
              </w:rPr>
              <w:t xml:space="preserve"> [</w:t>
            </w:r>
            <w:r w:rsidRPr="32DF344F">
              <w:rPr>
                <w:rStyle w:val="VerbatimChar"/>
                <w:lang w:val="fr-FR"/>
              </w:rPr>
              <w:t>P185_se_termine_avant_la_fin_de</w:t>
            </w:r>
            <w:r w:rsidRPr="32DF344F">
              <w:rPr>
                <w:lang w:val="fr-FR"/>
              </w:rPr>
              <w:t xml:space="preserve"> est exigé car la portée de </w:t>
            </w:r>
            <w:r w:rsidRPr="32DF344F">
              <w:rPr>
                <w:rStyle w:val="VerbatimChar"/>
                <w:lang w:val="fr-FR"/>
              </w:rPr>
              <w:t>E2_Entité_temporelle</w:t>
            </w:r>
            <w:r w:rsidRPr="32DF344F">
              <w:rPr>
                <w:lang w:val="fr-FR"/>
              </w:rPr>
              <w:t xml:space="preserve"> doit être plus longue que le domaine de </w:t>
            </w:r>
            <w:r w:rsidRPr="32DF344F">
              <w:rPr>
                <w:rStyle w:val="VerbatimChar"/>
                <w:lang w:val="fr-FR"/>
              </w:rPr>
              <w:t>E2_Entité_temporelle</w:t>
            </w:r>
            <w:r w:rsidRPr="32DF344F">
              <w:rPr>
                <w:lang w:val="fr-FR"/>
              </w:rPr>
              <w:t>]</w:t>
            </w:r>
          </w:p>
        </w:tc>
      </w:tr>
      <w:tr w:rsidR="005D75A2" w14:paraId="0385EC33" w14:textId="77777777" w:rsidTr="32DF344F">
        <w:tc>
          <w:tcPr>
            <w:tcW w:w="0" w:type="auto"/>
          </w:tcPr>
          <w:p w14:paraId="3B4F86F4" w14:textId="77777777" w:rsidR="005D75A2" w:rsidRDefault="005D75A2">
            <w:r>
              <w:rPr>
                <w:rStyle w:val="VerbatimChar"/>
              </w:rPr>
              <w:t>P117_se_produit_durant (inclut)</w:t>
            </w:r>
            <w:r>
              <w:t>*</w:t>
            </w:r>
          </w:p>
        </w:tc>
        <w:tc>
          <w:tcPr>
            <w:tcW w:w="0" w:type="auto"/>
          </w:tcPr>
          <w:p w14:paraId="74F9061F" w14:textId="3A043E61" w:rsidR="005D75A2" w:rsidRDefault="005D75A2">
            <w:r w:rsidRPr="32DF344F">
              <w:rPr>
                <w:lang w:val="fr-FR"/>
              </w:rPr>
              <w:t xml:space="preserve">utiliser </w:t>
            </w:r>
            <w:r w:rsidRPr="32DF344F">
              <w:rPr>
                <w:rStyle w:val="VerbatimChar"/>
                <w:lang w:val="fr-FR"/>
              </w:rPr>
              <w:t>P176i_commence_après_le_début_de</w:t>
            </w:r>
            <w:r w:rsidRPr="32DF344F">
              <w:rPr>
                <w:lang w:val="fr-FR"/>
              </w:rPr>
              <w:t xml:space="preserve"> et  </w:t>
            </w:r>
            <w:r w:rsidRPr="32DF344F">
              <w:rPr>
                <w:rStyle w:val="VerbatimChar"/>
                <w:lang w:val="fr-FR"/>
              </w:rPr>
              <w:t>P185_se_termine_avant_la_fin_de</w:t>
            </w:r>
          </w:p>
        </w:tc>
      </w:tr>
      <w:tr w:rsidR="005D75A2" w14:paraId="3D4AC577" w14:textId="77777777" w:rsidTr="32DF344F">
        <w:tc>
          <w:tcPr>
            <w:tcW w:w="0" w:type="auto"/>
          </w:tcPr>
          <w:p w14:paraId="43C3149A" w14:textId="7CBDBEEF" w:rsidR="005D75A2" w:rsidRDefault="005D75A2">
            <w:r w:rsidRPr="32DF344F">
              <w:rPr>
                <w:rStyle w:val="VerbatimChar"/>
                <w:lang w:val="fr-FR"/>
              </w:rPr>
              <w:t>P118_se_superpose_temporellement_à (est_temporellement_superposé_à)</w:t>
            </w:r>
            <w:r w:rsidRPr="32DF344F">
              <w:rPr>
                <w:lang w:val="fr-FR"/>
              </w:rPr>
              <w:t>*</w:t>
            </w:r>
          </w:p>
        </w:tc>
        <w:tc>
          <w:tcPr>
            <w:tcW w:w="0" w:type="auto"/>
          </w:tcPr>
          <w:p w14:paraId="2DFA3B00" w14:textId="4EA80D4B" w:rsidR="005D75A2" w:rsidRDefault="005D75A2">
            <w:r w:rsidRPr="32DF344F">
              <w:rPr>
                <w:lang w:val="fr-FR"/>
              </w:rPr>
              <w:t xml:space="preserve">utiliser </w:t>
            </w:r>
            <w:r w:rsidRPr="32DF344F">
              <w:rPr>
                <w:rStyle w:val="VerbatimChar"/>
                <w:lang w:val="fr-FR"/>
              </w:rPr>
              <w:t>P176_commence_avant_le_début_de</w:t>
            </w:r>
            <w:r w:rsidRPr="32DF344F">
              <w:rPr>
                <w:lang w:val="fr-FR"/>
              </w:rPr>
              <w:t xml:space="preserve"> et  </w:t>
            </w:r>
            <w:r w:rsidRPr="32DF344F">
              <w:rPr>
                <w:rStyle w:val="VerbatimChar"/>
                <w:lang w:val="fr-FR"/>
              </w:rPr>
              <w:t>P185_se_termine_avant_la_fin_de</w:t>
            </w:r>
          </w:p>
        </w:tc>
      </w:tr>
      <w:tr w:rsidR="005D75A2" w14:paraId="3B2F7EDC" w14:textId="77777777" w:rsidTr="32DF344F">
        <w:tc>
          <w:tcPr>
            <w:tcW w:w="0" w:type="auto"/>
          </w:tcPr>
          <w:p w14:paraId="78864D2E" w14:textId="3E222760" w:rsidR="005D75A2" w:rsidRDefault="005D75A2">
            <w:r w:rsidRPr="32DF344F">
              <w:rPr>
                <w:rStyle w:val="VerbatimChar"/>
                <w:lang w:val="fr-FR"/>
              </w:rPr>
              <w:t>P119_concorde_temporellement_avec (concorde_temporellement_avec)</w:t>
            </w:r>
            <w:r w:rsidRPr="32DF344F">
              <w:rPr>
                <w:lang w:val="fr-FR"/>
              </w:rPr>
              <w:t>*</w:t>
            </w:r>
          </w:p>
        </w:tc>
        <w:tc>
          <w:tcPr>
            <w:tcW w:w="0" w:type="auto"/>
          </w:tcPr>
          <w:p w14:paraId="534BCD94" w14:textId="1A1A67CA" w:rsidR="005D75A2" w:rsidRDefault="005D75A2">
            <w:r w:rsidRPr="32DF344F">
              <w:rPr>
                <w:lang w:val="fr-FR"/>
              </w:rPr>
              <w:t xml:space="preserve">utiliser </w:t>
            </w:r>
            <w:r w:rsidRPr="32DF344F">
              <w:rPr>
                <w:rStyle w:val="VerbatimChar"/>
                <w:lang w:val="fr-FR"/>
              </w:rPr>
              <w:t>P182_se_termine_avant_ou_au_début_du_moment_de</w:t>
            </w:r>
            <w:r w:rsidRPr="32DF344F">
              <w:rPr>
                <w:lang w:val="fr-FR"/>
              </w:rPr>
              <w:t xml:space="preserve"> et </w:t>
            </w:r>
            <w:r w:rsidRPr="32DF344F">
              <w:rPr>
                <w:rStyle w:val="VerbatimChar"/>
                <w:lang w:val="fr-FR"/>
              </w:rPr>
              <w:t>P173i_se_termine_après_ou_au_moment_du_début_de</w:t>
            </w:r>
          </w:p>
        </w:tc>
      </w:tr>
      <w:tr w:rsidR="005D75A2" w14:paraId="62ED98F4" w14:textId="77777777" w:rsidTr="32DF344F">
        <w:tc>
          <w:tcPr>
            <w:tcW w:w="0" w:type="auto"/>
          </w:tcPr>
          <w:p w14:paraId="28228A93" w14:textId="6915FD82" w:rsidR="005D75A2" w:rsidRDefault="005D75A2">
            <w:r w:rsidRPr="32DF344F">
              <w:rPr>
                <w:rStyle w:val="VerbatimChar"/>
                <w:lang w:val="fr-FR"/>
              </w:rPr>
              <w:t>P120_se_produit_avant (se_produit_après)</w:t>
            </w:r>
            <w:r w:rsidRPr="32DF344F">
              <w:rPr>
                <w:lang w:val="fr-FR"/>
              </w:rPr>
              <w:t>*</w:t>
            </w:r>
          </w:p>
        </w:tc>
        <w:tc>
          <w:tcPr>
            <w:tcW w:w="0" w:type="auto"/>
          </w:tcPr>
          <w:p w14:paraId="502AFC46" w14:textId="5C3AC367" w:rsidR="005D75A2" w:rsidRDefault="005D75A2">
            <w:r w:rsidRPr="32DF344F">
              <w:rPr>
                <w:lang w:val="fr-FR"/>
              </w:rPr>
              <w:t xml:space="preserve">utiliser </w:t>
            </w:r>
            <w:r w:rsidRPr="32DF344F">
              <w:rPr>
                <w:rStyle w:val="VerbatimChar"/>
                <w:lang w:val="fr-FR"/>
              </w:rPr>
              <w:t>P183_se_termine_avant_le_début_de</w:t>
            </w:r>
          </w:p>
        </w:tc>
      </w:tr>
      <w:tr w:rsidR="005D75A2" w14:paraId="6CA2A337" w14:textId="77777777" w:rsidTr="32DF344F">
        <w:tc>
          <w:tcPr>
            <w:tcW w:w="0" w:type="auto"/>
          </w:tcPr>
          <w:p w14:paraId="5011A8FF" w14:textId="77777777" w:rsidR="005D75A2" w:rsidRDefault="005D75A2">
            <w:r>
              <w:rPr>
                <w:rStyle w:val="VerbatimChar"/>
              </w:rPr>
              <w:t>P131_est_identifié_par (identifie)</w:t>
            </w:r>
            <w:r>
              <w:t xml:space="preserve"> </w:t>
            </w:r>
          </w:p>
        </w:tc>
        <w:tc>
          <w:tcPr>
            <w:tcW w:w="0" w:type="auto"/>
          </w:tcPr>
          <w:p w14:paraId="508D2F1A" w14:textId="104200F9" w:rsidR="005D75A2" w:rsidRDefault="005D75A2">
            <w:r w:rsidRPr="32DF344F">
              <w:rPr>
                <w:lang w:val="fr-FR"/>
              </w:rPr>
              <w:t xml:space="preserve">utiliser </w:t>
            </w:r>
            <w:r w:rsidRPr="32DF344F">
              <w:rPr>
                <w:rStyle w:val="VerbatimChar"/>
                <w:lang w:val="fr-FR"/>
              </w:rPr>
              <w:t>P1_est_identifié_par (identifie)</w:t>
            </w:r>
          </w:p>
        </w:tc>
      </w:tr>
      <w:tr w:rsidR="005D75A2" w14:paraId="39FD2F09" w14:textId="77777777" w:rsidTr="32DF344F">
        <w:tc>
          <w:tcPr>
            <w:tcW w:w="0" w:type="auto"/>
          </w:tcPr>
          <w:p w14:paraId="365C71E3" w14:textId="77777777" w:rsidR="005D75A2" w:rsidRDefault="005D75A2">
            <w:r>
              <w:rPr>
                <w:rStyle w:val="VerbatimChar"/>
              </w:rPr>
              <w:t>P149_est_identifié_par (identifie)</w:t>
            </w:r>
            <w:r>
              <w:t xml:space="preserve"> </w:t>
            </w:r>
          </w:p>
        </w:tc>
        <w:tc>
          <w:tcPr>
            <w:tcW w:w="0" w:type="auto"/>
          </w:tcPr>
          <w:p w14:paraId="1389E384" w14:textId="7D27971A" w:rsidR="005D75A2" w:rsidRDefault="005D75A2">
            <w:r w:rsidRPr="32DF344F">
              <w:rPr>
                <w:lang w:val="fr-FR"/>
              </w:rPr>
              <w:t xml:space="preserve">utiliser </w:t>
            </w:r>
            <w:r w:rsidRPr="32DF344F">
              <w:rPr>
                <w:rStyle w:val="VerbatimChar"/>
                <w:lang w:val="fr-FR"/>
              </w:rPr>
              <w:t>P1_est_identifié_par (identifie)</w:t>
            </w:r>
          </w:p>
        </w:tc>
      </w:tr>
      <w:tr w:rsidR="005D75A2" w14:paraId="70B23581" w14:textId="77777777" w:rsidTr="32DF344F">
        <w:tc>
          <w:tcPr>
            <w:tcW w:w="0" w:type="auto"/>
          </w:tcPr>
          <w:p w14:paraId="41024D01" w14:textId="3A81C469" w:rsidR="005D75A2" w:rsidRDefault="005D75A2">
            <w:r w:rsidRPr="32DF344F">
              <w:rPr>
                <w:rStyle w:val="VerbatimChar"/>
                <w:lang w:val="fr-FR"/>
              </w:rPr>
              <w:t>P178_se_termine_après_ou_au_moment_de (se_termine_avant_ou_à_la_fin_de)</w:t>
            </w:r>
          </w:p>
        </w:tc>
        <w:tc>
          <w:tcPr>
            <w:tcW w:w="0" w:type="auto"/>
          </w:tcPr>
          <w:p w14:paraId="1050E5F3" w14:textId="0D2B9705" w:rsidR="005D75A2" w:rsidRDefault="005D75A2">
            <w:r w:rsidRPr="32DF344F">
              <w:rPr>
                <w:lang w:val="fr-FR"/>
              </w:rPr>
              <w:t xml:space="preserve">utiliser </w:t>
            </w:r>
            <w:r w:rsidRPr="32DF344F">
              <w:rPr>
                <w:rStyle w:val="VerbatimChar"/>
                <w:lang w:val="fr-FR"/>
              </w:rPr>
              <w:t>P184i_se_termine_au_moment_de_ou_après_la_fin_de</w:t>
            </w:r>
          </w:p>
        </w:tc>
      </w:tr>
      <w:tr w:rsidR="005D75A2" w14:paraId="71EBB661" w14:textId="77777777" w:rsidTr="32DF344F">
        <w:tc>
          <w:tcPr>
            <w:tcW w:w="0" w:type="auto"/>
          </w:tcPr>
          <w:p w14:paraId="7FBB7851" w14:textId="77777777" w:rsidR="005D75A2" w:rsidRDefault="005D75A2">
            <w:r>
              <w:rPr>
                <w:rStyle w:val="VerbatimChar"/>
              </w:rPr>
              <w:t>P181_a_pour_quantité</w:t>
            </w:r>
          </w:p>
        </w:tc>
        <w:tc>
          <w:tcPr>
            <w:tcW w:w="0" w:type="auto"/>
          </w:tcPr>
          <w:p w14:paraId="5603AF57" w14:textId="3E6852AD" w:rsidR="005D75A2" w:rsidRDefault="005D75A2">
            <w:r w:rsidRPr="32DF344F">
              <w:rPr>
                <w:lang w:val="fr-FR"/>
              </w:rPr>
              <w:t xml:space="preserve">utiliser </w:t>
            </w:r>
            <w:r w:rsidRPr="32DF344F">
              <w:rPr>
                <w:rStyle w:val="VerbatimChar"/>
                <w:lang w:val="fr-FR"/>
              </w:rPr>
              <w:t>E54_Dimension</w:t>
            </w:r>
            <w:r w:rsidRPr="32DF344F">
              <w:rPr>
                <w:lang w:val="fr-FR"/>
              </w:rPr>
              <w:t xml:space="preserve"> . </w:t>
            </w:r>
            <w:r w:rsidRPr="32DF344F">
              <w:rPr>
                <w:rStyle w:val="VerbatimChar"/>
                <w:lang w:val="fr-FR"/>
              </w:rPr>
              <w:t>P90_a_pour_valeur</w:t>
            </w:r>
            <w:r w:rsidRPr="32DF344F">
              <w:rPr>
                <w:lang w:val="fr-FR"/>
              </w:rPr>
              <w:t xml:space="preserve"> : </w:t>
            </w:r>
            <w:r w:rsidRPr="32DF344F">
              <w:rPr>
                <w:rStyle w:val="VerbatimChar"/>
                <w:lang w:val="fr-FR"/>
              </w:rPr>
              <w:t>E60_Nombre</w:t>
            </w:r>
          </w:p>
        </w:tc>
      </w:tr>
      <w:tr w:rsidR="005D75A2" w14:paraId="047F7CA7" w14:textId="77777777" w:rsidTr="32DF344F">
        <w:tc>
          <w:tcPr>
            <w:tcW w:w="0" w:type="auto"/>
            <w:gridSpan w:val="2"/>
          </w:tcPr>
          <w:p w14:paraId="4A26DFC5" w14:textId="173222CB" w:rsidR="005D75A2" w:rsidRDefault="005D75A2">
            <w:pPr>
              <w:pStyle w:val="Compact"/>
            </w:pPr>
            <w:r w:rsidRPr="32DF344F">
              <w:rPr>
                <w:vertAlign w:val="superscript"/>
                <w:lang w:val="fr-FR"/>
              </w:rPr>
              <w:t>*</w:t>
            </w:r>
            <w:r w:rsidRPr="32DF344F">
              <w:rPr>
                <w:lang w:val="fr-FR"/>
              </w:rPr>
              <w:t xml:space="preserve"> Les propriétés P114 à P120 ont été introduites par l’extension « Definition of the CRMarchaeo. An Extension of CIDOC CRM to support the archaeological excavation process”, Version 1.5.1 qui date de mars 2021.</w:t>
            </w:r>
          </w:p>
        </w:tc>
      </w:tr>
      <w:tr w:rsidR="005D75A2" w14:paraId="06D25881" w14:textId="77777777" w:rsidTr="32DF344F">
        <w:tc>
          <w:tcPr>
            <w:tcW w:w="0" w:type="auto"/>
          </w:tcPr>
          <w:p w14:paraId="29DDC253" w14:textId="77777777" w:rsidR="005D75A2" w:rsidRDefault="005D75A2">
            <w:r>
              <w:rPr>
                <w:i/>
                <w:iCs/>
              </w:rPr>
              <w:t>Note de traduction</w:t>
            </w:r>
          </w:p>
        </w:tc>
        <w:tc>
          <w:tcPr>
            <w:tcW w:w="0" w:type="auto"/>
          </w:tcPr>
          <w:p w14:paraId="47170D12" w14:textId="77777777" w:rsidR="005D75A2" w:rsidRDefault="005D75A2">
            <w:pPr>
              <w:pStyle w:val="Compact"/>
            </w:pPr>
          </w:p>
        </w:tc>
      </w:tr>
      <w:tr w:rsidR="005D75A2" w14:paraId="5B9029FB" w14:textId="77777777" w:rsidTr="32DF344F">
        <w:tc>
          <w:tcPr>
            <w:tcW w:w="0" w:type="auto"/>
          </w:tcPr>
          <w:p w14:paraId="4E9A07FB" w14:textId="77777777" w:rsidR="005D75A2" w:rsidRDefault="005D75A2">
            <w:r>
              <w:rPr>
                <w:i/>
                <w:iCs/>
              </w:rPr>
              <w:t>Références</w:t>
            </w:r>
          </w:p>
        </w:tc>
        <w:tc>
          <w:tcPr>
            <w:tcW w:w="0" w:type="auto"/>
          </w:tcPr>
          <w:p w14:paraId="44E866AE" w14:textId="77777777" w:rsidR="005D75A2" w:rsidRPr="008C0D99" w:rsidRDefault="005D75A2">
            <w:pPr>
              <w:rPr>
                <w:lang w:val="en-CA"/>
              </w:rPr>
            </w:pPr>
          </w:p>
        </w:tc>
      </w:tr>
    </w:tbl>
    <w:p w14:paraId="44A7665D" w14:textId="77777777" w:rsidR="0084489F" w:rsidRDefault="00110FE6">
      <w:pPr>
        <w:pStyle w:val="Heading4"/>
      </w:pPr>
      <w:bookmarkStart w:id="620" w:name="X17b88590bb97622a01fe4d93ef64cc755fdff59"/>
      <w:r>
        <w:t>Instructions de migration pour E81_Transformation (note d’application restreinte)</w:t>
      </w:r>
    </w:p>
    <w:p w14:paraId="650ED201" w14:textId="77777777" w:rsidR="0084489F" w:rsidRDefault="00110FE6">
      <w:pPr>
        <w:pStyle w:val="FirstParagraph"/>
      </w:pPr>
      <w:r>
        <w:t xml:space="preserve">À compter de la version 7.1.1, la classe </w:t>
      </w:r>
      <w:r>
        <w:rPr>
          <w:rStyle w:val="VerbatimChar"/>
        </w:rPr>
        <w:t>E81_Transformation</w:t>
      </w:r>
      <w:r>
        <w:t xml:space="preserve"> ne s’applique qu’aux instances de </w:t>
      </w:r>
      <w:r>
        <w:rPr>
          <w:rStyle w:val="VerbatimChar"/>
        </w:rPr>
        <w:t>E18_Chose_matérielle</w:t>
      </w:r>
      <w:r>
        <w:t xml:space="preserve"> alors qu’elle s’appliquait aussi, auparavant, aux instances de </w:t>
      </w:r>
      <w:r>
        <w:rPr>
          <w:rStyle w:val="VerbatimChar"/>
        </w:rPr>
        <w:t>E77_Entité_persistante</w:t>
      </w:r>
      <w:r>
        <w:t xml:space="preserve">. Ce changement a été effectué car si la forme préexistante d’une chose matérielle doit cesser d’exister pour être remplacée, ce n’est pas le cas de ce qui n’est pas matériel. Dans le cas des instances de </w:t>
      </w:r>
      <w:r>
        <w:rPr>
          <w:rStyle w:val="VerbatimChar"/>
        </w:rPr>
        <w:t>E28_Objet_conceptuel</w:t>
      </w:r>
      <w:r>
        <w:t xml:space="preserve">, de nombreuses copies d’un même objet peuvent exister sans être affectées par la transformation. De la même manière, la transformation des instances de </w:t>
      </w:r>
      <w:r>
        <w:rPr>
          <w:rStyle w:val="VerbatimChar"/>
        </w:rPr>
        <w:t>E74_Groupe</w:t>
      </w:r>
      <w:r>
        <w:t xml:space="preserve"> n’implique pas nécessairement la dissolution du groupement préexistant.</w:t>
      </w:r>
    </w:p>
    <w:p w14:paraId="049B5080" w14:textId="77777777" w:rsidR="0084489F" w:rsidRDefault="00110FE6">
      <w:pPr>
        <w:pStyle w:val="BodyText"/>
      </w:pPr>
      <w:r w:rsidRPr="1B9E7434">
        <w:rPr>
          <w:lang w:val="fr-FR"/>
        </w:rPr>
        <w:t xml:space="preserve">Les propriétés </w:t>
      </w:r>
      <w:r w:rsidRPr="1B9E7434">
        <w:rPr>
          <w:rStyle w:val="VerbatimChar"/>
          <w:lang w:val="fr-FR"/>
        </w:rPr>
        <w:t>P123_a_eu_pour_résultat (a_résulté_de)</w:t>
      </w:r>
      <w:r w:rsidRPr="1B9E7434">
        <w:rPr>
          <w:lang w:val="fr-FR"/>
        </w:rPr>
        <w:t xml:space="preserve"> et </w:t>
      </w:r>
      <w:r w:rsidRPr="1B9E7434">
        <w:rPr>
          <w:rStyle w:val="VerbatimChar"/>
          <w:lang w:val="fr-FR"/>
        </w:rPr>
        <w:t>P124_a transformé (a_été_transformé_par)</w:t>
      </w:r>
      <w:r w:rsidRPr="1B9E7434">
        <w:rPr>
          <w:lang w:val="fr-FR"/>
        </w:rPr>
        <w:t xml:space="preserve"> ont donc maintenant pour portée </w:t>
      </w:r>
      <w:r w:rsidRPr="1B9E7434">
        <w:rPr>
          <w:rStyle w:val="VerbatimChar"/>
          <w:lang w:val="fr-FR"/>
        </w:rPr>
        <w:t>E18_Chose_matérielle</w:t>
      </w:r>
      <w:r w:rsidRPr="1B9E7434">
        <w:rPr>
          <w:lang w:val="fr-FR"/>
        </w:rPr>
        <w:t>.</w:t>
      </w:r>
    </w:p>
    <w:p w14:paraId="556BF3B3" w14:textId="77777777" w:rsidR="0084489F" w:rsidRDefault="00110FE6">
      <w:pPr>
        <w:pStyle w:val="BodyText"/>
      </w:pPr>
      <w:r>
        <w:t xml:space="preserve">Si dans la [n.d.t. base de connaissances] source ces propriétés étaient appliquées à des instances de </w:t>
      </w:r>
      <w:r>
        <w:rPr>
          <w:rStyle w:val="VerbatimChar"/>
        </w:rPr>
        <w:t>E28_Objet_conceptuel</w:t>
      </w:r>
      <w:r>
        <w:t xml:space="preserve"> ou de ses sous-classes, il est recommandé d’utiliser :</w:t>
      </w:r>
    </w:p>
    <w:p w14:paraId="2970F285" w14:textId="65CC898C" w:rsidR="0084489F" w:rsidRDefault="00110FE6" w:rsidP="00806324">
      <w:pPr>
        <w:numPr>
          <w:ilvl w:val="0"/>
          <w:numId w:val="299"/>
        </w:numPr>
      </w:pPr>
      <w:r w:rsidRPr="1B9E7434">
        <w:rPr>
          <w:rStyle w:val="VerbatimChar"/>
          <w:lang w:val="fr-FR"/>
        </w:rPr>
        <w:t>E65_Création</w:t>
      </w:r>
      <w:r w:rsidRPr="1B9E7434">
        <w:rPr>
          <w:lang w:val="fr-FR"/>
        </w:rPr>
        <w:t xml:space="preserve"> au lieu de </w:t>
      </w:r>
      <w:r w:rsidRPr="1B9E7434">
        <w:rPr>
          <w:rStyle w:val="VerbatimChar"/>
          <w:lang w:val="fr-FR"/>
        </w:rPr>
        <w:t>E81_Transformation</w:t>
      </w:r>
      <w:r w:rsidRPr="1B9E7434">
        <w:rPr>
          <w:lang w:val="fr-FR"/>
        </w:rPr>
        <w:t>;</w:t>
      </w:r>
    </w:p>
    <w:p w14:paraId="6D149FA5" w14:textId="5B28E75D" w:rsidR="0084489F" w:rsidRDefault="00110FE6" w:rsidP="00806324">
      <w:pPr>
        <w:numPr>
          <w:ilvl w:val="0"/>
          <w:numId w:val="299"/>
        </w:numPr>
      </w:pPr>
      <w:r w:rsidRPr="1B9E7434">
        <w:rPr>
          <w:rStyle w:val="VerbatimChar"/>
          <w:lang w:val="fr-FR"/>
        </w:rPr>
        <w:t>P94_a_créé (a_été_créé_par)</w:t>
      </w:r>
      <w:r w:rsidRPr="1B9E7434">
        <w:rPr>
          <w:lang w:val="fr-FR"/>
        </w:rPr>
        <w:t xml:space="preserve"> au lieu de </w:t>
      </w:r>
      <w:r w:rsidRPr="1B9E7434">
        <w:rPr>
          <w:rStyle w:val="VerbatimChar"/>
          <w:lang w:val="fr-FR"/>
        </w:rPr>
        <w:t>P123_a_eu_pour_résultat (a_résulté_de)</w:t>
      </w:r>
      <w:r w:rsidRPr="1B9E7434">
        <w:rPr>
          <w:lang w:val="fr-FR"/>
        </w:rPr>
        <w:t>;</w:t>
      </w:r>
    </w:p>
    <w:p w14:paraId="4B3D7A25" w14:textId="7A5D3AB2" w:rsidR="0084489F" w:rsidRDefault="00110FE6" w:rsidP="00806324">
      <w:pPr>
        <w:numPr>
          <w:ilvl w:val="0"/>
          <w:numId w:val="299"/>
        </w:numPr>
      </w:pPr>
      <w:r w:rsidRPr="1B9E7434">
        <w:rPr>
          <w:rStyle w:val="VerbatimChar"/>
          <w:lang w:val="fr-FR"/>
        </w:rPr>
        <w:t>P16_a_utilisé_l'objet_spécifique (a_été_utilisé_pour)</w:t>
      </w:r>
      <w:r w:rsidRPr="1B9E7434">
        <w:rPr>
          <w:lang w:val="fr-FR"/>
        </w:rPr>
        <w:t xml:space="preserve"> au lieu de </w:t>
      </w:r>
      <w:r w:rsidRPr="1B9E7434">
        <w:rPr>
          <w:rStyle w:val="VerbatimChar"/>
          <w:lang w:val="fr-FR"/>
        </w:rPr>
        <w:t>P124_a transformé (a_été_transformé_par)</w:t>
      </w:r>
      <w:r w:rsidRPr="1B9E7434">
        <w:rPr>
          <w:lang w:val="fr-FR"/>
        </w:rPr>
        <w:t>.</w:t>
      </w:r>
    </w:p>
    <w:p w14:paraId="1083CB5D" w14:textId="77777777" w:rsidR="0084489F" w:rsidRDefault="00110FE6">
      <w:pPr>
        <w:pStyle w:val="FirstParagraph"/>
      </w:pPr>
      <w:r>
        <w:t xml:space="preserve">Si dans la [n.d.t. base de connaissances] source ces propriétés étaient appliquées à des instances de </w:t>
      </w:r>
      <w:r>
        <w:rPr>
          <w:rStyle w:val="VerbatimChar"/>
        </w:rPr>
        <w:t>E74_Groupe</w:t>
      </w:r>
      <w:r>
        <w:t>, il est recommandé d’utiliser :</w:t>
      </w:r>
    </w:p>
    <w:p w14:paraId="2B1D742C" w14:textId="50526F48" w:rsidR="0084489F" w:rsidRDefault="00110FE6" w:rsidP="00806324">
      <w:pPr>
        <w:numPr>
          <w:ilvl w:val="0"/>
          <w:numId w:val="300"/>
        </w:numPr>
      </w:pPr>
      <w:r w:rsidRPr="1B9E7434">
        <w:rPr>
          <w:rStyle w:val="VerbatimChar"/>
          <w:lang w:val="fr-FR"/>
        </w:rPr>
        <w:t>E66_Formation</w:t>
      </w:r>
      <w:r w:rsidRPr="1B9E7434">
        <w:rPr>
          <w:lang w:val="fr-FR"/>
        </w:rPr>
        <w:t xml:space="preserve"> au lieu de </w:t>
      </w:r>
      <w:r w:rsidRPr="1B9E7434">
        <w:rPr>
          <w:rStyle w:val="VerbatimChar"/>
          <w:lang w:val="fr-FR"/>
        </w:rPr>
        <w:t>E81_Transformation</w:t>
      </w:r>
      <w:r w:rsidRPr="1B9E7434">
        <w:rPr>
          <w:lang w:val="fr-FR"/>
        </w:rPr>
        <w:t>;</w:t>
      </w:r>
    </w:p>
    <w:p w14:paraId="23FE771B" w14:textId="10FEA1AC" w:rsidR="0084489F" w:rsidRDefault="00110FE6" w:rsidP="00806324">
      <w:pPr>
        <w:numPr>
          <w:ilvl w:val="0"/>
          <w:numId w:val="300"/>
        </w:numPr>
      </w:pPr>
      <w:r w:rsidRPr="1B9E7434">
        <w:rPr>
          <w:rStyle w:val="VerbatimChar"/>
          <w:lang w:val="fr-FR"/>
        </w:rPr>
        <w:t>P95_a_fondé (a_été_fondé_par)</w:t>
      </w:r>
      <w:r w:rsidRPr="1B9E7434">
        <w:rPr>
          <w:lang w:val="fr-FR"/>
        </w:rPr>
        <w:t xml:space="preserve"> au lieu de </w:t>
      </w:r>
      <w:r w:rsidRPr="1B9E7434">
        <w:rPr>
          <w:rStyle w:val="VerbatimChar"/>
          <w:lang w:val="fr-FR"/>
        </w:rPr>
        <w:t>P123_a_eu_pour_résultat (a_résulté_de)</w:t>
      </w:r>
      <w:r w:rsidRPr="1B9E7434">
        <w:rPr>
          <w:lang w:val="fr-FR"/>
        </w:rPr>
        <w:t>;</w:t>
      </w:r>
    </w:p>
    <w:p w14:paraId="742C0658" w14:textId="7D0FAED3" w:rsidR="0084489F" w:rsidRDefault="00110FE6" w:rsidP="00806324">
      <w:pPr>
        <w:numPr>
          <w:ilvl w:val="0"/>
          <w:numId w:val="300"/>
        </w:numPr>
      </w:pPr>
      <w:r w:rsidRPr="1B9E7434">
        <w:rPr>
          <w:rStyle w:val="VerbatimChar"/>
          <w:lang w:val="fr-FR"/>
        </w:rPr>
        <w:t>P151_a_été_formé_de (a_participé_à)</w:t>
      </w:r>
      <w:r w:rsidRPr="1B9E7434">
        <w:rPr>
          <w:lang w:val="fr-FR"/>
        </w:rPr>
        <w:t xml:space="preserve"> au lieu de </w:t>
      </w:r>
      <w:r w:rsidRPr="1B9E7434">
        <w:rPr>
          <w:rStyle w:val="VerbatimChar"/>
          <w:lang w:val="fr-FR"/>
        </w:rPr>
        <w:t>P124_a transformé (a_été_transformé_par)</w:t>
      </w:r>
      <w:r w:rsidRPr="1B9E7434">
        <w:rPr>
          <w:lang w:val="fr-FR"/>
        </w:rPr>
        <w:t>.</w:t>
      </w:r>
    </w:p>
    <w:p w14:paraId="57FC5F5E" w14:textId="77777777" w:rsidR="0084489F" w:rsidRDefault="00110FE6">
      <w:pPr>
        <w:pStyle w:val="BlockText"/>
      </w:pPr>
      <w:r>
        <w:rPr>
          <w:b/>
          <w:bCs/>
          <w:i/>
          <w:iCs/>
        </w:rPr>
        <w:t>Note de traduction</w:t>
      </w:r>
    </w:p>
    <w:p w14:paraId="07E38DAA" w14:textId="77777777" w:rsidR="0084489F" w:rsidRDefault="00110FE6">
      <w:pPr>
        <w:pStyle w:val="BlockText"/>
      </w:pPr>
      <w:r>
        <w:rPr>
          <w:b/>
          <w:bCs/>
          <w:i/>
          <w:iCs/>
        </w:rPr>
        <w:t>Références</w:t>
      </w:r>
    </w:p>
    <w:p w14:paraId="3FBE778B" w14:textId="77777777" w:rsidR="0084489F" w:rsidRDefault="0084489F">
      <w:pPr>
        <w:pStyle w:val="BlockText"/>
      </w:pPr>
    </w:p>
    <w:p w14:paraId="08FCDF99" w14:textId="77777777" w:rsidR="0084489F" w:rsidRDefault="00110FE6">
      <w:pPr>
        <w:pStyle w:val="Heading4"/>
      </w:pPr>
      <w:bookmarkStart w:id="621" w:name="Xb90ce97fdb155a12e1649366efefc8addb41867"/>
      <w:bookmarkEnd w:id="620"/>
      <w:r>
        <w:t>Instructions de migration pour E16_Mesurage (note d'application restreinte)</w:t>
      </w:r>
    </w:p>
    <w:p w14:paraId="681AAAB9" w14:textId="77777777" w:rsidR="0084489F" w:rsidRDefault="00110FE6">
      <w:pPr>
        <w:pStyle w:val="FirstParagraph"/>
      </w:pPr>
      <w:r w:rsidRPr="1B9E7434">
        <w:rPr>
          <w:lang w:val="fr-FR"/>
        </w:rPr>
        <w:t xml:space="preserve">À compter de la version 7.1.1, la classe </w:t>
      </w:r>
      <w:r w:rsidRPr="1B9E7434">
        <w:rPr>
          <w:rStyle w:val="VerbatimChar"/>
          <w:lang w:val="fr-FR"/>
        </w:rPr>
        <w:t>E16_Mesurage</w:t>
      </w:r>
      <w:r w:rsidRPr="1B9E7434">
        <w:rPr>
          <w:lang w:val="fr-FR"/>
        </w:rPr>
        <w:t xml:space="preserve"> ne s’applique qu’aux instances de </w:t>
      </w:r>
      <w:r w:rsidRPr="1B9E7434">
        <w:rPr>
          <w:rStyle w:val="VerbatimChar"/>
          <w:lang w:val="fr-FR"/>
        </w:rPr>
        <w:t>E18_Chose_matérielle</w:t>
      </w:r>
      <w:r w:rsidRPr="1B9E7434">
        <w:rPr>
          <w:lang w:val="fr-FR"/>
        </w:rPr>
        <w:t xml:space="preserve"> alors qu’elle s’appliquait, auparavant, aux instances de </w:t>
      </w:r>
      <w:r w:rsidRPr="1B9E7434">
        <w:rPr>
          <w:rStyle w:val="VerbatimChar"/>
          <w:lang w:val="fr-FR"/>
        </w:rPr>
        <w:t>E1_Entité_CRM</w:t>
      </w:r>
      <w:r w:rsidRPr="1B9E7434">
        <w:rPr>
          <w:lang w:val="fr-FR"/>
        </w:rPr>
        <w:t xml:space="preserve">. Ce changement a été effectué pour deux raisons. En premier lieu, la propriété </w:t>
      </w:r>
      <w:r w:rsidRPr="1B9E7434">
        <w:rPr>
          <w:rStyle w:val="VerbatimChar"/>
          <w:lang w:val="fr-FR"/>
        </w:rPr>
        <w:t>P43_a_pour_dimension (est_la_dimension_de)</w:t>
      </w:r>
      <w:r w:rsidRPr="1B9E7434">
        <w:rPr>
          <w:lang w:val="fr-FR"/>
        </w:rPr>
        <w:t xml:space="preserve"> n'associe une dimension qu'avec une instance de </w:t>
      </w:r>
      <w:r w:rsidRPr="1B9E7434">
        <w:rPr>
          <w:rStyle w:val="VerbatimChar"/>
          <w:lang w:val="fr-FR"/>
        </w:rPr>
        <w:t>E70_Chose</w:t>
      </w:r>
      <w:r w:rsidRPr="1B9E7434">
        <w:rPr>
          <w:lang w:val="fr-FR"/>
        </w:rPr>
        <w:t xml:space="preserve">. Elle ne permet donc que la documentation des résultats du mesurage d'instances de </w:t>
      </w:r>
      <w:r w:rsidRPr="1B9E7434">
        <w:rPr>
          <w:rStyle w:val="VerbatimChar"/>
          <w:lang w:val="fr-FR"/>
        </w:rPr>
        <w:t>E70_Chose</w:t>
      </w:r>
      <w:r w:rsidRPr="1B9E7434">
        <w:rPr>
          <w:lang w:val="fr-FR"/>
        </w:rPr>
        <w:t xml:space="preserve">. En second lieu, de manière plus spécifique, seules des choses physiques peuvent faire l'objet d'un mesurage quantitatif, mais des instances de </w:t>
      </w:r>
      <w:r w:rsidRPr="1B9E7434">
        <w:rPr>
          <w:rStyle w:val="VerbatimChar"/>
          <w:lang w:val="fr-FR"/>
        </w:rPr>
        <w:t>E54_Dimension</w:t>
      </w:r>
      <w:r w:rsidRPr="1B9E7434">
        <w:rPr>
          <w:lang w:val="fr-FR"/>
        </w:rPr>
        <w:t xml:space="preserve"> – en particulier des instances de </w:t>
      </w:r>
      <w:r w:rsidRPr="1B9E7434">
        <w:rPr>
          <w:rStyle w:val="VerbatimChar"/>
          <w:lang w:val="fr-FR"/>
        </w:rPr>
        <w:t>E28_Objet_conceptuel</w:t>
      </w:r>
      <w:r w:rsidRPr="1B9E7434">
        <w:rPr>
          <w:lang w:val="fr-FR"/>
        </w:rPr>
        <w:t xml:space="preserve"> – peuvent être inférées du fait d'autres formes d'assignation (</w:t>
      </w:r>
      <w:r w:rsidRPr="1B9E7434">
        <w:rPr>
          <w:rStyle w:val="VerbatimChar"/>
          <w:lang w:val="fr-FR"/>
        </w:rPr>
        <w:t>E13_Assignation_d’attribut</w:t>
      </w:r>
      <w:r w:rsidRPr="1B9E7434">
        <w:rPr>
          <w:lang w:val="fr-FR"/>
        </w:rPr>
        <w:t>), par exemple une évaluation de données.</w:t>
      </w:r>
    </w:p>
    <w:p w14:paraId="6214799C" w14:textId="77777777" w:rsidR="0084489F" w:rsidRDefault="00110FE6">
      <w:pPr>
        <w:pStyle w:val="BodyText"/>
      </w:pPr>
      <w:r w:rsidRPr="1B9E7434">
        <w:rPr>
          <w:lang w:val="fr-FR"/>
        </w:rPr>
        <w:t xml:space="preserve">La propriété </w:t>
      </w:r>
      <w:r w:rsidRPr="1B9E7434">
        <w:rPr>
          <w:rStyle w:val="VerbatimChar"/>
          <w:lang w:val="fr-FR"/>
        </w:rPr>
        <w:t>P39_a_mesuré (a_été_mesuré_par)</w:t>
      </w:r>
      <w:r w:rsidRPr="1B9E7434">
        <w:rPr>
          <w:lang w:val="fr-FR"/>
        </w:rPr>
        <w:t xml:space="preserve"> a donc maintenant pour portée </w:t>
      </w:r>
      <w:r w:rsidRPr="1B9E7434">
        <w:rPr>
          <w:rStyle w:val="VerbatimChar"/>
          <w:lang w:val="fr-FR"/>
        </w:rPr>
        <w:t>E18_Chose_matérielle</w:t>
      </w:r>
      <w:r w:rsidRPr="1B9E7434">
        <w:rPr>
          <w:lang w:val="fr-FR"/>
        </w:rPr>
        <w:t>.</w:t>
      </w:r>
    </w:p>
    <w:p w14:paraId="468A3FEC" w14:textId="77777777" w:rsidR="0084489F" w:rsidRDefault="00110FE6">
      <w:pPr>
        <w:pStyle w:val="BodyText"/>
      </w:pPr>
      <w:r>
        <w:t xml:space="preserve">Si dans la [n.d.t. base de connaissances] source ces propriétés étaient appliquées à des instances de </w:t>
      </w:r>
      <w:r>
        <w:rPr>
          <w:rStyle w:val="VerbatimChar"/>
        </w:rPr>
        <w:t>E28_Objet_conceptuel</w:t>
      </w:r>
      <w:r>
        <w:t xml:space="preserve"> ou de ses sous-classes, il est recommandé d’utiliser :</w:t>
      </w:r>
    </w:p>
    <w:p w14:paraId="40C309F1" w14:textId="26FC4383" w:rsidR="0084489F" w:rsidRDefault="00110FE6" w:rsidP="00806324">
      <w:pPr>
        <w:numPr>
          <w:ilvl w:val="0"/>
          <w:numId w:val="301"/>
        </w:numPr>
      </w:pPr>
      <w:r w:rsidRPr="1B9E7434">
        <w:rPr>
          <w:rStyle w:val="VerbatimChar"/>
          <w:lang w:val="fr-FR"/>
        </w:rPr>
        <w:t>E13_Assignation_d’attribut</w:t>
      </w:r>
      <w:r w:rsidRPr="1B9E7434">
        <w:rPr>
          <w:lang w:val="fr-FR"/>
        </w:rPr>
        <w:t xml:space="preserve"> au lieu de </w:t>
      </w:r>
      <w:r w:rsidRPr="1B9E7434">
        <w:rPr>
          <w:rStyle w:val="VerbatimChar"/>
          <w:lang w:val="fr-FR"/>
        </w:rPr>
        <w:t>E16_Mesurage</w:t>
      </w:r>
      <w:r w:rsidRPr="1B9E7434">
        <w:rPr>
          <w:lang w:val="fr-FR"/>
        </w:rPr>
        <w:t>;</w:t>
      </w:r>
    </w:p>
    <w:p w14:paraId="156127CA" w14:textId="15641CEB" w:rsidR="0084489F" w:rsidRDefault="00110FE6" w:rsidP="00806324">
      <w:pPr>
        <w:numPr>
          <w:ilvl w:val="0"/>
          <w:numId w:val="301"/>
        </w:numPr>
      </w:pPr>
      <w:r w:rsidRPr="1B9E7434">
        <w:rPr>
          <w:rStyle w:val="VerbatimChar"/>
          <w:lang w:val="fr-FR"/>
        </w:rPr>
        <w:t>P140_a_assigné_l’attribut_à (a_reçu_l’attribut_par)</w:t>
      </w:r>
      <w:r w:rsidRPr="1B9E7434">
        <w:rPr>
          <w:lang w:val="fr-FR"/>
        </w:rPr>
        <w:t xml:space="preserve"> au lieu de </w:t>
      </w:r>
      <w:r w:rsidRPr="1B9E7434">
        <w:rPr>
          <w:rStyle w:val="VerbatimChar"/>
          <w:lang w:val="fr-FR"/>
        </w:rPr>
        <w:t>P39_a_mesuré (a_été_mesuré_par)</w:t>
      </w:r>
      <w:r w:rsidRPr="1B9E7434">
        <w:rPr>
          <w:lang w:val="fr-FR"/>
        </w:rPr>
        <w:t>;</w:t>
      </w:r>
    </w:p>
    <w:p w14:paraId="4B401D90" w14:textId="76B97C4B" w:rsidR="0084489F" w:rsidRDefault="00110FE6" w:rsidP="00806324">
      <w:pPr>
        <w:numPr>
          <w:ilvl w:val="0"/>
          <w:numId w:val="301"/>
        </w:numPr>
      </w:pPr>
      <w:r w:rsidRPr="1B9E7434">
        <w:rPr>
          <w:rStyle w:val="VerbatimChar"/>
          <w:lang w:val="fr-FR"/>
        </w:rPr>
        <w:t>P141_a_assigné (a_été_assigné_par)</w:t>
      </w:r>
      <w:r w:rsidRPr="1B9E7434">
        <w:rPr>
          <w:lang w:val="fr-FR"/>
        </w:rPr>
        <w:t xml:space="preserve"> au lieu de </w:t>
      </w:r>
      <w:r w:rsidRPr="1B9E7434">
        <w:rPr>
          <w:rStyle w:val="VerbatimChar"/>
          <w:lang w:val="fr-FR"/>
        </w:rPr>
        <w:t>P40_a_relevé_comme_dimension (a_été_relevé_par)</w:t>
      </w:r>
      <w:r w:rsidRPr="1B9E7434">
        <w:rPr>
          <w:lang w:val="fr-FR"/>
        </w:rPr>
        <w:t>;</w:t>
      </w:r>
    </w:p>
    <w:p w14:paraId="75BB0B74" w14:textId="51C437FC" w:rsidR="0084489F" w:rsidRDefault="00110FE6" w:rsidP="00806324">
      <w:pPr>
        <w:numPr>
          <w:ilvl w:val="0"/>
          <w:numId w:val="301"/>
        </w:numPr>
      </w:pPr>
      <w:r w:rsidRPr="1B9E7434">
        <w:rPr>
          <w:rStyle w:val="VerbatimChar"/>
          <w:lang w:val="fr-FR"/>
        </w:rPr>
        <w:t>P177_a_assigné_le_type_de_propriété (est le type de la propriété assigné)</w:t>
      </w:r>
      <w:r w:rsidRPr="1B9E7434">
        <w:rPr>
          <w:lang w:val="fr-FR"/>
        </w:rPr>
        <w:t xml:space="preserve"> : « </w:t>
      </w:r>
      <w:r w:rsidRPr="1B9E7434">
        <w:rPr>
          <w:rStyle w:val="VerbatimChar"/>
          <w:lang w:val="fr-FR"/>
        </w:rPr>
        <w:t>P43_a_pour_dimension (est_la_dimension_de)</w:t>
      </w:r>
      <w:r w:rsidRPr="1B9E7434">
        <w:rPr>
          <w:lang w:val="fr-FR"/>
        </w:rPr>
        <w:t> » (</w:t>
      </w:r>
      <w:r w:rsidRPr="1B9E7434">
        <w:rPr>
          <w:rStyle w:val="VerbatimChar"/>
          <w:lang w:val="fr-FR"/>
        </w:rPr>
        <w:t>E55_Type)</w:t>
      </w:r>
      <w:r w:rsidRPr="1B9E7434">
        <w:rPr>
          <w:lang w:val="fr-FR"/>
        </w:rPr>
        <w:t>.</w:t>
      </w:r>
    </w:p>
    <w:p w14:paraId="23B361CB" w14:textId="77777777" w:rsidR="0084489F" w:rsidRDefault="00110FE6">
      <w:pPr>
        <w:pStyle w:val="BlockText"/>
      </w:pPr>
      <w:r>
        <w:rPr>
          <w:b/>
          <w:bCs/>
          <w:i/>
          <w:iCs/>
        </w:rPr>
        <w:t>Note de traduction</w:t>
      </w:r>
    </w:p>
    <w:p w14:paraId="33BB7DF1" w14:textId="77777777" w:rsidR="0084489F" w:rsidRDefault="00110FE6">
      <w:pPr>
        <w:pStyle w:val="BlockText"/>
      </w:pPr>
      <w:r>
        <w:rPr>
          <w:b/>
          <w:bCs/>
          <w:i/>
          <w:iCs/>
        </w:rPr>
        <w:t>Références</w:t>
      </w:r>
    </w:p>
    <w:p w14:paraId="3ADB4E2F" w14:textId="77777777" w:rsidR="0084489F" w:rsidRDefault="0084489F">
      <w:pPr>
        <w:pStyle w:val="BlockText"/>
      </w:pPr>
    </w:p>
    <w:p w14:paraId="0A532D6E" w14:textId="77777777" w:rsidR="0084489F" w:rsidRDefault="00110FE6">
      <w:pPr>
        <w:pStyle w:val="Heading2"/>
      </w:pPr>
      <w:bookmarkStart w:id="622" w:name="_Toc176864682"/>
      <w:bookmarkStart w:id="623" w:name="modifications"/>
      <w:bookmarkEnd w:id="615"/>
      <w:bookmarkEnd w:id="619"/>
      <w:bookmarkEnd w:id="621"/>
      <w:r>
        <w:t>Modifications</w:t>
      </w:r>
      <w:bookmarkEnd w:id="622"/>
    </w:p>
    <w:p w14:paraId="34028BF6" w14:textId="77777777" w:rsidR="0084489F" w:rsidRDefault="00110FE6">
      <w:pPr>
        <w:pStyle w:val="FirstParagraph"/>
      </w:pPr>
      <w:r w:rsidRPr="1B9E7434">
        <w:rPr>
          <w:lang w:val="fr-FR"/>
        </w:rPr>
        <w:t>Les modifications sont recensées dans le document « Amendments of the CIDOC: Conceptual reference Model ver. 7.1.1: volume B » [n.d.t. qui n’a pas fait l’objet d’une traduction].</w:t>
      </w:r>
    </w:p>
    <w:p w14:paraId="60C01C48" w14:textId="77777777" w:rsidR="0084489F" w:rsidRDefault="00110FE6">
      <w:pPr>
        <w:pStyle w:val="BlockText"/>
      </w:pPr>
      <w:r>
        <w:rPr>
          <w:b/>
          <w:bCs/>
          <w:i/>
          <w:iCs/>
        </w:rPr>
        <w:t>Note de traduction</w:t>
      </w:r>
    </w:p>
    <w:p w14:paraId="4509CDAC" w14:textId="77777777" w:rsidR="0084489F" w:rsidRDefault="00110FE6">
      <w:pPr>
        <w:pStyle w:val="BlockText"/>
      </w:pPr>
      <w:r>
        <w:rPr>
          <w:b/>
          <w:bCs/>
          <w:i/>
          <w:iCs/>
        </w:rPr>
        <w:t>Références</w:t>
      </w:r>
    </w:p>
    <w:p w14:paraId="24241F52" w14:textId="77777777" w:rsidR="0084489F" w:rsidRDefault="0084489F">
      <w:pPr>
        <w:pStyle w:val="BlockText"/>
      </w:pPr>
    </w:p>
    <w:p w14:paraId="18D24C7B" w14:textId="77777777" w:rsidR="0084489F" w:rsidRDefault="00110FE6">
      <w:pPr>
        <w:pStyle w:val="Heading1"/>
      </w:pPr>
      <w:bookmarkStart w:id="624" w:name="_Toc176864683"/>
      <w:bookmarkStart w:id="625" w:name="X7b74833c677a2f1c69166f105dc530dd213fddc"/>
      <w:bookmarkEnd w:id="613"/>
      <w:bookmarkEnd w:id="623"/>
      <w:r>
        <w:t>Bibliographie de la traduction</w:t>
      </w:r>
      <w:bookmarkEnd w:id="624"/>
    </w:p>
    <w:p w14:paraId="56CCCD4B" w14:textId="77777777" w:rsidR="0084489F" w:rsidRDefault="00110FE6">
      <w:pPr>
        <w:pStyle w:val="FirstParagraph"/>
      </w:pPr>
      <w:r w:rsidRPr="1B9E7434">
        <w:rPr>
          <w:lang w:val="fr-FR"/>
        </w:rPr>
        <w:t xml:space="preserve">Alighieri, Dante. (1308–1321) 2021. </w:t>
      </w:r>
      <w:r w:rsidRPr="1B9E7434">
        <w:rPr>
          <w:i/>
          <w:iCs/>
          <w:lang w:val="fr-FR"/>
        </w:rPr>
        <w:t>La divine comédie</w:t>
      </w:r>
      <w:r w:rsidRPr="1B9E7434">
        <w:rPr>
          <w:lang w:val="fr-FR"/>
        </w:rPr>
        <w:t>. Sous la direction de Carlo Ossola. Traduit par Jacqueline Risset. Éd. bilingue. Bibliothèque de la Pléiade 659. Paris, FR-IDF : Gallimard.</w:t>
      </w:r>
    </w:p>
    <w:p w14:paraId="09ECA272" w14:textId="77777777" w:rsidR="0084489F" w:rsidRDefault="00110FE6">
      <w:pPr>
        <w:pStyle w:val="BodyText"/>
      </w:pPr>
      <w:r w:rsidRPr="1B9E7434">
        <w:rPr>
          <w:lang w:val="fr-FR"/>
        </w:rPr>
        <w:t xml:space="preserve">Antidote. 2022a. « Actant ». Dans </w:t>
      </w:r>
      <w:r w:rsidRPr="1B9E7434">
        <w:rPr>
          <w:i/>
          <w:iCs/>
          <w:lang w:val="fr-FR"/>
        </w:rPr>
        <w:t>Antidote</w:t>
      </w:r>
      <w:r w:rsidRPr="1B9E7434">
        <w:rPr>
          <w:lang w:val="fr-FR"/>
        </w:rPr>
        <w:t xml:space="preserve">. . Montréal, CA-QC : Druide Informatique. Consulté le 2022. </w:t>
      </w:r>
      <w:hyperlink r:id="rId389">
        <w:r w:rsidRPr="1B9E7434">
          <w:rPr>
            <w:rStyle w:val="Hyperlink"/>
            <w:lang w:val="fr-FR"/>
          </w:rPr>
          <w:t>https://antidote.app/dictionnaires/fr/definitions/FRUAgAAAABGUgBDZAAAQ2QAAC0AAACDTm9thmFjdGFudICAgA%3D%3Dd707/RlLvh7cyNTY2N%2B%2BHt05vbQ%3D%3D/RlLvh7cyNTY2N%2B%2BHt05vbe%2BHt2FjdGFudO%2BHt2FjdGFudA%3D%3D</w:t>
        </w:r>
      </w:hyperlink>
      <w:r w:rsidRPr="1B9E7434">
        <w:rPr>
          <w:lang w:val="fr-FR"/>
        </w:rPr>
        <w:t>.</w:t>
      </w:r>
    </w:p>
    <w:p w14:paraId="5620ADFA" w14:textId="77777777" w:rsidR="0084489F" w:rsidRDefault="00110FE6">
      <w:pPr>
        <w:pStyle w:val="BodyText"/>
      </w:pPr>
      <w:r w:rsidRPr="1B9E7434">
        <w:rPr>
          <w:lang w:val="fr-FR"/>
        </w:rPr>
        <w:t xml:space="preserve">———. 2022b. « Précision ». Dans </w:t>
      </w:r>
      <w:r w:rsidRPr="1B9E7434">
        <w:rPr>
          <w:i/>
          <w:iCs/>
          <w:lang w:val="fr-FR"/>
        </w:rPr>
        <w:t>Antidote</w:t>
      </w:r>
      <w:r w:rsidRPr="1B9E7434">
        <w:rPr>
          <w:lang w:val="fr-FR"/>
        </w:rPr>
        <w:t>. . Montréal, CA-QC : Druide Informatique.</w:t>
      </w:r>
    </w:p>
    <w:p w14:paraId="3EBF435C" w14:textId="77777777" w:rsidR="0084489F" w:rsidRDefault="00110FE6">
      <w:pPr>
        <w:pStyle w:val="BodyText"/>
      </w:pPr>
      <w:r w:rsidRPr="1B9E7434">
        <w:rPr>
          <w:lang w:val="fr-FR"/>
        </w:rPr>
        <w:t xml:space="preserve">———. 2022c. « Spécialisation ». Dans </w:t>
      </w:r>
      <w:r w:rsidRPr="1B9E7434">
        <w:rPr>
          <w:i/>
          <w:iCs/>
          <w:lang w:val="fr-FR"/>
        </w:rPr>
        <w:t>Antidote</w:t>
      </w:r>
      <w:r w:rsidRPr="1B9E7434">
        <w:rPr>
          <w:lang w:val="fr-FR"/>
        </w:rPr>
        <w:t xml:space="preserve">. . Montréal, CA-QC : Druide Informatique. Consulté le 2022. </w:t>
      </w:r>
      <w:hyperlink r:id="rId390">
        <w:r w:rsidRPr="1B9E7434">
          <w:rPr>
            <w:rStyle w:val="Hyperlink"/>
            <w:lang w:val="fr-FR"/>
          </w:rPr>
          <w:t>https://antidote.app/dictionnaires/fr/definitions/FRUAgAAAABGUgBDZAAAQ2QAAC0AAACDTm9thmFjdGFudICAgA%3D%3Dd707/RlLvh7cyNTY2N%2B%2BHt05vbQ%3D%3D/RlLvh7cyNTY2N%2B%2BHt05vbe%2BHt2FjdGFudO%2BHt2FjdGFudA%3D%3D</w:t>
        </w:r>
      </w:hyperlink>
      <w:r w:rsidRPr="1B9E7434">
        <w:rPr>
          <w:lang w:val="fr-FR"/>
        </w:rPr>
        <w:t>.</w:t>
      </w:r>
    </w:p>
    <w:p w14:paraId="4A87FDB5" w14:textId="77777777" w:rsidR="0084489F" w:rsidRPr="008C0D99" w:rsidRDefault="00110FE6">
      <w:pPr>
        <w:pStyle w:val="BodyText"/>
        <w:rPr>
          <w:lang w:val="en-CA"/>
        </w:rPr>
      </w:pPr>
      <w:r w:rsidRPr="008C0D99">
        <w:rPr>
          <w:lang w:val="en-CA"/>
        </w:rPr>
        <w:t xml:space="preserve">Benaki Museum. 2016. « Childhood, Toys and Games - </w:t>
      </w:r>
      <w:r>
        <w:t>Μουσείο</w:t>
      </w:r>
      <w:r w:rsidRPr="008C0D99">
        <w:rPr>
          <w:lang w:val="en-CA"/>
        </w:rPr>
        <w:t xml:space="preserve"> </w:t>
      </w:r>
      <w:r>
        <w:t>Μπενάκη</w:t>
      </w:r>
      <w:r w:rsidRPr="008C0D99">
        <w:rPr>
          <w:lang w:val="en-CA"/>
        </w:rPr>
        <w:t xml:space="preserve"> ». Benaki Museum. 2016. </w:t>
      </w:r>
      <w:hyperlink r:id="rId391">
        <w:r w:rsidRPr="008C0D99">
          <w:rPr>
            <w:rStyle w:val="Hyperlink"/>
            <w:lang w:val="en-CA"/>
          </w:rPr>
          <w:t>https://www.benaki.org//index.php?option=com_collections&amp;view=collection&amp;id=45&amp;Itemid=540&amp;lang=el</w:t>
        </w:r>
      </w:hyperlink>
      <w:r w:rsidRPr="008C0D99">
        <w:rPr>
          <w:lang w:val="en-CA"/>
        </w:rPr>
        <w:t>.</w:t>
      </w:r>
    </w:p>
    <w:p w14:paraId="5E1CE810" w14:textId="77777777" w:rsidR="0084489F" w:rsidRDefault="00110FE6">
      <w:pPr>
        <w:pStyle w:val="BodyText"/>
      </w:pPr>
      <w:r w:rsidRPr="008C0D99">
        <w:rPr>
          <w:lang w:val="en-CA"/>
        </w:rPr>
        <w:t xml:space="preserve">Berners-Lee, Tim, Tim Bray, Dan Connolly, Paul Cotton, Roy Fielding, Mario Jeckle, Chris Lilley, et al. (2005) 2006. « Architecture du World Wide Web: Volume Un ». Recommandation. Cambridge, USA-MA : World Wide Web Consortium (W3C). </w:t>
      </w:r>
      <w:hyperlink r:id="rId392">
        <w:r>
          <w:rPr>
            <w:rStyle w:val="Hyperlink"/>
          </w:rPr>
          <w:t>http://www.opikanoba.org/tr/w3c/webarch/</w:t>
        </w:r>
      </w:hyperlink>
      <w:r>
        <w:t>.</w:t>
      </w:r>
    </w:p>
    <w:p w14:paraId="15FF8974" w14:textId="77777777" w:rsidR="0084489F" w:rsidRDefault="00110FE6">
      <w:pPr>
        <w:pStyle w:val="BodyText"/>
      </w:pPr>
      <w:r w:rsidRPr="1B9E7434">
        <w:rPr>
          <w:lang w:val="fr-FR"/>
        </w:rPr>
        <w:t xml:space="preserve">Berrueta, Diego, et Jon Phipps. 2008. « Méthodes exemplaires pour la publication des vocabulaires RDF ». Meilleures pratiques. Cambridge, USA-MA : World Wide Web Consortium (W3C). </w:t>
      </w:r>
      <w:hyperlink r:id="rId393">
        <w:r w:rsidRPr="1B9E7434">
          <w:rPr>
            <w:rStyle w:val="Hyperlink"/>
            <w:lang w:val="fr-FR"/>
          </w:rPr>
          <w:t>http://www.yoyodesign.org/doc/w3c/swbp-vocab-pub/</w:t>
        </w:r>
      </w:hyperlink>
      <w:r w:rsidRPr="1B9E7434">
        <w:rPr>
          <w:lang w:val="fr-FR"/>
        </w:rPr>
        <w:t>.</w:t>
      </w:r>
    </w:p>
    <w:p w14:paraId="0748E03D" w14:textId="77777777" w:rsidR="0084489F" w:rsidRDefault="00110FE6">
      <w:pPr>
        <w:pStyle w:val="BodyText"/>
      </w:pPr>
      <w:r w:rsidRPr="1B9E7434">
        <w:rPr>
          <w:lang w:val="fr-FR"/>
        </w:rPr>
        <w:t xml:space="preserve">Centre National de Ressources Textuelles et Lexicales (CNRTL). 2012. « Périssement ». Dans </w:t>
      </w:r>
      <w:r w:rsidRPr="1B9E7434">
        <w:rPr>
          <w:i/>
          <w:iCs/>
          <w:lang w:val="fr-FR"/>
        </w:rPr>
        <w:t>Portail lexical du CNRTL</w:t>
      </w:r>
      <w:r w:rsidRPr="1B9E7434">
        <w:rPr>
          <w:lang w:val="fr-FR"/>
        </w:rPr>
        <w:t xml:space="preserve">. . Nancy, FR-GES : Centre National de Ressources Textuelles et Lexicales (CNRTL). Consulté le 2012. </w:t>
      </w:r>
      <w:hyperlink r:id="rId394">
        <w:r w:rsidRPr="1B9E7434">
          <w:rPr>
            <w:rStyle w:val="Hyperlink"/>
            <w:lang w:val="fr-FR"/>
          </w:rPr>
          <w:t>https://www.cnrtl.fr/definition/p%C3%A9rissement</w:t>
        </w:r>
      </w:hyperlink>
      <w:r w:rsidRPr="1B9E7434">
        <w:rPr>
          <w:lang w:val="fr-FR"/>
        </w:rPr>
        <w:t>.</w:t>
      </w:r>
    </w:p>
    <w:p w14:paraId="11CF4760" w14:textId="77777777" w:rsidR="0084489F" w:rsidRDefault="00110FE6">
      <w:pPr>
        <w:pStyle w:val="BodyText"/>
      </w:pPr>
      <w:r w:rsidRPr="1B9E7434">
        <w:rPr>
          <w:lang w:val="fr-FR"/>
        </w:rPr>
        <w:t xml:space="preserve">CIDOC CRM. 2021. « CRMgeo ». Modèle. </w:t>
      </w:r>
      <w:hyperlink r:id="rId395">
        <w:r w:rsidRPr="1B9E7434">
          <w:rPr>
            <w:rStyle w:val="Hyperlink"/>
            <w:lang w:val="fr-FR"/>
          </w:rPr>
          <w:t>http://www.cidoc-crm.org/crmgeo/home-5</w:t>
        </w:r>
      </w:hyperlink>
      <w:r w:rsidRPr="1B9E7434">
        <w:rPr>
          <w:lang w:val="fr-FR"/>
        </w:rPr>
        <w:t>.</w:t>
      </w:r>
    </w:p>
    <w:p w14:paraId="57F1DEBA" w14:textId="77777777" w:rsidR="0084489F" w:rsidRDefault="00110FE6">
      <w:pPr>
        <w:pStyle w:val="BodyText"/>
      </w:pPr>
      <w:r w:rsidRPr="1B9E7434">
        <w:rPr>
          <w:lang w:val="fr-FR"/>
        </w:rPr>
        <w:t xml:space="preserve">Climacus, John. 1100a. « Égypte, Mont Sinaï, Monastère Sainte-Catherine, MS gr. 418 ». Manuscrit. Monastère Sainte-Catherine, EG-JS. </w:t>
      </w:r>
      <w:hyperlink r:id="rId396">
        <w:r w:rsidRPr="1B9E7434">
          <w:rPr>
            <w:rStyle w:val="Hyperlink"/>
            <w:lang w:val="fr-FR"/>
          </w:rPr>
          <w:t>https://portail.biblissima.fr/fr/ark:/43093/mdata4173039fff31678134d93fd0bd8ff41dd71226a8</w:t>
        </w:r>
      </w:hyperlink>
      <w:r w:rsidRPr="1B9E7434">
        <w:rPr>
          <w:lang w:val="fr-FR"/>
        </w:rPr>
        <w:t>.</w:t>
      </w:r>
    </w:p>
    <w:p w14:paraId="74FA6FE4" w14:textId="77777777" w:rsidR="0084489F" w:rsidRDefault="00110FE6">
      <w:pPr>
        <w:pStyle w:val="BodyText"/>
      </w:pPr>
      <w:r w:rsidRPr="008C0D99">
        <w:rPr>
          <w:lang w:val="en-CA"/>
        </w:rPr>
        <w:t xml:space="preserve">———. 1100b. « Greek Manuscripts 418. John Climacus ». </w:t>
      </w:r>
      <w:r>
        <w:t xml:space="preserve">Manuscrit. Monastère Sainte-Catherine, EG-JS. </w:t>
      </w:r>
      <w:hyperlink r:id="rId397">
        <w:r>
          <w:rPr>
            <w:rStyle w:val="Hyperlink"/>
          </w:rPr>
          <w:t>https://www.loc.gov/item/00279380435-ms</w:t>
        </w:r>
      </w:hyperlink>
      <w:r>
        <w:t>.</w:t>
      </w:r>
    </w:p>
    <w:p w14:paraId="46A3745D" w14:textId="77777777" w:rsidR="0084489F" w:rsidRDefault="00110FE6">
      <w:pPr>
        <w:pStyle w:val="BodyText"/>
      </w:pPr>
      <w:r>
        <w:t xml:space="preserve">Comité International pour la Documentation de l’ICOM. 2021. « CIDOC ». ICOM CIDOC. 24 février 2021. </w:t>
      </w:r>
      <w:hyperlink r:id="rId398">
        <w:r>
          <w:rPr>
            <w:rStyle w:val="Hyperlink"/>
          </w:rPr>
          <w:t>http://cidoc.mini.icom.museum/fr/</w:t>
        </w:r>
      </w:hyperlink>
      <w:r>
        <w:t>.</w:t>
      </w:r>
    </w:p>
    <w:p w14:paraId="07B3FB6A" w14:textId="77777777" w:rsidR="0084489F" w:rsidRDefault="00110FE6">
      <w:pPr>
        <w:pStyle w:val="BodyText"/>
      </w:pPr>
      <w:r w:rsidRPr="1B9E7434">
        <w:rPr>
          <w:lang w:val="fr-FR"/>
        </w:rPr>
        <w:t xml:space="preserve">De Vinci, Léonard. 1503. </w:t>
      </w:r>
      <w:r w:rsidRPr="1B9E7434">
        <w:rPr>
          <w:i/>
          <w:iCs/>
          <w:lang w:val="fr-FR"/>
        </w:rPr>
        <w:t>Portrait de Lisa Gherardini, épouse de Francesco del Giocondo, dit La Joconde ou Monna Lisa</w:t>
      </w:r>
      <w:r w:rsidRPr="1B9E7434">
        <w:rPr>
          <w:lang w:val="fr-FR"/>
        </w:rPr>
        <w:t xml:space="preserve">. Huile sur bois (peuplier). Salle 711. Musée du Louvre. </w:t>
      </w:r>
      <w:hyperlink r:id="rId399">
        <w:r w:rsidRPr="1B9E7434">
          <w:rPr>
            <w:rStyle w:val="Hyperlink"/>
            <w:lang w:val="fr-FR"/>
          </w:rPr>
          <w:t>https://collections.louvre.fr/en/ark:/53355/cl010062370</w:t>
        </w:r>
      </w:hyperlink>
      <w:r w:rsidRPr="1B9E7434">
        <w:rPr>
          <w:lang w:val="fr-FR"/>
        </w:rPr>
        <w:t>.</w:t>
      </w:r>
    </w:p>
    <w:p w14:paraId="1EC0CD01" w14:textId="77777777" w:rsidR="0084489F" w:rsidRPr="008C0D99" w:rsidRDefault="00110FE6">
      <w:pPr>
        <w:pStyle w:val="BodyText"/>
        <w:rPr>
          <w:lang w:val="en-CA"/>
        </w:rPr>
      </w:pPr>
      <w:r w:rsidRPr="008C0D99">
        <w:rPr>
          <w:lang w:val="en-CA"/>
        </w:rPr>
        <w:t xml:space="preserve">« Definition of the CIDOC Conceptual Reference Model ». 2015. Modèle. Paris, FR-IDF : CIDOC CRM Special Interest Group. </w:t>
      </w:r>
      <w:hyperlink r:id="rId400">
        <w:r w:rsidRPr="008C0D99">
          <w:rPr>
            <w:rStyle w:val="Hyperlink"/>
            <w:lang w:val="en-CA"/>
          </w:rPr>
          <w:t>https://cidoc-crm.org/sites/default/files/cidoc_crm_version_6.2.pdf</w:t>
        </w:r>
      </w:hyperlink>
      <w:r w:rsidRPr="008C0D99">
        <w:rPr>
          <w:lang w:val="en-CA"/>
        </w:rPr>
        <w:t>.</w:t>
      </w:r>
    </w:p>
    <w:p w14:paraId="65855B61" w14:textId="77777777" w:rsidR="0084489F" w:rsidRPr="0060792A" w:rsidRDefault="00110FE6">
      <w:pPr>
        <w:pStyle w:val="BodyText"/>
        <w:rPr>
          <w:lang w:val="en-CA"/>
        </w:rPr>
      </w:pPr>
      <w:r w:rsidRPr="008C0D99">
        <w:rPr>
          <w:lang w:val="en-CA"/>
        </w:rPr>
        <w:t xml:space="preserve">« ——— ». 2021. Modèle. Paris, FR-IDF : CIDOC CRM Special Interest Group. </w:t>
      </w:r>
      <w:hyperlink r:id="rId401">
        <w:r w:rsidRPr="0060792A">
          <w:rPr>
            <w:rStyle w:val="Hyperlink"/>
            <w:lang w:val="en-CA"/>
          </w:rPr>
          <w:t>http://cidoc-crm.org/sites/default/files/CIDOC%20CRM_v.7.1%20%5B8%20March%202021%5D.pdf</w:t>
        </w:r>
      </w:hyperlink>
      <w:r w:rsidRPr="0060792A">
        <w:rPr>
          <w:lang w:val="en-CA"/>
        </w:rPr>
        <w:t>.</w:t>
      </w:r>
    </w:p>
    <w:p w14:paraId="480F8509" w14:textId="77777777" w:rsidR="0084489F" w:rsidRDefault="00110FE6">
      <w:pPr>
        <w:pStyle w:val="BodyText"/>
      </w:pPr>
      <w:r w:rsidRPr="1B9E7434">
        <w:rPr>
          <w:lang w:val="fr-FR"/>
        </w:rPr>
        <w:t xml:space="preserve">Einstein, Albert. 2001. </w:t>
      </w:r>
      <w:r w:rsidRPr="1B9E7434">
        <w:rPr>
          <w:i/>
          <w:iCs/>
          <w:lang w:val="fr-FR"/>
        </w:rPr>
        <w:t>La relativité : théorie de la relativité restreinte et générale, la relativité et le problème de l’espace</w:t>
      </w:r>
      <w:r w:rsidRPr="1B9E7434">
        <w:rPr>
          <w:lang w:val="fr-FR"/>
        </w:rPr>
        <w:t>. Traduit par Maurice Solovine. Petite bibliothèque Payot 25. Paris, FR-IDF : Payot &amp; Rivages.</w:t>
      </w:r>
    </w:p>
    <w:p w14:paraId="166F7A39" w14:textId="77777777" w:rsidR="0084489F" w:rsidRPr="008C0D99" w:rsidRDefault="00110FE6">
      <w:pPr>
        <w:pStyle w:val="BodyText"/>
        <w:rPr>
          <w:lang w:val="en-CA"/>
        </w:rPr>
      </w:pPr>
      <w:r w:rsidRPr="008C0D99">
        <w:rPr>
          <w:lang w:val="en-CA"/>
        </w:rPr>
        <w:t xml:space="preserve">Evans, Arthur John. 1921. </w:t>
      </w:r>
      <w:r w:rsidRPr="008C0D99">
        <w:rPr>
          <w:i/>
          <w:iCs/>
          <w:lang w:val="en-CA"/>
        </w:rPr>
        <w:t>The Palace of Minos: The Neolithic and Early Middle Minoan Age</w:t>
      </w:r>
      <w:r w:rsidRPr="008C0D99">
        <w:rPr>
          <w:lang w:val="en-CA"/>
        </w:rPr>
        <w:t xml:space="preserve">. Vol. 1. 6 vol. The Palace of Minos. London, GB-LND : Macmillan. </w:t>
      </w:r>
      <w:hyperlink r:id="rId402">
        <w:r w:rsidRPr="008C0D99">
          <w:rPr>
            <w:rStyle w:val="Hyperlink"/>
            <w:lang w:val="en-CA"/>
          </w:rPr>
          <w:t>https://openlibrary.org/books/OL7063760M/The_palace_of_Minos</w:t>
        </w:r>
      </w:hyperlink>
      <w:r w:rsidRPr="008C0D99">
        <w:rPr>
          <w:lang w:val="en-CA"/>
        </w:rPr>
        <w:t>.</w:t>
      </w:r>
    </w:p>
    <w:p w14:paraId="4DB088EA" w14:textId="77777777" w:rsidR="0084489F" w:rsidRDefault="00110FE6">
      <w:pPr>
        <w:pStyle w:val="BodyText"/>
      </w:pPr>
      <w:r w:rsidRPr="1B9E7434">
        <w:rPr>
          <w:lang w:val="fr-FR"/>
        </w:rPr>
        <w:t xml:space="preserve">Grimal, Nicolas-Christophe. 1988. </w:t>
      </w:r>
      <w:r w:rsidRPr="1B9E7434">
        <w:rPr>
          <w:i/>
          <w:iCs/>
          <w:lang w:val="fr-FR"/>
        </w:rPr>
        <w:t>Histoire de l’Égypte ancienne</w:t>
      </w:r>
      <w:r w:rsidRPr="1B9E7434">
        <w:rPr>
          <w:lang w:val="fr-FR"/>
        </w:rPr>
        <w:t>. Paris : Fayard.</w:t>
      </w:r>
    </w:p>
    <w:p w14:paraId="0881594B" w14:textId="77777777" w:rsidR="0084489F" w:rsidRDefault="00110FE6">
      <w:pPr>
        <w:pStyle w:val="BodyText"/>
      </w:pPr>
      <w:r w:rsidRPr="1B9E7434">
        <w:rPr>
          <w:lang w:val="fr-FR"/>
        </w:rPr>
        <w:t xml:space="preserve">Groz, Benoît. 2008. « Inclusion et équivalence de requêtes conjonctives ». Rapport de stage, Paris, FR-IDF : Institut national de recherche en sciences et technologies du numérique. </w:t>
      </w:r>
      <w:hyperlink r:id="rId403">
        <w:r w:rsidRPr="1B9E7434">
          <w:rPr>
            <w:rStyle w:val="Hyperlink"/>
            <w:lang w:val="fr-FR"/>
          </w:rPr>
          <w:t>https://www.lri.fr/~groz/documents/rapport.pdf</w:t>
        </w:r>
      </w:hyperlink>
      <w:r w:rsidRPr="1B9E7434">
        <w:rPr>
          <w:lang w:val="fr-FR"/>
        </w:rPr>
        <w:t>.</w:t>
      </w:r>
    </w:p>
    <w:p w14:paraId="654B5561" w14:textId="77777777" w:rsidR="0084489F" w:rsidRDefault="00110FE6">
      <w:pPr>
        <w:pStyle w:val="BodyText"/>
      </w:pPr>
      <w:r>
        <w:t xml:space="preserve">Institut canadien de conservation. 2022. « Traitements de conservation ». Traitements et services de conservation. 18 octobre 2022. </w:t>
      </w:r>
      <w:hyperlink r:id="rId404">
        <w:r>
          <w:rPr>
            <w:rStyle w:val="Hyperlink"/>
          </w:rPr>
          <w:t>https://www.canada.ca/fr/institut-conservation/services/traitements-services-conservation/traitements-conservation.html</w:t>
        </w:r>
      </w:hyperlink>
      <w:r>
        <w:t>.</w:t>
      </w:r>
    </w:p>
    <w:p w14:paraId="161760DA" w14:textId="77777777" w:rsidR="0084489F" w:rsidRDefault="00110FE6">
      <w:pPr>
        <w:pStyle w:val="BodyText"/>
      </w:pPr>
      <w:r w:rsidRPr="008C0D99">
        <w:rPr>
          <w:lang w:val="en-CA"/>
        </w:rPr>
        <w:t xml:space="preserve">JSON-LD Working Group. 2014. « JSON-LD - JSON for Linking Data ». </w:t>
      </w:r>
      <w:r>
        <w:t xml:space="preserve">JSON-LD. 16 janvier 2014. </w:t>
      </w:r>
      <w:hyperlink r:id="rId405">
        <w:r>
          <w:rPr>
            <w:rStyle w:val="Hyperlink"/>
          </w:rPr>
          <w:t>https://json-ld.org/</w:t>
        </w:r>
      </w:hyperlink>
      <w:r>
        <w:t>.</w:t>
      </w:r>
    </w:p>
    <w:p w14:paraId="19EB5347" w14:textId="77777777" w:rsidR="0084489F" w:rsidRDefault="00110FE6">
      <w:pPr>
        <w:pStyle w:val="BodyText"/>
      </w:pPr>
      <w:r w:rsidRPr="1B9E7434">
        <w:rPr>
          <w:lang w:val="fr-FR"/>
        </w:rPr>
        <w:t xml:space="preserve">Lenormand, Louis Sébastien, et W. Maigne. (1900) 2006. « Tranchefile ». Dans </w:t>
      </w:r>
      <w:r w:rsidRPr="1B9E7434">
        <w:rPr>
          <w:i/>
          <w:iCs/>
          <w:lang w:val="fr-FR"/>
        </w:rPr>
        <w:t>Nouveau manuel complet du relieur en tous genres contenant les arts de l’assembleur, du satineur, du cartonneur, du marbreur sur tranches et du doreur sur tranches et sur cuir</w:t>
      </w:r>
      <w:r w:rsidRPr="1B9E7434">
        <w:rPr>
          <w:lang w:val="fr-FR"/>
        </w:rPr>
        <w:t xml:space="preserve">. Sous la direction de L. Mulo, 171‑75. Manuels Roret. Paris, FR-IDF : Encyclopédie-Roret. </w:t>
      </w:r>
      <w:hyperlink r:id="rId406">
        <w:r w:rsidRPr="1B9E7434">
          <w:rPr>
            <w:rStyle w:val="Hyperlink"/>
            <w:lang w:val="fr-FR"/>
          </w:rPr>
          <w:t>https://www.moulinduverger.com/reliure-manuelle/roret-69.php</w:t>
        </w:r>
      </w:hyperlink>
      <w:r w:rsidRPr="1B9E7434">
        <w:rPr>
          <w:lang w:val="fr-FR"/>
        </w:rPr>
        <w:t>.</w:t>
      </w:r>
    </w:p>
    <w:p w14:paraId="73E69A97" w14:textId="77777777" w:rsidR="0084489F" w:rsidRDefault="00110FE6">
      <w:pPr>
        <w:pStyle w:val="BodyText"/>
      </w:pPr>
      <w:r w:rsidRPr="1B9E7434">
        <w:rPr>
          <w:lang w:val="fr-FR"/>
        </w:rPr>
        <w:t xml:space="preserve">Louis, Olivier. 2021. « Bâtonnets de tranchefile, fabrication, matériel utilisé et dimensions. » Blog. </w:t>
      </w:r>
      <w:r w:rsidRPr="1B9E7434">
        <w:rPr>
          <w:i/>
          <w:iCs/>
          <w:lang w:val="fr-FR"/>
        </w:rPr>
        <w:t>Reliure d’art dare</w:t>
      </w:r>
      <w:r w:rsidRPr="1B9E7434">
        <w:rPr>
          <w:lang w:val="fr-FR"/>
        </w:rPr>
        <w:t xml:space="preserve">. 28 septembre. </w:t>
      </w:r>
      <w:hyperlink r:id="rId407">
        <w:r w:rsidRPr="1B9E7434">
          <w:rPr>
            <w:rStyle w:val="Hyperlink"/>
            <w:lang w:val="fr-FR"/>
          </w:rPr>
          <w:t>https://reliuredartdare.com/2021/09/batonnets-tranchefile-fabrication/</w:t>
        </w:r>
      </w:hyperlink>
      <w:r w:rsidRPr="1B9E7434">
        <w:rPr>
          <w:lang w:val="fr-FR"/>
        </w:rPr>
        <w:t>.</w:t>
      </w:r>
    </w:p>
    <w:p w14:paraId="70C57DDA" w14:textId="77777777" w:rsidR="0084489F" w:rsidRPr="008C0D99" w:rsidRDefault="00110FE6">
      <w:pPr>
        <w:pStyle w:val="BodyText"/>
        <w:rPr>
          <w:lang w:val="en-CA"/>
        </w:rPr>
      </w:pPr>
      <w:r w:rsidRPr="008C0D99">
        <w:rPr>
          <w:lang w:val="en-CA"/>
        </w:rPr>
        <w:t xml:space="preserve">Lowe Fri, Maria. 2011. </w:t>
      </w:r>
      <w:r w:rsidRPr="008C0D99">
        <w:rPr>
          <w:i/>
          <w:iCs/>
          <w:lang w:val="en-CA"/>
        </w:rPr>
        <w:t>The Double Axe in Minoan Crete: An Experimental Study of Production and Use</w:t>
      </w:r>
      <w:r w:rsidRPr="008C0D99">
        <w:rPr>
          <w:lang w:val="en-CA"/>
        </w:rPr>
        <w:t xml:space="preserve">. BAR International Series 2304. Oxford, GB-OXF : Archaeopress. </w:t>
      </w:r>
      <w:hyperlink r:id="rId408">
        <w:r w:rsidRPr="008C0D99">
          <w:rPr>
            <w:rStyle w:val="Hyperlink"/>
            <w:lang w:val="en-CA"/>
          </w:rPr>
          <w:t>https://doi.org/10.30861/9781407308814</w:t>
        </w:r>
      </w:hyperlink>
      <w:r w:rsidRPr="008C0D99">
        <w:rPr>
          <w:lang w:val="en-CA"/>
        </w:rPr>
        <w:t>.</w:t>
      </w:r>
    </w:p>
    <w:p w14:paraId="6379FCB8" w14:textId="77777777" w:rsidR="0084489F" w:rsidRDefault="00110FE6">
      <w:pPr>
        <w:pStyle w:val="BodyText"/>
      </w:pPr>
      <w:r w:rsidRPr="1B9E7434">
        <w:rPr>
          <w:lang w:val="fr-FR"/>
        </w:rPr>
        <w:t xml:space="preserve">Office québécois de la langue française. 2017. « Base de connaissances ». Dans </w:t>
      </w:r>
      <w:r w:rsidRPr="1B9E7434">
        <w:rPr>
          <w:i/>
          <w:iCs/>
          <w:lang w:val="fr-FR"/>
        </w:rPr>
        <w:t>Grand dictionnaire terminologique</w:t>
      </w:r>
      <w:r w:rsidRPr="1B9E7434">
        <w:rPr>
          <w:lang w:val="fr-FR"/>
        </w:rPr>
        <w:t xml:space="preserve">. . Québec, CA-QC : Office québécois de la langue française. Consulté le 2017. </w:t>
      </w:r>
      <w:hyperlink r:id="rId409">
        <w:r w:rsidRPr="1B9E7434">
          <w:rPr>
            <w:rStyle w:val="Hyperlink"/>
            <w:lang w:val="fr-FR"/>
          </w:rPr>
          <w:t>http://gdt.oqlf.gouv.qc.ca/ficheOqlf.aspx?Id_Fiche=8366746</w:t>
        </w:r>
      </w:hyperlink>
      <w:r w:rsidRPr="1B9E7434">
        <w:rPr>
          <w:lang w:val="fr-FR"/>
        </w:rPr>
        <w:t>.</w:t>
      </w:r>
    </w:p>
    <w:p w14:paraId="59E107AB" w14:textId="77777777" w:rsidR="0084489F" w:rsidRDefault="00110FE6">
      <w:pPr>
        <w:pStyle w:val="BodyText"/>
      </w:pPr>
      <w:r w:rsidRPr="1B9E7434">
        <w:rPr>
          <w:lang w:val="fr-FR"/>
        </w:rPr>
        <w:t xml:space="preserve">———. 2019a. « Écriture des dates ». Dans </w:t>
      </w:r>
      <w:r w:rsidRPr="1B9E7434">
        <w:rPr>
          <w:i/>
          <w:iCs/>
          <w:lang w:val="fr-FR"/>
        </w:rPr>
        <w:t>Banque de dépannage linguistique</w:t>
      </w:r>
      <w:r w:rsidRPr="1B9E7434">
        <w:rPr>
          <w:lang w:val="fr-FR"/>
        </w:rPr>
        <w:t xml:space="preserve">. . Québec, CA-QC : Office québécois de la langue française. Consulté le 2019. </w:t>
      </w:r>
      <w:hyperlink r:id="rId410">
        <w:r w:rsidRPr="1B9E7434">
          <w:rPr>
            <w:rStyle w:val="Hyperlink"/>
            <w:lang w:val="fr-FR"/>
          </w:rPr>
          <w:t>https://vitrinelinguistique.oqlf.gouv.qc.ca/21640/la-typographie/nombres/ecriture-des-dates</w:t>
        </w:r>
      </w:hyperlink>
      <w:r w:rsidRPr="1B9E7434">
        <w:rPr>
          <w:lang w:val="fr-FR"/>
        </w:rPr>
        <w:t>.</w:t>
      </w:r>
    </w:p>
    <w:p w14:paraId="28F00962" w14:textId="77777777" w:rsidR="0084489F" w:rsidRDefault="00110FE6">
      <w:pPr>
        <w:pStyle w:val="BodyText"/>
      </w:pPr>
      <w:r w:rsidRPr="1B9E7434">
        <w:rPr>
          <w:lang w:val="fr-FR"/>
        </w:rPr>
        <w:t xml:space="preserve">———. 2019b. « Écriture des dates et des heures dans les lettres et les textes courants ». Dans </w:t>
      </w:r>
      <w:r w:rsidRPr="1B9E7434">
        <w:rPr>
          <w:i/>
          <w:iCs/>
          <w:lang w:val="fr-FR"/>
        </w:rPr>
        <w:t>Banque de dépannage linguistique</w:t>
      </w:r>
      <w:r w:rsidRPr="1B9E7434">
        <w:rPr>
          <w:lang w:val="fr-FR"/>
        </w:rPr>
        <w:t xml:space="preserve">. . Québec, CA-QC : Office québécois de la langue française. Consulté le 2019. </w:t>
      </w:r>
      <w:hyperlink r:id="rId411">
        <w:r w:rsidRPr="1B9E7434">
          <w:rPr>
            <w:rStyle w:val="Hyperlink"/>
            <w:lang w:val="fr-FR"/>
          </w:rPr>
          <w:t>https://vitrinelinguistique.oqlf.gouv.qc.ca/21242/la-typographie/nombres/ecriture-des-dates-et-des-heures-dans-les-lettres-et-les-textes-courants</w:t>
        </w:r>
      </w:hyperlink>
      <w:r w:rsidRPr="1B9E7434">
        <w:rPr>
          <w:lang w:val="fr-FR"/>
        </w:rPr>
        <w:t>.</w:t>
      </w:r>
    </w:p>
    <w:p w14:paraId="1BA4BB69" w14:textId="77777777" w:rsidR="0084489F" w:rsidRDefault="00110FE6">
      <w:pPr>
        <w:pStyle w:val="BodyText"/>
      </w:pPr>
      <w:r w:rsidRPr="1B9E7434">
        <w:rPr>
          <w:lang w:val="fr-FR"/>
        </w:rPr>
        <w:t xml:space="preserve">———. 2022. « Différence entre procédé, processus et procédure ». Dans </w:t>
      </w:r>
      <w:r w:rsidRPr="1B9E7434">
        <w:rPr>
          <w:i/>
          <w:iCs/>
          <w:lang w:val="fr-FR"/>
        </w:rPr>
        <w:t>Banque de dépannage linguistique</w:t>
      </w:r>
      <w:r w:rsidRPr="1B9E7434">
        <w:rPr>
          <w:lang w:val="fr-FR"/>
        </w:rPr>
        <w:t xml:space="preserve">. . Québec, CA-QC : Office québécois de la langue française. Consulté le 2022. </w:t>
      </w:r>
      <w:hyperlink r:id="rId412">
        <w:r w:rsidRPr="1B9E7434">
          <w:rPr>
            <w:rStyle w:val="Hyperlink"/>
            <w:lang w:val="fr-FR"/>
          </w:rPr>
          <w:t>https://vitrinelinguistique.oqlf.gouv.qc.ca/22247/le-vocabulaire/nuances-semantiques/difference-entre-procede-processus-et-procedure</w:t>
        </w:r>
      </w:hyperlink>
      <w:r w:rsidRPr="1B9E7434">
        <w:rPr>
          <w:lang w:val="fr-FR"/>
        </w:rPr>
        <w:t>.</w:t>
      </w:r>
    </w:p>
    <w:p w14:paraId="19B67793" w14:textId="77777777" w:rsidR="0084489F" w:rsidRDefault="00110FE6">
      <w:pPr>
        <w:pStyle w:val="BodyText"/>
      </w:pPr>
      <w:r w:rsidRPr="1B9E7434">
        <w:rPr>
          <w:lang w:val="fr-FR"/>
        </w:rPr>
        <w:t xml:space="preserve">———. 2023. « Maximal, minimal et optimal : accord de l’adjectif ». Dans </w:t>
      </w:r>
      <w:r w:rsidRPr="1B9E7434">
        <w:rPr>
          <w:i/>
          <w:iCs/>
          <w:lang w:val="fr-FR"/>
        </w:rPr>
        <w:t>Banque de dépannage linguistique</w:t>
      </w:r>
      <w:r w:rsidRPr="1B9E7434">
        <w:rPr>
          <w:lang w:val="fr-FR"/>
        </w:rPr>
        <w:t xml:space="preserve">. . Québec, CA-QC : Office québécois de la langue française. Consulté le 8 février 2023. </w:t>
      </w:r>
      <w:hyperlink r:id="rId413">
        <w:r w:rsidRPr="1B9E7434">
          <w:rPr>
            <w:rStyle w:val="Hyperlink"/>
            <w:lang w:val="fr-FR"/>
          </w:rPr>
          <w:t>https://vitrinelinguistique.oqlf.gouv.qc.ca/23433/la-grammaire/ladjectif/accord-de-ladjectif/cas-particuliers-daccord-de-ladjectif/accord-des-adjectifs-maximal-minimal-et-optimal</w:t>
        </w:r>
      </w:hyperlink>
      <w:r w:rsidRPr="1B9E7434">
        <w:rPr>
          <w:lang w:val="fr-FR"/>
        </w:rPr>
        <w:t>.</w:t>
      </w:r>
    </w:p>
    <w:p w14:paraId="0816005F" w14:textId="77777777" w:rsidR="0084489F" w:rsidRDefault="00110FE6">
      <w:pPr>
        <w:pStyle w:val="BodyText"/>
      </w:pPr>
      <w:r w:rsidRPr="008C0D99">
        <w:rPr>
          <w:lang w:val="en-CA"/>
        </w:rPr>
        <w:t xml:space="preserve">OWL Working Group. 2012. « OWL - Semantic Web Standards ». </w:t>
      </w:r>
      <w:r>
        <w:t xml:space="preserve">Ontologie. Cambridge, USA-MA : World Wide Web Consortium (W3C). </w:t>
      </w:r>
      <w:hyperlink r:id="rId414">
        <w:r>
          <w:rPr>
            <w:rStyle w:val="Hyperlink"/>
          </w:rPr>
          <w:t>https://www.w3.org/OWL/</w:t>
        </w:r>
      </w:hyperlink>
      <w:r>
        <w:t>.</w:t>
      </w:r>
    </w:p>
    <w:p w14:paraId="4F18F84E" w14:textId="77777777" w:rsidR="0084489F" w:rsidRPr="008C0D99" w:rsidRDefault="00110FE6">
      <w:pPr>
        <w:pStyle w:val="BodyText"/>
        <w:rPr>
          <w:lang w:val="en-CA"/>
        </w:rPr>
      </w:pPr>
      <w:r>
        <w:t xml:space="preserve">Picard, Charles. 1929. « Le palais de Minos à Cnossos ». </w:t>
      </w:r>
      <w:r w:rsidRPr="008C0D99">
        <w:rPr>
          <w:i/>
          <w:iCs/>
          <w:lang w:val="en-CA"/>
        </w:rPr>
        <w:t>Journal des Savants</w:t>
      </w:r>
      <w:r w:rsidRPr="008C0D99">
        <w:rPr>
          <w:lang w:val="en-CA"/>
        </w:rPr>
        <w:t xml:space="preserve"> 3 (1) : 97‑110.</w:t>
      </w:r>
    </w:p>
    <w:p w14:paraId="0BFAA03B" w14:textId="77777777" w:rsidR="0084489F" w:rsidRDefault="00110FE6">
      <w:pPr>
        <w:pStyle w:val="BodyText"/>
      </w:pPr>
      <w:r w:rsidRPr="008C0D99">
        <w:rPr>
          <w:lang w:val="en-CA"/>
        </w:rPr>
        <w:t xml:space="preserve">RDF Working Group. 2014. « RDF - Semantic Web Standards ». Modèle. Cambridge, USA-MA : World Wide Web Consortium (W3C). </w:t>
      </w:r>
      <w:hyperlink r:id="rId415">
        <w:r>
          <w:rPr>
            <w:rStyle w:val="Hyperlink"/>
          </w:rPr>
          <w:t>https://www.w3.org/RDF/</w:t>
        </w:r>
      </w:hyperlink>
      <w:r>
        <w:t>.</w:t>
      </w:r>
    </w:p>
    <w:p w14:paraId="28E1AD62" w14:textId="77777777" w:rsidR="0084489F" w:rsidRDefault="00110FE6">
      <w:pPr>
        <w:pStyle w:val="BodyText"/>
      </w:pPr>
      <w:r>
        <w:t xml:space="preserve">Reaney, Gilbert. 1974. </w:t>
      </w:r>
      <w:r>
        <w:rPr>
          <w:i/>
          <w:iCs/>
        </w:rPr>
        <w:t>Guillaume de Machaut</w:t>
      </w:r>
      <w:r>
        <w:t xml:space="preserve">. </w:t>
      </w:r>
      <w:r w:rsidRPr="008C0D99">
        <w:rPr>
          <w:lang w:val="en-CA"/>
        </w:rPr>
        <w:t>2</w:t>
      </w:r>
      <w:r w:rsidRPr="008C0D99">
        <w:rPr>
          <w:vertAlign w:val="superscript"/>
          <w:lang w:val="en-CA"/>
        </w:rPr>
        <w:t>e</w:t>
      </w:r>
      <w:r w:rsidRPr="008C0D99">
        <w:rPr>
          <w:lang w:val="en-CA"/>
        </w:rPr>
        <w:t xml:space="preserve"> éd. Oxford Studies of Composers 9. </w:t>
      </w:r>
      <w:r>
        <w:t>London, GB-LND : Oxford University Press.</w:t>
      </w:r>
    </w:p>
    <w:p w14:paraId="74C55A0C" w14:textId="77777777" w:rsidR="0084489F" w:rsidRDefault="00110FE6">
      <w:pPr>
        <w:pStyle w:val="BodyText"/>
      </w:pPr>
      <w:r w:rsidRPr="1B9E7434">
        <w:rPr>
          <w:lang w:val="fr-FR"/>
        </w:rPr>
        <w:t xml:space="preserve">Ressources naturelles Canada - Natural Resources Canada. 2009a. « À propos du Système canadien de référence spatiale: Systèmes de référence géométrique ». Gouvernement du Canada. Ressources naturelles Canada. 1 décembre 2009. </w:t>
      </w:r>
      <w:hyperlink r:id="rId416">
        <w:r w:rsidRPr="1B9E7434">
          <w:rPr>
            <w:rStyle w:val="Hyperlink"/>
            <w:lang w:val="fr-FR"/>
          </w:rPr>
          <w:t>https://ressources-naturelles.canada.ca/cartes-outils-et-publications/systemes-reference-geodesiques/le-systeme-canadien-reference-spatiale-scrs/9053</w:t>
        </w:r>
      </w:hyperlink>
      <w:r w:rsidRPr="1B9E7434">
        <w:rPr>
          <w:lang w:val="fr-FR"/>
        </w:rPr>
        <w:t>.</w:t>
      </w:r>
    </w:p>
    <w:p w14:paraId="521C6935" w14:textId="77777777" w:rsidR="0084489F" w:rsidRPr="008C0D99" w:rsidRDefault="00110FE6">
      <w:pPr>
        <w:pStyle w:val="BodyText"/>
        <w:rPr>
          <w:lang w:val="en-CA"/>
        </w:rPr>
      </w:pPr>
      <w:r w:rsidRPr="008C0D99">
        <w:rPr>
          <w:lang w:val="en-CA"/>
        </w:rPr>
        <w:t xml:space="preserve">———. 2009b. « About the Canadian Spatial Reference System: Geometric Reference Systems ». Government of Canada. Natural Resources Canada. 1 décembre 2009. </w:t>
      </w:r>
      <w:hyperlink r:id="rId417">
        <w:r w:rsidRPr="008C0D99">
          <w:rPr>
            <w:rStyle w:val="Hyperlink"/>
            <w:lang w:val="en-CA"/>
          </w:rPr>
          <w:t>https://natural-resources.canada.ca/maps-tools-and-publications/geodetic-reference-systems/canadian-spatial-reference-system-csrs/9052</w:t>
        </w:r>
      </w:hyperlink>
      <w:r w:rsidRPr="008C0D99">
        <w:rPr>
          <w:lang w:val="en-CA"/>
        </w:rPr>
        <w:t>.</w:t>
      </w:r>
    </w:p>
    <w:p w14:paraId="26FCF0FE" w14:textId="77777777" w:rsidR="0084489F" w:rsidRPr="0060792A" w:rsidRDefault="00110FE6">
      <w:pPr>
        <w:pStyle w:val="BodyText"/>
        <w:rPr>
          <w:lang w:val="en-US"/>
        </w:rPr>
      </w:pPr>
      <w:r>
        <w:t xml:space="preserve">Smith, Shelagh, et Hélène Francoeur. </w:t>
      </w:r>
      <w:r w:rsidRPr="008C0D99">
        <w:rPr>
          <w:lang w:val="en-CA"/>
        </w:rPr>
        <w:t xml:space="preserve">2021. </w:t>
      </w:r>
      <w:r w:rsidRPr="008C0D99">
        <w:rPr>
          <w:i/>
          <w:iCs/>
          <w:lang w:val="en-CA"/>
        </w:rPr>
        <w:t>English to French Book Arts Terms</w:t>
      </w:r>
      <w:r w:rsidRPr="008C0D99">
        <w:rPr>
          <w:lang w:val="en-CA"/>
        </w:rPr>
        <w:t xml:space="preserve">. Toronto, CA-ON : Canadian Bookbinders and Book Artists Guild. </w:t>
      </w:r>
      <w:hyperlink r:id="rId418">
        <w:r w:rsidRPr="0060792A">
          <w:rPr>
            <w:rStyle w:val="Hyperlink"/>
            <w:lang w:val="en-US"/>
          </w:rPr>
          <w:t>https://www.cbbag.ca/resources/Public/Book%20Arts%20ENG%20FRE%20Translation.pdf</w:t>
        </w:r>
      </w:hyperlink>
      <w:r w:rsidRPr="0060792A">
        <w:rPr>
          <w:lang w:val="en-US"/>
        </w:rPr>
        <w:t>.</w:t>
      </w:r>
    </w:p>
    <w:p w14:paraId="50B618D7" w14:textId="77777777" w:rsidR="0084489F" w:rsidRDefault="00110FE6">
      <w:pPr>
        <w:pStyle w:val="BodyText"/>
      </w:pPr>
      <w:r w:rsidRPr="008C0D99">
        <w:rPr>
          <w:lang w:val="en-CA"/>
        </w:rPr>
        <w:t xml:space="preserve">Strong, Roy. 2005. </w:t>
      </w:r>
      <w:r w:rsidRPr="008C0D99">
        <w:rPr>
          <w:i/>
          <w:iCs/>
          <w:lang w:val="en-CA"/>
        </w:rPr>
        <w:t>Coronation: a history of kingship and the British monarchy</w:t>
      </w:r>
      <w:r w:rsidRPr="008C0D99">
        <w:rPr>
          <w:lang w:val="en-CA"/>
        </w:rPr>
        <w:t xml:space="preserve">. </w:t>
      </w:r>
      <w:r>
        <w:t>London, GB-LND : Harper Collins.</w:t>
      </w:r>
    </w:p>
    <w:p w14:paraId="74E3BE67" w14:textId="77777777" w:rsidR="0084489F" w:rsidRDefault="00110FE6">
      <w:pPr>
        <w:pStyle w:val="BodyText"/>
      </w:pPr>
      <w:r w:rsidRPr="1B9E7434">
        <w:rPr>
          <w:lang w:val="fr-FR"/>
        </w:rPr>
        <w:t xml:space="preserve">Termium. 1997. « Avant Jésus-Christ ». Dans </w:t>
      </w:r>
      <w:r w:rsidRPr="1B9E7434">
        <w:rPr>
          <w:i/>
          <w:iCs/>
          <w:lang w:val="fr-FR"/>
        </w:rPr>
        <w:t>Termium Plus</w:t>
      </w:r>
      <w:r w:rsidRPr="1B9E7434">
        <w:rPr>
          <w:lang w:val="fr-FR"/>
        </w:rPr>
        <w:t xml:space="preserve">. . Ottawa, CA-ON : Gouvernement du Canada. Consulté le 29 janvier 1997. </w:t>
      </w:r>
      <w:hyperlink r:id="rId419" w:anchor="resultrecs">
        <w:r w:rsidRPr="1B9E7434">
          <w:rPr>
            <w:rStyle w:val="Hyperlink"/>
            <w:lang w:val="fr-FR"/>
          </w:rPr>
          <w:t>https://www.btb.termiumplus.gc.ca/tpv2alpha/alpha-fra.html?lang=fra&amp;i=1&amp;srchtxt=avant+J%C3%A9sus-christ&amp;codom2nd_wet=1#resultrecs</w:t>
        </w:r>
      </w:hyperlink>
      <w:r w:rsidRPr="1B9E7434">
        <w:rPr>
          <w:lang w:val="fr-FR"/>
        </w:rPr>
        <w:t>.</w:t>
      </w:r>
    </w:p>
    <w:p w14:paraId="600C6E80" w14:textId="77777777" w:rsidR="0084489F" w:rsidRDefault="00110FE6">
      <w:pPr>
        <w:pStyle w:val="BodyText"/>
      </w:pPr>
      <w:r w:rsidRPr="1B9E7434">
        <w:rPr>
          <w:lang w:val="fr-FR"/>
        </w:rPr>
        <w:t xml:space="preserve">———. 2001. « Via ». Dans </w:t>
      </w:r>
      <w:r w:rsidRPr="1B9E7434">
        <w:rPr>
          <w:i/>
          <w:iCs/>
          <w:lang w:val="fr-FR"/>
        </w:rPr>
        <w:t>Termium Plus</w:t>
      </w:r>
      <w:r w:rsidRPr="1B9E7434">
        <w:rPr>
          <w:lang w:val="fr-FR"/>
        </w:rPr>
        <w:t xml:space="preserve">. . Ottawa, CA-ON : Gouvernement du Canada. Consulté le 8 mars 2001. </w:t>
      </w:r>
      <w:hyperlink r:id="rId420" w:anchor="fichesauve-saverecord4">
        <w:r w:rsidRPr="1B9E7434">
          <w:rPr>
            <w:rStyle w:val="Hyperlink"/>
            <w:lang w:val="fr-FR"/>
          </w:rPr>
          <w:t>https://www.btb.termiumplus.gc.ca/tpv2alpha/alpha-fra.html?lang=fra&amp;srchtxt=VIA&amp;i=&amp;index=ent&amp;sg_kp_wet=1323269&amp;fchrcrdnm=4#fichesauve-saverecord4</w:t>
        </w:r>
      </w:hyperlink>
      <w:r w:rsidRPr="1B9E7434">
        <w:rPr>
          <w:lang w:val="fr-FR"/>
        </w:rPr>
        <w:t>.</w:t>
      </w:r>
    </w:p>
    <w:p w14:paraId="57F812B8" w14:textId="77777777" w:rsidR="0084489F" w:rsidRDefault="00110FE6">
      <w:pPr>
        <w:pStyle w:val="BodyText"/>
      </w:pPr>
      <w:r w:rsidRPr="008C0D99">
        <w:rPr>
          <w:lang w:val="en-CA"/>
        </w:rPr>
        <w:t xml:space="preserve">———. 2003. « Temporal reasoning ». Dans </w:t>
      </w:r>
      <w:r w:rsidRPr="008C0D99">
        <w:rPr>
          <w:i/>
          <w:iCs/>
          <w:lang w:val="en-CA"/>
        </w:rPr>
        <w:t>Termium Plus</w:t>
      </w:r>
      <w:r w:rsidRPr="008C0D99">
        <w:rPr>
          <w:lang w:val="en-CA"/>
        </w:rPr>
        <w:t xml:space="preserve">. . </w:t>
      </w:r>
      <w:r>
        <w:t xml:space="preserve">Ottawa, CA-ON : Gouvernment du Canada. Consulté le 19 septembre 2003. </w:t>
      </w:r>
      <w:hyperlink r:id="rId421" w:anchor="fichesauve-saverecord1">
        <w:r>
          <w:rPr>
            <w:rStyle w:val="Hyperlink"/>
          </w:rPr>
          <w:t>https://www.btb.termiumplus.gc.ca/tpv2alpha/alpha-fra.html?lang=fra&amp;srchtxt=temporal%20reasoning&amp;i=&amp;index=alt&amp;sg_kp_wet=921138&amp;fchrcrdnm=1#fichesauve-saverecord1</w:t>
        </w:r>
      </w:hyperlink>
      <w:r>
        <w:t>.</w:t>
      </w:r>
    </w:p>
    <w:p w14:paraId="62F2FE19" w14:textId="77777777" w:rsidR="0084489F" w:rsidRDefault="00110FE6">
      <w:pPr>
        <w:pStyle w:val="BodyText"/>
      </w:pPr>
      <w:r w:rsidRPr="1B9E7434">
        <w:rPr>
          <w:lang w:val="fr-FR"/>
        </w:rPr>
        <w:t xml:space="preserve">———. 2009a. « Back catalogue ». Dans </w:t>
      </w:r>
      <w:r w:rsidRPr="1B9E7434">
        <w:rPr>
          <w:i/>
          <w:iCs/>
          <w:lang w:val="fr-FR"/>
        </w:rPr>
        <w:t>Termium Plus</w:t>
      </w:r>
      <w:r w:rsidRPr="1B9E7434">
        <w:rPr>
          <w:lang w:val="fr-FR"/>
        </w:rPr>
        <w:t xml:space="preserve">. . Ottawa, CA-ON : Gouvernement du Canada. Consulté le 8 octobre 2009. </w:t>
      </w:r>
      <w:hyperlink r:id="rId422" w:anchor="resultrecs">
        <w:r w:rsidRPr="1B9E7434">
          <w:rPr>
            <w:rStyle w:val="Hyperlink"/>
            <w:lang w:val="fr-FR"/>
          </w:rPr>
          <w:t>https://www.btb.termiumplus.gc.ca/tpv2alpha/alpha-fra.html?lang=fra&amp;i=1&amp;srchtxt=back+catalogue&amp;index=alt&amp;codom2nd_wet=1#resultrecs</w:t>
        </w:r>
      </w:hyperlink>
      <w:r w:rsidRPr="1B9E7434">
        <w:rPr>
          <w:lang w:val="fr-FR"/>
        </w:rPr>
        <w:t>.</w:t>
      </w:r>
    </w:p>
    <w:p w14:paraId="1F0AFC72" w14:textId="77777777" w:rsidR="0084489F" w:rsidRDefault="00110FE6">
      <w:pPr>
        <w:pStyle w:val="BodyText"/>
      </w:pPr>
      <w:r w:rsidRPr="1B9E7434">
        <w:rPr>
          <w:lang w:val="fr-FR"/>
        </w:rPr>
        <w:t xml:space="preserve">———. 2009b. « Cardinalité ». Dans </w:t>
      </w:r>
      <w:r w:rsidRPr="1B9E7434">
        <w:rPr>
          <w:i/>
          <w:iCs/>
          <w:lang w:val="fr-FR"/>
        </w:rPr>
        <w:t>Termium Plus</w:t>
      </w:r>
      <w:r w:rsidRPr="1B9E7434">
        <w:rPr>
          <w:lang w:val="fr-FR"/>
        </w:rPr>
        <w:t xml:space="preserve">. . Ottawa, CA-ON : Gouvernement du Canada. Consulté le 8 octobre 2009. </w:t>
      </w:r>
      <w:hyperlink r:id="rId423" w:anchor="resultrecs">
        <w:r w:rsidRPr="1B9E7434">
          <w:rPr>
            <w:rStyle w:val="Hyperlink"/>
            <w:lang w:val="fr-FR"/>
          </w:rPr>
          <w:t>https://www.btb.termiumplus.gc.ca/tpv2alpha/alpha-fra.html?lang=fra&amp;i=1&amp;srchtxt=cardinalit%C3%A9&amp;index=frt&amp;codom2nd_wet=1#resultrecs</w:t>
        </w:r>
      </w:hyperlink>
      <w:r w:rsidRPr="1B9E7434">
        <w:rPr>
          <w:lang w:val="fr-FR"/>
        </w:rPr>
        <w:t>.</w:t>
      </w:r>
    </w:p>
    <w:p w14:paraId="03836275" w14:textId="77777777" w:rsidR="0084489F" w:rsidRDefault="00110FE6">
      <w:pPr>
        <w:pStyle w:val="BodyText"/>
      </w:pPr>
      <w:r w:rsidRPr="1B9E7434">
        <w:rPr>
          <w:lang w:val="fr-FR"/>
        </w:rPr>
        <w:t xml:space="preserve">———. 2009c. « Construct ». Dans </w:t>
      </w:r>
      <w:r w:rsidRPr="1B9E7434">
        <w:rPr>
          <w:i/>
          <w:iCs/>
          <w:lang w:val="fr-FR"/>
        </w:rPr>
        <w:t>Termium Plus</w:t>
      </w:r>
      <w:r w:rsidRPr="1B9E7434">
        <w:rPr>
          <w:lang w:val="fr-FR"/>
        </w:rPr>
        <w:t xml:space="preserve">. . Ottawa, CA-ON : Gouvernement du Canada. Consulté le 8 octobre 2009. </w:t>
      </w:r>
      <w:hyperlink r:id="rId424" w:anchor="resultrecs">
        <w:r w:rsidRPr="1B9E7434">
          <w:rPr>
            <w:rStyle w:val="Hyperlink"/>
            <w:lang w:val="fr-FR"/>
          </w:rPr>
          <w:t>https://www.btb.termiumplus.gc.ca/tpv2alpha/alpha-fra.html?lang=fra&amp;i=1&amp;srchtxt=construct&amp;index=ent&amp;codom2nd_wet=1#resultrecs</w:t>
        </w:r>
      </w:hyperlink>
      <w:r w:rsidRPr="1B9E7434">
        <w:rPr>
          <w:lang w:val="fr-FR"/>
        </w:rPr>
        <w:t>.</w:t>
      </w:r>
    </w:p>
    <w:p w14:paraId="6264C917" w14:textId="77777777" w:rsidR="0084489F" w:rsidRDefault="00110FE6">
      <w:pPr>
        <w:pStyle w:val="BodyText"/>
      </w:pPr>
      <w:r w:rsidRPr="1B9E7434">
        <w:rPr>
          <w:lang w:val="fr-FR"/>
        </w:rPr>
        <w:t xml:space="preserve">———. 2009d. « Containment ». Dans </w:t>
      </w:r>
      <w:r w:rsidRPr="1B9E7434">
        <w:rPr>
          <w:i/>
          <w:iCs/>
          <w:lang w:val="fr-FR"/>
        </w:rPr>
        <w:t>Termium Plus</w:t>
      </w:r>
      <w:r w:rsidRPr="1B9E7434">
        <w:rPr>
          <w:lang w:val="fr-FR"/>
        </w:rPr>
        <w:t xml:space="preserve">. . Ottawa, CA-ON : Gouvernement du Canada. Consulté le 8 octobre 2009. </w:t>
      </w:r>
      <w:hyperlink r:id="rId425" w:anchor="resultrecs">
        <w:r w:rsidRPr="1B9E7434">
          <w:rPr>
            <w:rStyle w:val="Hyperlink"/>
            <w:lang w:val="fr-FR"/>
          </w:rPr>
          <w:t>https://www.btb.termiumplus.gc.ca/tpv2alpha/alpha-fra.html?lang=fra&amp;i=1&amp;srchtxt=containment&amp;index=ent&amp;codom2nd_wet=1#resultrecs</w:t>
        </w:r>
      </w:hyperlink>
      <w:r w:rsidRPr="1B9E7434">
        <w:rPr>
          <w:lang w:val="fr-FR"/>
        </w:rPr>
        <w:t>.</w:t>
      </w:r>
    </w:p>
    <w:p w14:paraId="4F836619" w14:textId="77777777" w:rsidR="0084489F" w:rsidRDefault="00110FE6">
      <w:pPr>
        <w:pStyle w:val="BodyText"/>
      </w:pPr>
      <w:r w:rsidRPr="1B9E7434">
        <w:rPr>
          <w:lang w:val="fr-FR"/>
        </w:rPr>
        <w:t xml:space="preserve">———. 2009e. « Contiguous ». Dans </w:t>
      </w:r>
      <w:r w:rsidRPr="1B9E7434">
        <w:rPr>
          <w:i/>
          <w:iCs/>
          <w:lang w:val="fr-FR"/>
        </w:rPr>
        <w:t>Termium Plus</w:t>
      </w:r>
      <w:r w:rsidRPr="1B9E7434">
        <w:rPr>
          <w:lang w:val="fr-FR"/>
        </w:rPr>
        <w:t xml:space="preserve">. . Ottawa, CA-ON : Gouvernement du Canada. Consulté le 8 octobre 2009. </w:t>
      </w:r>
      <w:hyperlink r:id="rId426" w:anchor="resultrecs">
        <w:r w:rsidRPr="1B9E7434">
          <w:rPr>
            <w:rStyle w:val="Hyperlink"/>
            <w:lang w:val="fr-FR"/>
          </w:rPr>
          <w:t>https://www.btb.termiumplus.gc.ca/tpv2alpha/alpha-fra.html?lang=fra&amp;i=1&amp;srchtxt=contiguous&amp;codom2nd_wet=1#resultrecs</w:t>
        </w:r>
      </w:hyperlink>
      <w:r w:rsidRPr="1B9E7434">
        <w:rPr>
          <w:lang w:val="fr-FR"/>
        </w:rPr>
        <w:t>.</w:t>
      </w:r>
    </w:p>
    <w:p w14:paraId="7EF0B8C0" w14:textId="77777777" w:rsidR="0084489F" w:rsidRDefault="00110FE6">
      <w:pPr>
        <w:pStyle w:val="BodyText"/>
      </w:pPr>
      <w:r w:rsidRPr="1B9E7434">
        <w:rPr>
          <w:lang w:val="fr-FR"/>
        </w:rPr>
        <w:t xml:space="preserve">———. 2009f. « Convention appellation courriels ». Dans </w:t>
      </w:r>
      <w:r w:rsidRPr="1B9E7434">
        <w:rPr>
          <w:i/>
          <w:iCs/>
          <w:lang w:val="fr-FR"/>
        </w:rPr>
        <w:t>Termium Plus</w:t>
      </w:r>
      <w:r w:rsidRPr="1B9E7434">
        <w:rPr>
          <w:lang w:val="fr-FR"/>
        </w:rPr>
        <w:t xml:space="preserve">. . Ottawa, CA-ON : Gouvernement du Canada. Consulté le 8 octobre 2009. </w:t>
      </w:r>
      <w:hyperlink r:id="rId427">
        <w:r w:rsidRPr="1B9E7434">
          <w:rPr>
            <w:rStyle w:val="Hyperlink"/>
            <w:lang w:val="fr-FR"/>
          </w:rPr>
          <w:t>https://www.btb.termiumplus.gc.ca/tpv2alpha/alpha-eng.html?lang=eng&amp;i=1&amp;index=frt&amp;srchtxt=CONVENTION%20APPELLATION%20COURRIELS</w:t>
        </w:r>
      </w:hyperlink>
      <w:r w:rsidRPr="1B9E7434">
        <w:rPr>
          <w:lang w:val="fr-FR"/>
        </w:rPr>
        <w:t>.</w:t>
      </w:r>
    </w:p>
    <w:p w14:paraId="73EC9EA0" w14:textId="77777777" w:rsidR="0084489F" w:rsidRDefault="00110FE6">
      <w:pPr>
        <w:pStyle w:val="BodyText"/>
      </w:pPr>
      <w:r w:rsidRPr="1B9E7434">
        <w:rPr>
          <w:lang w:val="fr-FR"/>
        </w:rPr>
        <w:t xml:space="preserve">———. 2009g. « Directed graph ». Dans </w:t>
      </w:r>
      <w:r w:rsidRPr="1B9E7434">
        <w:rPr>
          <w:i/>
          <w:iCs/>
          <w:lang w:val="fr-FR"/>
        </w:rPr>
        <w:t>Termium Plus</w:t>
      </w:r>
      <w:r w:rsidRPr="1B9E7434">
        <w:rPr>
          <w:lang w:val="fr-FR"/>
        </w:rPr>
        <w:t xml:space="preserve">. . Ottawa, CA-ON : Gouvernement du Canada. Consulté le 8 octobre 2009. </w:t>
      </w:r>
      <w:hyperlink r:id="rId428" w:anchor="resultrecs">
        <w:r w:rsidRPr="1B9E7434">
          <w:rPr>
            <w:rStyle w:val="Hyperlink"/>
            <w:lang w:val="fr-FR"/>
          </w:rPr>
          <w:t>https://www.btb.termiumplus.gc.ca/tpv2alpha/alpha-fra.html?lang=fra&amp;i=1&amp;srchtxt=directed+graph&amp;index=alt&amp;codom2nd_wet=1#resultrecs</w:t>
        </w:r>
      </w:hyperlink>
      <w:r w:rsidRPr="1B9E7434">
        <w:rPr>
          <w:lang w:val="fr-FR"/>
        </w:rPr>
        <w:t>.</w:t>
      </w:r>
    </w:p>
    <w:p w14:paraId="578E4A26" w14:textId="77777777" w:rsidR="0084489F" w:rsidRDefault="00110FE6">
      <w:pPr>
        <w:pStyle w:val="BodyText"/>
      </w:pPr>
      <w:r w:rsidRPr="1B9E7434">
        <w:rPr>
          <w:lang w:val="fr-FR"/>
        </w:rPr>
        <w:t xml:space="preserve">———. 2009h. « Fan-in ». Dans </w:t>
      </w:r>
      <w:r w:rsidRPr="1B9E7434">
        <w:rPr>
          <w:i/>
          <w:iCs/>
          <w:lang w:val="fr-FR"/>
        </w:rPr>
        <w:t>Termium Plus</w:t>
      </w:r>
      <w:r w:rsidRPr="1B9E7434">
        <w:rPr>
          <w:lang w:val="fr-FR"/>
        </w:rPr>
        <w:t xml:space="preserve">. . Ottawa, CA-ON : Gouvernement du Canada. Consulté le 8 octobre 2009. </w:t>
      </w:r>
      <w:hyperlink r:id="rId429" w:anchor="resultrecs">
        <w:r w:rsidRPr="1B9E7434">
          <w:rPr>
            <w:rStyle w:val="Hyperlink"/>
            <w:lang w:val="fr-FR"/>
          </w:rPr>
          <w:t>https://www.btb.termiumplus.gc.ca/tpv2alpha/alpha-fra.html?lang=fra&amp;i=1&amp;srchtxt=fan-in&amp;index=ent&amp;codom2nd_wet=1#resultrecs</w:t>
        </w:r>
      </w:hyperlink>
      <w:r w:rsidRPr="1B9E7434">
        <w:rPr>
          <w:lang w:val="fr-FR"/>
        </w:rPr>
        <w:t>.</w:t>
      </w:r>
    </w:p>
    <w:p w14:paraId="08BF6E8C" w14:textId="77777777" w:rsidR="0084489F" w:rsidRDefault="00110FE6">
      <w:pPr>
        <w:pStyle w:val="BodyText"/>
      </w:pPr>
      <w:r w:rsidRPr="1B9E7434">
        <w:rPr>
          <w:lang w:val="fr-FR"/>
        </w:rPr>
        <w:t xml:space="preserve">———. 2009i. « Fan-out ». Dans </w:t>
      </w:r>
      <w:r w:rsidRPr="1B9E7434">
        <w:rPr>
          <w:i/>
          <w:iCs/>
          <w:lang w:val="fr-FR"/>
        </w:rPr>
        <w:t>Termium Plus</w:t>
      </w:r>
      <w:r w:rsidRPr="1B9E7434">
        <w:rPr>
          <w:lang w:val="fr-FR"/>
        </w:rPr>
        <w:t xml:space="preserve">. . Ottawa, CA-ON : Gouvernement du Canada. Consulté le 8 octobre 2009. </w:t>
      </w:r>
      <w:hyperlink r:id="rId430" w:anchor="resultrecs">
        <w:r w:rsidRPr="1B9E7434">
          <w:rPr>
            <w:rStyle w:val="Hyperlink"/>
            <w:lang w:val="fr-FR"/>
          </w:rPr>
          <w:t>https://www.btb.termiumplus.gc.ca/tpv2alpha/alpha-fra.html?lang=fra&amp;i=1&amp;srchtxt=fan-out&amp;index=ent&amp;codom2nd_wet=1#resultrecs</w:t>
        </w:r>
      </w:hyperlink>
      <w:r w:rsidRPr="1B9E7434">
        <w:rPr>
          <w:lang w:val="fr-FR"/>
        </w:rPr>
        <w:t>.</w:t>
      </w:r>
    </w:p>
    <w:p w14:paraId="3300A310" w14:textId="77777777" w:rsidR="0084489F" w:rsidRDefault="00110FE6">
      <w:pPr>
        <w:pStyle w:val="BodyText"/>
      </w:pPr>
      <w:r w:rsidRPr="1B9E7434">
        <w:rPr>
          <w:lang w:val="fr-FR"/>
        </w:rPr>
        <w:t xml:space="preserve">———. 2009j. « Ideational content ». Dans </w:t>
      </w:r>
      <w:r w:rsidRPr="1B9E7434">
        <w:rPr>
          <w:i/>
          <w:iCs/>
          <w:lang w:val="fr-FR"/>
        </w:rPr>
        <w:t>Termium Plus</w:t>
      </w:r>
      <w:r w:rsidRPr="1B9E7434">
        <w:rPr>
          <w:lang w:val="fr-FR"/>
        </w:rPr>
        <w:t xml:space="preserve">. . Ottawa, CA-ON : Gouvernement du Canada. Consulté le 8 octobre 2009. </w:t>
      </w:r>
      <w:hyperlink r:id="rId431">
        <w:r w:rsidRPr="1B9E7434">
          <w:rPr>
            <w:rStyle w:val="Hyperlink"/>
            <w:lang w:val="fr-FR"/>
          </w:rPr>
          <w:t>https://www.btb.termiumplus.gc.ca/tpv2alpha/alpha-fra.html?lang=fra&amp;srchtxt=IDEATIONAL+CONTENT</w:t>
        </w:r>
      </w:hyperlink>
      <w:r w:rsidRPr="1B9E7434">
        <w:rPr>
          <w:lang w:val="fr-FR"/>
        </w:rPr>
        <w:t>.</w:t>
      </w:r>
    </w:p>
    <w:p w14:paraId="3A7C6B1D" w14:textId="77777777" w:rsidR="0084489F" w:rsidRDefault="00110FE6">
      <w:pPr>
        <w:pStyle w:val="BodyText"/>
      </w:pPr>
      <w:r w:rsidRPr="1B9E7434">
        <w:rPr>
          <w:lang w:val="fr-FR"/>
        </w:rPr>
        <w:t xml:space="preserve">———. 2009k. « Information system ». Dans </w:t>
      </w:r>
      <w:r w:rsidRPr="1B9E7434">
        <w:rPr>
          <w:i/>
          <w:iCs/>
          <w:lang w:val="fr-FR"/>
        </w:rPr>
        <w:t>Termium Plus</w:t>
      </w:r>
      <w:r w:rsidRPr="1B9E7434">
        <w:rPr>
          <w:lang w:val="fr-FR"/>
        </w:rPr>
        <w:t xml:space="preserve">. . Ottawa, CA-ON : Gouvernement du Canada. Consulté le 8 octobre 2009. </w:t>
      </w:r>
      <w:hyperlink r:id="rId432" w:anchor="resultrecs">
        <w:r w:rsidRPr="1B9E7434">
          <w:rPr>
            <w:rStyle w:val="Hyperlink"/>
            <w:lang w:val="fr-FR"/>
          </w:rPr>
          <w:t>https://www.btb.termiumplus.gc.ca/tpv2alpha/alpha-eng.html?lang=eng&amp;i=1&amp;srchtxt=INFORMATION+SYSTEM&amp;index=ent&amp;codom2nd_wet=1#resultrecs</w:t>
        </w:r>
      </w:hyperlink>
      <w:r w:rsidRPr="1B9E7434">
        <w:rPr>
          <w:lang w:val="fr-FR"/>
        </w:rPr>
        <w:t>.</w:t>
      </w:r>
    </w:p>
    <w:p w14:paraId="52260A41" w14:textId="77777777" w:rsidR="0084489F" w:rsidRDefault="00110FE6">
      <w:pPr>
        <w:pStyle w:val="BodyText"/>
      </w:pPr>
      <w:r w:rsidRPr="1B9E7434">
        <w:rPr>
          <w:lang w:val="fr-FR"/>
        </w:rPr>
        <w:t xml:space="preserve">———. 2009l. « Join ». Dans </w:t>
      </w:r>
      <w:r w:rsidRPr="1B9E7434">
        <w:rPr>
          <w:i/>
          <w:iCs/>
          <w:lang w:val="fr-FR"/>
        </w:rPr>
        <w:t>Termium Plus</w:t>
      </w:r>
      <w:r w:rsidRPr="1B9E7434">
        <w:rPr>
          <w:lang w:val="fr-FR"/>
        </w:rPr>
        <w:t xml:space="preserve">. . Ottawa, CA-ON : Gouvernement du Canada. Consulté le 8 octobre 2009. </w:t>
      </w:r>
      <w:hyperlink r:id="rId433" w:anchor="resultrecs">
        <w:r w:rsidRPr="1B9E7434">
          <w:rPr>
            <w:rStyle w:val="Hyperlink"/>
            <w:lang w:val="fr-FR"/>
          </w:rPr>
          <w:t>https://www.btb.termiumplus.gc.ca/tpv2alpha/alpha-fra.html?lang=fra&amp;i=1&amp;srchtxt=join&amp;index=ent&amp;codom2nd_wet=1#resultrecs</w:t>
        </w:r>
      </w:hyperlink>
      <w:r w:rsidRPr="1B9E7434">
        <w:rPr>
          <w:lang w:val="fr-FR"/>
        </w:rPr>
        <w:t>.</w:t>
      </w:r>
    </w:p>
    <w:p w14:paraId="18644DD6" w14:textId="77777777" w:rsidR="0084489F" w:rsidRDefault="00110FE6">
      <w:pPr>
        <w:pStyle w:val="BodyText"/>
      </w:pPr>
      <w:r w:rsidRPr="1B9E7434">
        <w:rPr>
          <w:lang w:val="fr-FR"/>
        </w:rPr>
        <w:t xml:space="preserve">———. 2009m. « Merge ». Dans </w:t>
      </w:r>
      <w:r w:rsidRPr="1B9E7434">
        <w:rPr>
          <w:i/>
          <w:iCs/>
          <w:lang w:val="fr-FR"/>
        </w:rPr>
        <w:t>Termium Plus</w:t>
      </w:r>
      <w:r w:rsidRPr="1B9E7434">
        <w:rPr>
          <w:lang w:val="fr-FR"/>
        </w:rPr>
        <w:t xml:space="preserve">. . Ottawa, CA-ON : Gouvernement du Canada. Consulté le 8 octobre 2009. </w:t>
      </w:r>
      <w:hyperlink r:id="rId434" w:anchor="resultrecs">
        <w:r w:rsidRPr="1B9E7434">
          <w:rPr>
            <w:rStyle w:val="Hyperlink"/>
            <w:lang w:val="fr-FR"/>
          </w:rPr>
          <w:t>https://www.btb.termiumplus.gc.ca/tpv2alpha/alpha-fra.html?lang=fra&amp;i=1&amp;srchtxt=merge&amp;index=ent&amp;codom2nd_wet=1#resultrecs</w:t>
        </w:r>
      </w:hyperlink>
      <w:r w:rsidRPr="1B9E7434">
        <w:rPr>
          <w:lang w:val="fr-FR"/>
        </w:rPr>
        <w:t>.</w:t>
      </w:r>
    </w:p>
    <w:p w14:paraId="5B0AC5A2" w14:textId="77777777" w:rsidR="0084489F" w:rsidRDefault="00110FE6">
      <w:pPr>
        <w:pStyle w:val="BodyText"/>
      </w:pPr>
      <w:r w:rsidRPr="1B9E7434">
        <w:rPr>
          <w:lang w:val="fr-FR"/>
        </w:rPr>
        <w:t xml:space="preserve">———. 2009n. « Normalization ». Dans </w:t>
      </w:r>
      <w:r w:rsidRPr="1B9E7434">
        <w:rPr>
          <w:i/>
          <w:iCs/>
          <w:lang w:val="fr-FR"/>
        </w:rPr>
        <w:t>Termium Plus</w:t>
      </w:r>
      <w:r w:rsidRPr="1B9E7434">
        <w:rPr>
          <w:lang w:val="fr-FR"/>
        </w:rPr>
        <w:t xml:space="preserve">. . Ottawa, CA-ON : Gouvernement du Canada. Consulté le 8 octobre 2009. </w:t>
      </w:r>
      <w:hyperlink r:id="rId435" w:anchor="resultrecs">
        <w:r w:rsidRPr="1B9E7434">
          <w:rPr>
            <w:rStyle w:val="Hyperlink"/>
            <w:lang w:val="fr-FR"/>
          </w:rPr>
          <w:t>https://www.btb.termiumplus.gc.ca/tpv2alpha/alpha-fra.html?lang=fra&amp;i=1&amp;srchtxt=normalization&amp;index=alt&amp;codom2nd_wet=1#resultrecs</w:t>
        </w:r>
      </w:hyperlink>
      <w:r w:rsidRPr="1B9E7434">
        <w:rPr>
          <w:lang w:val="fr-FR"/>
        </w:rPr>
        <w:t>.</w:t>
      </w:r>
    </w:p>
    <w:p w14:paraId="474CCF36" w14:textId="77777777" w:rsidR="0084489F" w:rsidRDefault="00110FE6">
      <w:pPr>
        <w:pStyle w:val="BodyText"/>
      </w:pPr>
      <w:r w:rsidRPr="1B9E7434">
        <w:rPr>
          <w:lang w:val="fr-FR"/>
        </w:rPr>
        <w:t xml:space="preserve">———. 2009o. « Primitive ». Dans </w:t>
      </w:r>
      <w:r w:rsidRPr="1B9E7434">
        <w:rPr>
          <w:i/>
          <w:iCs/>
          <w:lang w:val="fr-FR"/>
        </w:rPr>
        <w:t>Termium Plus</w:t>
      </w:r>
      <w:r w:rsidRPr="1B9E7434">
        <w:rPr>
          <w:lang w:val="fr-FR"/>
        </w:rPr>
        <w:t xml:space="preserve">. . Ottawa, CA-ON : Gouvernement du Canada. Consulté le 8 octobre 2009. </w:t>
      </w:r>
      <w:hyperlink r:id="rId436" w:anchor="resultrecs">
        <w:r w:rsidRPr="1B9E7434">
          <w:rPr>
            <w:rStyle w:val="Hyperlink"/>
            <w:lang w:val="fr-FR"/>
          </w:rPr>
          <w:t>https://www.btb.termiumplus.gc.ca/tpv2alpha/alpha-fra.html?lang=fra&amp;i=1&amp;srchtxt=primitive&amp;index=ent&amp;codom2nd_wet=1#resultrecs</w:t>
        </w:r>
      </w:hyperlink>
      <w:r w:rsidRPr="1B9E7434">
        <w:rPr>
          <w:lang w:val="fr-FR"/>
        </w:rPr>
        <w:t>.</w:t>
      </w:r>
    </w:p>
    <w:p w14:paraId="68B63204" w14:textId="77777777" w:rsidR="0084489F" w:rsidRDefault="00110FE6">
      <w:pPr>
        <w:pStyle w:val="BodyText"/>
      </w:pPr>
      <w:r w:rsidRPr="1B9E7434">
        <w:rPr>
          <w:lang w:val="fr-FR"/>
        </w:rPr>
        <w:t xml:space="preserve">———. 2009p. « Quantifier ». Dans </w:t>
      </w:r>
      <w:r w:rsidRPr="1B9E7434">
        <w:rPr>
          <w:i/>
          <w:iCs/>
          <w:lang w:val="fr-FR"/>
        </w:rPr>
        <w:t>Termium Plus</w:t>
      </w:r>
      <w:r w:rsidRPr="1B9E7434">
        <w:rPr>
          <w:lang w:val="fr-FR"/>
        </w:rPr>
        <w:t xml:space="preserve">. . Ottawa, CA-ON : Gouvernement du Canada. Consulté le 8 octobre 2009. </w:t>
      </w:r>
      <w:hyperlink r:id="rId437" w:anchor="resultrecs">
        <w:r w:rsidRPr="1B9E7434">
          <w:rPr>
            <w:rStyle w:val="Hyperlink"/>
            <w:lang w:val="fr-FR"/>
          </w:rPr>
          <w:t>https://www.btb.termiumplus.gc.ca/tpv2alpha/alpha-fra.html?lang=fra&amp;i=1&amp;srchtxt=quantifier&amp;index=ent&amp;codom2nd_wet=1#resultrecs</w:t>
        </w:r>
      </w:hyperlink>
      <w:r w:rsidRPr="1B9E7434">
        <w:rPr>
          <w:lang w:val="fr-FR"/>
        </w:rPr>
        <w:t>.</w:t>
      </w:r>
    </w:p>
    <w:p w14:paraId="30A9B6C5" w14:textId="77777777" w:rsidR="0084489F" w:rsidRDefault="00110FE6">
      <w:pPr>
        <w:pStyle w:val="BodyText"/>
      </w:pPr>
      <w:r w:rsidRPr="1B9E7434">
        <w:rPr>
          <w:lang w:val="fr-FR"/>
        </w:rPr>
        <w:t xml:space="preserve">———. 2009q. « Répétable ». Dans </w:t>
      </w:r>
      <w:r w:rsidRPr="1B9E7434">
        <w:rPr>
          <w:i/>
          <w:iCs/>
          <w:lang w:val="fr-FR"/>
        </w:rPr>
        <w:t>Termium Plus</w:t>
      </w:r>
      <w:r w:rsidRPr="1B9E7434">
        <w:rPr>
          <w:lang w:val="fr-FR"/>
        </w:rPr>
        <w:t xml:space="preserve">. . Ottawa, CA-ON : Gouvernement du Canada. Consulté le 8 octobre 2009. </w:t>
      </w:r>
      <w:hyperlink r:id="rId438">
        <w:r w:rsidRPr="1B9E7434">
          <w:rPr>
            <w:rStyle w:val="Hyperlink"/>
            <w:lang w:val="fr-FR"/>
          </w:rPr>
          <w:t>https://www.btb.termiumplus.gc.ca/tpv2alpha/alpha-fra.html?lang=fra&amp;i=&amp;index=alt&amp;srchtxt=CATEGORIE%20REPETABLE</w:t>
        </w:r>
      </w:hyperlink>
      <w:r w:rsidRPr="1B9E7434">
        <w:rPr>
          <w:lang w:val="fr-FR"/>
        </w:rPr>
        <w:t>.</w:t>
      </w:r>
    </w:p>
    <w:p w14:paraId="79D56BF2" w14:textId="77777777" w:rsidR="0084489F" w:rsidRDefault="00110FE6">
      <w:pPr>
        <w:pStyle w:val="BodyText"/>
      </w:pPr>
      <w:r w:rsidRPr="1B9E7434">
        <w:rPr>
          <w:lang w:val="fr-FR"/>
        </w:rPr>
        <w:t xml:space="preserve">———. 2022a. « Custody ». Dans </w:t>
      </w:r>
      <w:r w:rsidRPr="1B9E7434">
        <w:rPr>
          <w:i/>
          <w:iCs/>
          <w:lang w:val="fr-FR"/>
        </w:rPr>
        <w:t>Termium Plus</w:t>
      </w:r>
      <w:r w:rsidRPr="1B9E7434">
        <w:rPr>
          <w:lang w:val="fr-FR"/>
        </w:rPr>
        <w:t xml:space="preserve">. . Ottawa, CA-ON : Gouvernement du Canada. Consulté le 2022. </w:t>
      </w:r>
      <w:hyperlink r:id="rId439" w:anchor="resultrecs">
        <w:r w:rsidRPr="1B9E7434">
          <w:rPr>
            <w:rStyle w:val="Hyperlink"/>
            <w:lang w:val="fr-FR"/>
          </w:rPr>
          <w:t>https://www.btb.termiumplus.gc.ca/tpv2alpha/alpha-fra.html?lang=fra&amp;i=1&amp;srchtxt=custody&amp;codom2nd_wet=1#resultrecs</w:t>
        </w:r>
      </w:hyperlink>
      <w:r w:rsidRPr="1B9E7434">
        <w:rPr>
          <w:lang w:val="fr-FR"/>
        </w:rPr>
        <w:t>.</w:t>
      </w:r>
    </w:p>
    <w:p w14:paraId="0B9B0E97" w14:textId="77777777" w:rsidR="0084489F" w:rsidRDefault="00110FE6">
      <w:pPr>
        <w:pStyle w:val="BodyText"/>
      </w:pPr>
      <w:r w:rsidRPr="1B9E7434">
        <w:rPr>
          <w:lang w:val="fr-FR"/>
        </w:rPr>
        <w:t xml:space="preserve">———. 2022b. « Land use ». Dans </w:t>
      </w:r>
      <w:r w:rsidRPr="1B9E7434">
        <w:rPr>
          <w:i/>
          <w:iCs/>
          <w:lang w:val="fr-FR"/>
        </w:rPr>
        <w:t>Termium Plus</w:t>
      </w:r>
      <w:r w:rsidRPr="1B9E7434">
        <w:rPr>
          <w:lang w:val="fr-FR"/>
        </w:rPr>
        <w:t xml:space="preserve">. . Ottawa, CA-ON : Gouvernement du Canada. Consulté le 2022. </w:t>
      </w:r>
      <w:hyperlink r:id="rId440" w:anchor="resultrecs">
        <w:r w:rsidRPr="1B9E7434">
          <w:rPr>
            <w:rStyle w:val="Hyperlink"/>
            <w:lang w:val="fr-FR"/>
          </w:rPr>
          <w:t>https://www.btb.termiumplus.gc.ca/tpv2alpha/alpha-fra.html?lang=fra&amp;i=1&amp;srchtxt=land+use&amp;index=alt&amp;codom2nd_wet=1#resultrecs</w:t>
        </w:r>
      </w:hyperlink>
      <w:r w:rsidRPr="1B9E7434">
        <w:rPr>
          <w:lang w:val="fr-FR"/>
        </w:rPr>
        <w:t>.</w:t>
      </w:r>
    </w:p>
    <w:p w14:paraId="568B6B14" w14:textId="77777777" w:rsidR="0084489F" w:rsidRDefault="00110FE6">
      <w:pPr>
        <w:pStyle w:val="BodyText"/>
      </w:pPr>
      <w:r w:rsidRPr="1B9E7434">
        <w:rPr>
          <w:lang w:val="fr-FR"/>
        </w:rPr>
        <w:t xml:space="preserve">———. 2022c. « Museum exhibit ». Dans </w:t>
      </w:r>
      <w:r w:rsidRPr="1B9E7434">
        <w:rPr>
          <w:i/>
          <w:iCs/>
          <w:lang w:val="fr-FR"/>
        </w:rPr>
        <w:t>Termium Plus</w:t>
      </w:r>
      <w:r w:rsidRPr="1B9E7434">
        <w:rPr>
          <w:lang w:val="fr-FR"/>
        </w:rPr>
        <w:t xml:space="preserve">. . Ottawa, CA-ON : Gouvernement du Canada. Consulté le 2022. </w:t>
      </w:r>
      <w:hyperlink r:id="rId441" w:anchor="resultrecs">
        <w:r w:rsidRPr="1B9E7434">
          <w:rPr>
            <w:rStyle w:val="Hyperlink"/>
            <w:lang w:val="fr-FR"/>
          </w:rPr>
          <w:t>https://www.btb.termiumplus.gc.ca/tpv2alpha/alpha-fra.html?lang=fra&amp;i=1&amp;srchtxt=MUSEUM+EXHIBIT&amp;codom2nd_wet=1#resultrecs</w:t>
        </w:r>
      </w:hyperlink>
      <w:r w:rsidRPr="1B9E7434">
        <w:rPr>
          <w:lang w:val="fr-FR"/>
        </w:rPr>
        <w:t>.</w:t>
      </w:r>
    </w:p>
    <w:p w14:paraId="3D97CF42" w14:textId="77777777" w:rsidR="0084489F" w:rsidRDefault="00110FE6">
      <w:pPr>
        <w:pStyle w:val="BodyText"/>
      </w:pPr>
      <w:r w:rsidRPr="008C0D99">
        <w:rPr>
          <w:lang w:val="en-CA"/>
        </w:rPr>
        <w:t xml:space="preserve">Theodoropoulos, Alexandros. 2021. « Maria Argyriadi: The researcher and toys collector that changed the Benaki Museum ». </w:t>
      </w:r>
      <w:r>
        <w:rPr>
          <w:i/>
          <w:iCs/>
        </w:rPr>
        <w:t>ImpacTalk</w:t>
      </w:r>
      <w:r>
        <w:t xml:space="preserve">. 21 mai. </w:t>
      </w:r>
      <w:hyperlink r:id="rId442">
        <w:r>
          <w:rPr>
            <w:rStyle w:val="Hyperlink"/>
          </w:rPr>
          <w:t>https://impactalk.gr/en/stories-talk/maria-argyriadi-researcher-and-toys-collector-changed-benaki-museum</w:t>
        </w:r>
      </w:hyperlink>
      <w:r>
        <w:t>.</w:t>
      </w:r>
    </w:p>
    <w:p w14:paraId="03F6ED86" w14:textId="77777777" w:rsidR="0084489F" w:rsidRDefault="00110FE6">
      <w:pPr>
        <w:pStyle w:val="BodyText"/>
      </w:pPr>
      <w:r w:rsidRPr="1B9E7434">
        <w:rPr>
          <w:lang w:val="fr-FR"/>
        </w:rPr>
        <w:t xml:space="preserve">Utpictura18. s. d. « Farinelli et ses amis - Amigoni ». Utpictura18. Consulté le 18 mai 2023. </w:t>
      </w:r>
      <w:hyperlink r:id="rId443">
        <w:r w:rsidRPr="1B9E7434">
          <w:rPr>
            <w:rStyle w:val="Hyperlink"/>
            <w:lang w:val="fr-FR"/>
          </w:rPr>
          <w:t>https://utpictura18.univ-amu.fr/notice/4226-farinelli-amis-amigoni</w:t>
        </w:r>
      </w:hyperlink>
      <w:r w:rsidRPr="1B9E7434">
        <w:rPr>
          <w:lang w:val="fr-FR"/>
        </w:rPr>
        <w:t>.</w:t>
      </w:r>
    </w:p>
    <w:p w14:paraId="3302D94A" w14:textId="77777777" w:rsidR="0084489F" w:rsidRDefault="00110FE6">
      <w:pPr>
        <w:pStyle w:val="BodyText"/>
      </w:pPr>
      <w:r>
        <w:t xml:space="preserve">Van Rijn, Rembrandt. 1658. </w:t>
      </w:r>
      <w:r>
        <w:rPr>
          <w:i/>
          <w:iCs/>
        </w:rPr>
        <w:t>La Femme devant le poêle</w:t>
      </w:r>
      <w:r>
        <w:t xml:space="preserve">. Épreuve sur papier japon. Eau-forte, burin et pointe sèche. Bibliothèque nationale de France. </w:t>
      </w:r>
      <w:hyperlink r:id="rId444">
        <w:r>
          <w:rPr>
            <w:rStyle w:val="Hyperlink"/>
          </w:rPr>
          <w:t>https://essentiels.bnf.fr/fr/image/eff2e8b4-8e73-4800-91fb-7d277ca66a34-femme-devant-poele-7e-etat</w:t>
        </w:r>
      </w:hyperlink>
      <w:r>
        <w:t>.</w:t>
      </w:r>
    </w:p>
    <w:p w14:paraId="0F56BAC9" w14:textId="77777777" w:rsidR="0084489F" w:rsidRDefault="00110FE6">
      <w:pPr>
        <w:pStyle w:val="BodyText"/>
      </w:pPr>
      <w:r>
        <w:t xml:space="preserve">Wikipédia. 2017a. « Extension conservatrice ». </w:t>
      </w:r>
      <w:r w:rsidRPr="0060792A">
        <w:rPr>
          <w:lang w:val="fr-CA"/>
        </w:rPr>
        <w:t xml:space="preserve">Dans </w:t>
      </w:r>
      <w:r w:rsidRPr="0060792A">
        <w:rPr>
          <w:i/>
          <w:iCs/>
          <w:lang w:val="fr-CA"/>
        </w:rPr>
        <w:t>Wikipédia</w:t>
      </w:r>
      <w:r w:rsidRPr="0060792A">
        <w:rPr>
          <w:lang w:val="fr-CA"/>
        </w:rPr>
        <w:t xml:space="preserve">. </w:t>
      </w:r>
      <w:r w:rsidRPr="008C0D99">
        <w:rPr>
          <w:lang w:val="en-CA"/>
        </w:rPr>
        <w:t xml:space="preserve">San Francisco, US-CA : Wikipédia. </w:t>
      </w:r>
      <w:r>
        <w:t xml:space="preserve">Consulté le 17 décembre 2017. </w:t>
      </w:r>
      <w:hyperlink r:id="rId445">
        <w:r>
          <w:rPr>
            <w:rStyle w:val="Hyperlink"/>
          </w:rPr>
          <w:t>https://fr.wikipedia.org/w/index.php?title=Extension_conservatrice&amp;oldid=143598511</w:t>
        </w:r>
      </w:hyperlink>
      <w:r>
        <w:t>.</w:t>
      </w:r>
    </w:p>
    <w:p w14:paraId="0D486EC4" w14:textId="77777777" w:rsidR="0084489F" w:rsidRDefault="00110FE6">
      <w:pPr>
        <w:pStyle w:val="BodyText"/>
      </w:pPr>
      <w:r w:rsidRPr="008C0D99">
        <w:rPr>
          <w:lang w:val="en-CA"/>
        </w:rPr>
        <w:t xml:space="preserve">———. 2017b. « Monotonie ». Dans </w:t>
      </w:r>
      <w:r w:rsidRPr="008C0D99">
        <w:rPr>
          <w:i/>
          <w:iCs/>
          <w:lang w:val="en-CA"/>
        </w:rPr>
        <w:t>Wikipédia</w:t>
      </w:r>
      <w:r w:rsidRPr="008C0D99">
        <w:rPr>
          <w:lang w:val="en-CA"/>
        </w:rPr>
        <w:t xml:space="preserve">. San Francisco, US-CA : Wikipédia. </w:t>
      </w:r>
      <w:r>
        <w:t xml:space="preserve">Consulté le 19 février 2017. </w:t>
      </w:r>
      <w:hyperlink r:id="rId446">
        <w:r>
          <w:rPr>
            <w:rStyle w:val="Hyperlink"/>
          </w:rPr>
          <w:t>https://fr.wikipedia.org/w/index.php?title=Monotonie&amp;oldid=134697868</w:t>
        </w:r>
      </w:hyperlink>
      <w:r>
        <w:t>.</w:t>
      </w:r>
    </w:p>
    <w:p w14:paraId="2ECDFC18" w14:textId="77777777" w:rsidR="0084489F" w:rsidRDefault="00110FE6">
      <w:pPr>
        <w:pStyle w:val="BodyText"/>
      </w:pPr>
      <w:r w:rsidRPr="008C0D99">
        <w:rPr>
          <w:lang w:val="en-CA"/>
        </w:rPr>
        <w:t xml:space="preserve">———. 2020a. « Érostrate ». Dans </w:t>
      </w:r>
      <w:r w:rsidRPr="008C0D99">
        <w:rPr>
          <w:i/>
          <w:iCs/>
          <w:lang w:val="en-CA"/>
        </w:rPr>
        <w:t>Wikipédia</w:t>
      </w:r>
      <w:r w:rsidRPr="008C0D99">
        <w:rPr>
          <w:lang w:val="en-CA"/>
        </w:rPr>
        <w:t xml:space="preserve">. San Francisco, US-CA : Wikipédia. </w:t>
      </w:r>
      <w:r>
        <w:t xml:space="preserve">Consulté le 4 août 2020. </w:t>
      </w:r>
      <w:hyperlink r:id="rId447">
        <w:r>
          <w:rPr>
            <w:rStyle w:val="Hyperlink"/>
          </w:rPr>
          <w:t>https://fr.wikipedia.org/w/index.php?title=%C3%89rostrate&amp;oldid=173548642</w:t>
        </w:r>
      </w:hyperlink>
      <w:r>
        <w:t>.</w:t>
      </w:r>
    </w:p>
    <w:p w14:paraId="2F4CE29C" w14:textId="77777777" w:rsidR="0084489F" w:rsidRDefault="00110FE6">
      <w:pPr>
        <w:pStyle w:val="BodyText"/>
      </w:pPr>
      <w:r w:rsidRPr="008C0D99">
        <w:rPr>
          <w:lang w:val="en-CA"/>
        </w:rPr>
        <w:t xml:space="preserve">———. 2020b. « Fan-in ». Dans </w:t>
      </w:r>
      <w:r w:rsidRPr="008C0D99">
        <w:rPr>
          <w:i/>
          <w:iCs/>
          <w:lang w:val="en-CA"/>
        </w:rPr>
        <w:t>Wikipédia</w:t>
      </w:r>
      <w:r w:rsidRPr="008C0D99">
        <w:rPr>
          <w:lang w:val="en-CA"/>
        </w:rPr>
        <w:t xml:space="preserve">. San Francisco, US-CA : Wikipédia. </w:t>
      </w:r>
      <w:r>
        <w:t xml:space="preserve">Consulté le 11 novembre 2020. </w:t>
      </w:r>
      <w:hyperlink r:id="rId448">
        <w:r>
          <w:rPr>
            <w:rStyle w:val="Hyperlink"/>
          </w:rPr>
          <w:t>https://fr.wikipedia.org/w/index.php?title=Fan-in&amp;oldid=176479056</w:t>
        </w:r>
      </w:hyperlink>
      <w:r>
        <w:t>.</w:t>
      </w:r>
    </w:p>
    <w:p w14:paraId="339E55DC" w14:textId="77777777" w:rsidR="0084489F" w:rsidRDefault="00110FE6">
      <w:pPr>
        <w:pStyle w:val="BodyText"/>
      </w:pPr>
      <w:r w:rsidRPr="008C0D99">
        <w:rPr>
          <w:lang w:val="en-CA"/>
        </w:rPr>
        <w:t xml:space="preserve">———. 2020c. « Fan-out ». Dans </w:t>
      </w:r>
      <w:r w:rsidRPr="008C0D99">
        <w:rPr>
          <w:i/>
          <w:iCs/>
          <w:lang w:val="en-CA"/>
        </w:rPr>
        <w:t>Wikipédia</w:t>
      </w:r>
      <w:r w:rsidRPr="008C0D99">
        <w:rPr>
          <w:lang w:val="en-CA"/>
        </w:rPr>
        <w:t xml:space="preserve">. San Francisco, US-CA : Wikipédia. </w:t>
      </w:r>
      <w:r>
        <w:t xml:space="preserve">Consulté le 11 novembre 2020. </w:t>
      </w:r>
      <w:hyperlink r:id="rId449">
        <w:r>
          <w:rPr>
            <w:rStyle w:val="Hyperlink"/>
          </w:rPr>
          <w:t>https://fr.wikipedia.org/w/index.php?title=Fan-out&amp;oldid=176479075</w:t>
        </w:r>
      </w:hyperlink>
      <w:r>
        <w:t>.</w:t>
      </w:r>
    </w:p>
    <w:p w14:paraId="5C50B4EF" w14:textId="77777777" w:rsidR="0084489F" w:rsidRDefault="00110FE6">
      <w:pPr>
        <w:pStyle w:val="BodyText"/>
      </w:pPr>
      <w:r>
        <w:t xml:space="preserve">———. 2020d. « Langue SVO ». </w:t>
      </w:r>
      <w:r w:rsidRPr="0060792A">
        <w:rPr>
          <w:lang w:val="fr-CA"/>
        </w:rPr>
        <w:t xml:space="preserve">Dans </w:t>
      </w:r>
      <w:r w:rsidRPr="0060792A">
        <w:rPr>
          <w:i/>
          <w:iCs/>
          <w:lang w:val="fr-CA"/>
        </w:rPr>
        <w:t>Wikipédia</w:t>
      </w:r>
      <w:r w:rsidRPr="0060792A">
        <w:rPr>
          <w:lang w:val="fr-CA"/>
        </w:rPr>
        <w:t xml:space="preserve">. </w:t>
      </w:r>
      <w:r w:rsidRPr="008C0D99">
        <w:rPr>
          <w:lang w:val="en-CA"/>
        </w:rPr>
        <w:t xml:space="preserve">San Francisco, US-CA : Wikipédia. </w:t>
      </w:r>
      <w:r>
        <w:t xml:space="preserve">Consulté le 31 octobre 2020. </w:t>
      </w:r>
      <w:hyperlink r:id="rId450">
        <w:r>
          <w:rPr>
            <w:rStyle w:val="Hyperlink"/>
          </w:rPr>
          <w:t>https://fr.wikipedia.org/w/index.php?title=Langue_SVO&amp;oldid=176099662</w:t>
        </w:r>
      </w:hyperlink>
      <w:r>
        <w:t>.</w:t>
      </w:r>
    </w:p>
    <w:p w14:paraId="1F3A10C3" w14:textId="77777777" w:rsidR="0084489F" w:rsidRDefault="00110FE6">
      <w:pPr>
        <w:pStyle w:val="BodyText"/>
      </w:pPr>
      <w:r w:rsidRPr="008C0D99">
        <w:rPr>
          <w:lang w:val="en-CA"/>
        </w:rPr>
        <w:t>———. 2020e. « </w:t>
      </w:r>
      <w:r>
        <w:t>安</w:t>
      </w:r>
      <w:r w:rsidRPr="008C0D99">
        <w:rPr>
          <w:lang w:val="en-CA"/>
        </w:rPr>
        <w:t xml:space="preserve"> ». Dans </w:t>
      </w:r>
      <w:r w:rsidRPr="008C0D99">
        <w:rPr>
          <w:i/>
          <w:iCs/>
          <w:lang w:val="en-CA"/>
        </w:rPr>
        <w:t>Wikipédia</w:t>
      </w:r>
      <w:r w:rsidRPr="008C0D99">
        <w:rPr>
          <w:lang w:val="en-CA"/>
        </w:rPr>
        <w:t xml:space="preserve">. . San Francisco, US-CA : Wikipédia. </w:t>
      </w:r>
      <w:r>
        <w:t xml:space="preserve">Consulté le 21 octobre 2020. </w:t>
      </w:r>
      <w:hyperlink r:id="rId451">
        <w:r>
          <w:rPr>
            <w:rStyle w:val="Hyperlink"/>
          </w:rPr>
          <w:t>https://fr.wikipedia.org/w/index.php?title=%E5%AE%89</w:t>
        </w:r>
      </w:hyperlink>
      <w:r>
        <w:t>.</w:t>
      </w:r>
    </w:p>
    <w:p w14:paraId="11A1DDD0" w14:textId="77777777" w:rsidR="0084489F" w:rsidRDefault="00110FE6">
      <w:pPr>
        <w:pStyle w:val="BodyText"/>
      </w:pPr>
      <w:r>
        <w:t xml:space="preserve">———. 2021a. « Algèbre des intervalles d’Allen ». </w:t>
      </w:r>
      <w:r w:rsidRPr="008C0D99">
        <w:rPr>
          <w:lang w:val="en-CA"/>
        </w:rPr>
        <w:t xml:space="preserve">Dans </w:t>
      </w:r>
      <w:r w:rsidRPr="008C0D99">
        <w:rPr>
          <w:i/>
          <w:iCs/>
          <w:lang w:val="en-CA"/>
        </w:rPr>
        <w:t>Wikipédia</w:t>
      </w:r>
      <w:r w:rsidRPr="008C0D99">
        <w:rPr>
          <w:lang w:val="en-CA"/>
        </w:rPr>
        <w:t xml:space="preserve">. San Francisco, US-CA : Wikipédia. </w:t>
      </w:r>
      <w:r>
        <w:t xml:space="preserve">Consulté le 14 janvier 2021. </w:t>
      </w:r>
      <w:hyperlink r:id="rId452">
        <w:r>
          <w:rPr>
            <w:rStyle w:val="Hyperlink"/>
          </w:rPr>
          <w:t>https://fr.wikipedia.org/wiki/Alg%C3%A8bre_des_intervalles_d%27Allen</w:t>
        </w:r>
      </w:hyperlink>
      <w:r>
        <w:t>.</w:t>
      </w:r>
    </w:p>
    <w:p w14:paraId="09C7274B" w14:textId="77777777" w:rsidR="0084489F" w:rsidRDefault="00110FE6">
      <w:pPr>
        <w:pStyle w:val="BodyText"/>
      </w:pPr>
      <w:r w:rsidRPr="008C0D99">
        <w:rPr>
          <w:lang w:val="en-CA"/>
        </w:rPr>
        <w:t xml:space="preserve">———. 2021b. « Chrisme ». Dans </w:t>
      </w:r>
      <w:r w:rsidRPr="008C0D99">
        <w:rPr>
          <w:i/>
          <w:iCs/>
          <w:lang w:val="en-CA"/>
        </w:rPr>
        <w:t>Wikipédia</w:t>
      </w:r>
      <w:r w:rsidRPr="008C0D99">
        <w:rPr>
          <w:lang w:val="en-CA"/>
        </w:rPr>
        <w:t xml:space="preserve">. San Francisco, US-CA : Wikipédia. </w:t>
      </w:r>
      <w:r>
        <w:t xml:space="preserve">Consulté le 30 juin 2021. </w:t>
      </w:r>
      <w:hyperlink r:id="rId453">
        <w:r>
          <w:rPr>
            <w:rStyle w:val="Hyperlink"/>
          </w:rPr>
          <w:t>https://fr.wikipedia.org/w/index.php?title=Chrisme&amp;oldid=184249375</w:t>
        </w:r>
      </w:hyperlink>
      <w:r>
        <w:t>.</w:t>
      </w:r>
    </w:p>
    <w:p w14:paraId="383B1A99" w14:textId="77777777" w:rsidR="0084489F" w:rsidRDefault="00110FE6">
      <w:pPr>
        <w:pStyle w:val="BodyText"/>
      </w:pPr>
      <w:r w:rsidRPr="1B9E7434">
        <w:rPr>
          <w:lang w:val="fr-FR"/>
        </w:rPr>
        <w:t xml:space="preserve">———. 2021c. « Expositions des vestiges archéologiques provenant de la tombe de Toutânkhamon ». Dans </w:t>
      </w:r>
      <w:r w:rsidRPr="1B9E7434">
        <w:rPr>
          <w:i/>
          <w:iCs/>
          <w:lang w:val="fr-FR"/>
        </w:rPr>
        <w:t>Wikipédia</w:t>
      </w:r>
      <w:r w:rsidRPr="1B9E7434">
        <w:rPr>
          <w:lang w:val="fr-FR"/>
        </w:rPr>
        <w:t xml:space="preserve">. San Francisco, US-CA : Wikipédia. Consulté le 30 janvier 2021. </w:t>
      </w:r>
      <w:hyperlink r:id="rId454">
        <w:r w:rsidRPr="1B9E7434">
          <w:rPr>
            <w:rStyle w:val="Hyperlink"/>
            <w:lang w:val="fr-FR"/>
          </w:rPr>
          <w:t>https://fr.wikipedia.org/w/index.php?title=Expositions_des_vestiges_arch%C3%A9ologiques_provenant_de_la_tombe_de_Tout%C3%A2nkhamon&amp;oldid=179392035</w:t>
        </w:r>
      </w:hyperlink>
      <w:r w:rsidRPr="1B9E7434">
        <w:rPr>
          <w:lang w:val="fr-FR"/>
        </w:rPr>
        <w:t>.</w:t>
      </w:r>
    </w:p>
    <w:p w14:paraId="4E783BD1" w14:textId="77777777" w:rsidR="0084489F" w:rsidRDefault="00110FE6">
      <w:pPr>
        <w:pStyle w:val="BodyText"/>
      </w:pPr>
      <w:r>
        <w:t xml:space="preserve">———. 2021d. « Liste des gravures de Rembrandt ». </w:t>
      </w:r>
      <w:r w:rsidRPr="008C0D99">
        <w:rPr>
          <w:lang w:val="en-CA"/>
        </w:rPr>
        <w:t xml:space="preserve">Dans </w:t>
      </w:r>
      <w:r w:rsidRPr="008C0D99">
        <w:rPr>
          <w:i/>
          <w:iCs/>
          <w:lang w:val="en-CA"/>
        </w:rPr>
        <w:t>Wikipédia</w:t>
      </w:r>
      <w:r w:rsidRPr="008C0D99">
        <w:rPr>
          <w:lang w:val="en-CA"/>
        </w:rPr>
        <w:t xml:space="preserve">. San Francisco, US-CA : Wikipédia. </w:t>
      </w:r>
      <w:r>
        <w:t xml:space="preserve">Consulté le 15 mars 2021. </w:t>
      </w:r>
      <w:hyperlink r:id="rId455">
        <w:r>
          <w:rPr>
            <w:rStyle w:val="Hyperlink"/>
          </w:rPr>
          <w:t>https://fr.wikipedia.org/w/index.php?title=Liste_des_gravures_de_Rembrandt&amp;oldid=180898582</w:t>
        </w:r>
      </w:hyperlink>
      <w:r>
        <w:t>.</w:t>
      </w:r>
    </w:p>
    <w:p w14:paraId="759BB1C4" w14:textId="77777777" w:rsidR="0084489F" w:rsidRDefault="00110FE6">
      <w:pPr>
        <w:pStyle w:val="BodyText"/>
      </w:pPr>
      <w:r w:rsidRPr="008C0D99">
        <w:rPr>
          <w:lang w:val="en-CA"/>
        </w:rPr>
        <w:t xml:space="preserve">———. 2021e. « United Press International ». Dans </w:t>
      </w:r>
      <w:r w:rsidRPr="008C0D99">
        <w:rPr>
          <w:i/>
          <w:iCs/>
          <w:lang w:val="en-CA"/>
        </w:rPr>
        <w:t>Wikipédia</w:t>
      </w:r>
      <w:r w:rsidRPr="008C0D99">
        <w:rPr>
          <w:lang w:val="en-CA"/>
        </w:rPr>
        <w:t xml:space="preserve">. San Francisco, US-CA : Wikipédia. </w:t>
      </w:r>
      <w:r>
        <w:t xml:space="preserve">Consulté le 15 mai 2021. </w:t>
      </w:r>
      <w:hyperlink r:id="rId456">
        <w:r>
          <w:rPr>
            <w:rStyle w:val="Hyperlink"/>
          </w:rPr>
          <w:t>https://fr.wikipedia.org/w/index.php?title=United_Press_International&amp;oldid=182934531</w:t>
        </w:r>
      </w:hyperlink>
      <w:r>
        <w:t>.</w:t>
      </w:r>
    </w:p>
    <w:p w14:paraId="70FF9B2B" w14:textId="77777777" w:rsidR="0084489F" w:rsidRDefault="00110FE6">
      <w:pPr>
        <w:pStyle w:val="BodyText"/>
      </w:pPr>
      <w:r>
        <w:t xml:space="preserve">———. 2021f. « Univers du discours ». </w:t>
      </w:r>
      <w:r w:rsidRPr="0060792A">
        <w:rPr>
          <w:lang w:val="fr-CA"/>
        </w:rPr>
        <w:t xml:space="preserve">Dans </w:t>
      </w:r>
      <w:r w:rsidRPr="0060792A">
        <w:rPr>
          <w:i/>
          <w:iCs/>
          <w:lang w:val="fr-CA"/>
        </w:rPr>
        <w:t>Wikipédia</w:t>
      </w:r>
      <w:r w:rsidRPr="0060792A">
        <w:rPr>
          <w:lang w:val="fr-CA"/>
        </w:rPr>
        <w:t xml:space="preserve">. </w:t>
      </w:r>
      <w:r w:rsidRPr="008C0D99">
        <w:rPr>
          <w:lang w:val="en-CA"/>
        </w:rPr>
        <w:t xml:space="preserve">San Francisco, US-CA : Wikipédia. </w:t>
      </w:r>
      <w:r>
        <w:t xml:space="preserve">Consulté le 28 janvier 2021. </w:t>
      </w:r>
      <w:hyperlink r:id="rId457">
        <w:r>
          <w:rPr>
            <w:rStyle w:val="Hyperlink"/>
          </w:rPr>
          <w:t>https://fr.wikipedia.org/wiki/Univers_du_discours</w:t>
        </w:r>
      </w:hyperlink>
      <w:r>
        <w:t>.</w:t>
      </w:r>
    </w:p>
    <w:p w14:paraId="18F0C147" w14:textId="77777777" w:rsidR="0084489F" w:rsidRDefault="00110FE6">
      <w:pPr>
        <w:pStyle w:val="BodyText"/>
      </w:pPr>
      <w:r>
        <w:t xml:space="preserve">———. 2022a. « La Relativité ». Dans </w:t>
      </w:r>
      <w:r>
        <w:rPr>
          <w:i/>
          <w:iCs/>
        </w:rPr>
        <w:t>Wikipédia</w:t>
      </w:r>
      <w:r>
        <w:t xml:space="preserve">. </w:t>
      </w:r>
      <w:r w:rsidRPr="008C0D99">
        <w:rPr>
          <w:lang w:val="en-CA"/>
        </w:rPr>
        <w:t xml:space="preserve">San Francisco, US-CA : Wikipédia. </w:t>
      </w:r>
      <w:r>
        <w:t xml:space="preserve">Consulté le 14 octobre 2022. </w:t>
      </w:r>
      <w:hyperlink r:id="rId458">
        <w:r>
          <w:rPr>
            <w:rStyle w:val="Hyperlink"/>
          </w:rPr>
          <w:t>https://fr.wikipedia.org/w/index.php?title=La_Relativit%C3%A9&amp;oldid=197771496</w:t>
        </w:r>
      </w:hyperlink>
      <w:r>
        <w:t>.</w:t>
      </w:r>
    </w:p>
    <w:p w14:paraId="67336F9F" w14:textId="77777777" w:rsidR="0084489F" w:rsidRDefault="00110FE6">
      <w:pPr>
        <w:pStyle w:val="BodyText"/>
      </w:pPr>
      <w:r w:rsidRPr="008C0D99">
        <w:rPr>
          <w:lang w:val="en-CA"/>
        </w:rPr>
        <w:t xml:space="preserve">———. 2022b. « László Moholy-Nagy ». Dans </w:t>
      </w:r>
      <w:r w:rsidRPr="008C0D99">
        <w:rPr>
          <w:i/>
          <w:iCs/>
          <w:lang w:val="en-CA"/>
        </w:rPr>
        <w:t>Wikipédia</w:t>
      </w:r>
      <w:r w:rsidRPr="008C0D99">
        <w:rPr>
          <w:lang w:val="en-CA"/>
        </w:rPr>
        <w:t xml:space="preserve">. San Francisco, US-CA : Wikipédia. </w:t>
      </w:r>
      <w:r>
        <w:t xml:space="preserve">Consulté le 30 mars 2022. </w:t>
      </w:r>
      <w:hyperlink r:id="rId459">
        <w:r>
          <w:rPr>
            <w:rStyle w:val="Hyperlink"/>
          </w:rPr>
          <w:t>https://fr.wikipedia.org/w/index.php?title=L%C3%A1szl%C3%B3_Moholy-Nagy&amp;oldid=192385234</w:t>
        </w:r>
      </w:hyperlink>
      <w:r>
        <w:t>.</w:t>
      </w:r>
    </w:p>
    <w:p w14:paraId="3B4E14C2" w14:textId="77777777" w:rsidR="0084489F" w:rsidRDefault="00110FE6">
      <w:pPr>
        <w:pStyle w:val="BodyText"/>
      </w:pPr>
      <w:r w:rsidRPr="008C0D99">
        <w:rPr>
          <w:lang w:val="en-CA"/>
        </w:rPr>
        <w:t xml:space="preserve">———. 2022c. « Penny ». Dans </w:t>
      </w:r>
      <w:r w:rsidRPr="008C0D99">
        <w:rPr>
          <w:i/>
          <w:iCs/>
          <w:lang w:val="en-CA"/>
        </w:rPr>
        <w:t>Wikipédia</w:t>
      </w:r>
      <w:r w:rsidRPr="008C0D99">
        <w:rPr>
          <w:lang w:val="en-CA"/>
        </w:rPr>
        <w:t xml:space="preserve">. San Francisco, US-CA : Wikipédia. </w:t>
      </w:r>
      <w:r>
        <w:t xml:space="preserve">Consulté le 8 décembre 2022. </w:t>
      </w:r>
      <w:hyperlink r:id="rId460">
        <w:r>
          <w:rPr>
            <w:rStyle w:val="Hyperlink"/>
          </w:rPr>
          <w:t>https://fr.wikipedia.org/w/index.php?title=Penny&amp;oldid=199318252</w:t>
        </w:r>
      </w:hyperlink>
      <w:r>
        <w:t>.</w:t>
      </w:r>
    </w:p>
    <w:p w14:paraId="3D7F22D4" w14:textId="77777777" w:rsidR="0084489F" w:rsidRDefault="00110FE6">
      <w:pPr>
        <w:pStyle w:val="BodyText"/>
      </w:pPr>
      <w:r w:rsidRPr="008C0D99">
        <w:rPr>
          <w:lang w:val="en-CA"/>
        </w:rPr>
        <w:t xml:space="preserve">———. 2022d. « Well-known text representation of geometry ». Dans </w:t>
      </w:r>
      <w:r w:rsidRPr="008C0D99">
        <w:rPr>
          <w:i/>
          <w:iCs/>
          <w:lang w:val="en-CA"/>
        </w:rPr>
        <w:t>Wikipédia</w:t>
      </w:r>
      <w:r w:rsidRPr="008C0D99">
        <w:rPr>
          <w:lang w:val="en-CA"/>
        </w:rPr>
        <w:t xml:space="preserve">. San Francisco, US-CA : Wikipédia. </w:t>
      </w:r>
      <w:r>
        <w:t xml:space="preserve">Consulté le 20 août 2022. </w:t>
      </w:r>
      <w:hyperlink r:id="rId461">
        <w:r>
          <w:rPr>
            <w:rStyle w:val="Hyperlink"/>
          </w:rPr>
          <w:t>https://en.wikipedia.org/w/index.php?title=Well-known_text_representation_of_geometry&amp;oldid=1105540049</w:t>
        </w:r>
      </w:hyperlink>
      <w:r>
        <w:t>.</w:t>
      </w:r>
    </w:p>
    <w:p w14:paraId="5167FC60" w14:textId="77777777" w:rsidR="0084489F" w:rsidRDefault="00110FE6">
      <w:pPr>
        <w:pStyle w:val="BodyText"/>
      </w:pPr>
      <w:r w:rsidRPr="008C0D99">
        <w:rPr>
          <w:lang w:val="en-CA"/>
        </w:rPr>
        <w:t xml:space="preserve">———. 2023a. « Georges Amoudruz ». Dans </w:t>
      </w:r>
      <w:r w:rsidRPr="008C0D99">
        <w:rPr>
          <w:i/>
          <w:iCs/>
          <w:lang w:val="en-CA"/>
        </w:rPr>
        <w:t>Wikipédia</w:t>
      </w:r>
      <w:r w:rsidRPr="008C0D99">
        <w:rPr>
          <w:lang w:val="en-CA"/>
        </w:rPr>
        <w:t xml:space="preserve">. San Francisco, US-CA : Wikipédia. </w:t>
      </w:r>
      <w:r>
        <w:t xml:space="preserve">Consulté le 10 mars 2023. </w:t>
      </w:r>
      <w:hyperlink r:id="rId462">
        <w:r>
          <w:rPr>
            <w:rStyle w:val="Hyperlink"/>
          </w:rPr>
          <w:t>https://fr.wikipedia.org/w/index.php?title=Georges_Amoudruz&amp;oldid=202151566</w:t>
        </w:r>
      </w:hyperlink>
      <w:r>
        <w:t>.</w:t>
      </w:r>
    </w:p>
    <w:p w14:paraId="1D49D528" w14:textId="76E8D334" w:rsidR="0084489F" w:rsidRDefault="00110FE6">
      <w:pPr>
        <w:pStyle w:val="BodyText"/>
      </w:pPr>
      <w:r w:rsidRPr="008C0D99">
        <w:rPr>
          <w:lang w:val="en-CA"/>
        </w:rPr>
        <w:t xml:space="preserve">———. 2023b. « Groschen ». Dans </w:t>
      </w:r>
      <w:r w:rsidRPr="008C0D99">
        <w:rPr>
          <w:i/>
          <w:iCs/>
          <w:lang w:val="en-CA"/>
        </w:rPr>
        <w:t>Wikip</w:t>
      </w:r>
      <w:r w:rsidR="002B076B">
        <w:rPr>
          <w:i/>
          <w:iCs/>
          <w:lang w:val="en-CA"/>
        </w:rPr>
        <w:t>é</w:t>
      </w:r>
      <w:r w:rsidRPr="008C0D99">
        <w:rPr>
          <w:i/>
          <w:iCs/>
          <w:lang w:val="en-CA"/>
        </w:rPr>
        <w:t>dia</w:t>
      </w:r>
      <w:r w:rsidRPr="008C0D99">
        <w:rPr>
          <w:lang w:val="en-CA"/>
        </w:rPr>
        <w:t xml:space="preserve">. San Francisco, US-CA : Wikipédia. </w:t>
      </w:r>
      <w:r>
        <w:t xml:space="preserve">Consulté le 6 mai 2023. </w:t>
      </w:r>
      <w:hyperlink r:id="rId463">
        <w:r>
          <w:rPr>
            <w:rStyle w:val="Hyperlink"/>
          </w:rPr>
          <w:t>https://en.wikipedia.org/w/index.php?title=Groschen&amp;oldid=1153418826</w:t>
        </w:r>
      </w:hyperlink>
      <w:r>
        <w:t>.</w:t>
      </w:r>
    </w:p>
    <w:p w14:paraId="348310AF" w14:textId="77777777" w:rsidR="0084489F" w:rsidRDefault="00110FE6">
      <w:pPr>
        <w:pStyle w:val="BodyText"/>
      </w:pPr>
      <w:r w:rsidRPr="008C0D99">
        <w:rPr>
          <w:lang w:val="en-CA"/>
        </w:rPr>
        <w:t xml:space="preserve">———. 2023c. « Oka ». Dans </w:t>
      </w:r>
      <w:r w:rsidRPr="008C0D99">
        <w:rPr>
          <w:i/>
          <w:iCs/>
          <w:lang w:val="en-CA"/>
        </w:rPr>
        <w:t>Wiktionary</w:t>
      </w:r>
      <w:r w:rsidRPr="008C0D99">
        <w:rPr>
          <w:lang w:val="en-CA"/>
        </w:rPr>
        <w:t xml:space="preserve">. . San Francisco, US-CA : Wikipédia. </w:t>
      </w:r>
      <w:r>
        <w:t xml:space="preserve">Consulté le 8 avril 2023. </w:t>
      </w:r>
      <w:hyperlink r:id="rId464">
        <w:r>
          <w:rPr>
            <w:rStyle w:val="Hyperlink"/>
          </w:rPr>
          <w:t>https://en.wiktionary.org/w/index.php?title=oka&amp;oldid=72628696</w:t>
        </w:r>
      </w:hyperlink>
      <w:r>
        <w:t>.</w:t>
      </w:r>
    </w:p>
    <w:p w14:paraId="2323E969" w14:textId="77777777" w:rsidR="0084489F" w:rsidRDefault="00110FE6">
      <w:pPr>
        <w:pStyle w:val="BodyText"/>
      </w:pPr>
      <w:r w:rsidRPr="008C0D99">
        <w:rPr>
          <w:lang w:val="en-CA"/>
        </w:rPr>
        <w:t xml:space="preserve">———. 2023d. « Schöningen spears ». Dans </w:t>
      </w:r>
      <w:r w:rsidRPr="008C0D99">
        <w:rPr>
          <w:i/>
          <w:iCs/>
          <w:lang w:val="en-CA"/>
        </w:rPr>
        <w:t>Wikipédia</w:t>
      </w:r>
      <w:r w:rsidRPr="008C0D99">
        <w:rPr>
          <w:lang w:val="en-CA"/>
        </w:rPr>
        <w:t xml:space="preserve">. San Francisco, US-CA : Wikipédia. </w:t>
      </w:r>
      <w:r>
        <w:t xml:space="preserve">Consulté le 6 mars 2023. </w:t>
      </w:r>
      <w:hyperlink r:id="rId465">
        <w:r>
          <w:rPr>
            <w:rStyle w:val="Hyperlink"/>
          </w:rPr>
          <w:t>https://en.wikipedia.org/w/index.php?title=Sch%C3%B6ningen_spears&amp;oldid=1143301875</w:t>
        </w:r>
      </w:hyperlink>
      <w:r>
        <w:t>.</w:t>
      </w:r>
    </w:p>
    <w:p w14:paraId="33BE20D6" w14:textId="77777777" w:rsidR="0084489F" w:rsidRDefault="00110FE6">
      <w:pPr>
        <w:pStyle w:val="BodyText"/>
      </w:pPr>
      <w:r>
        <w:t xml:space="preserve">———. 2023e. « Trois Glorieuses ». Dans </w:t>
      </w:r>
      <w:r>
        <w:rPr>
          <w:i/>
          <w:iCs/>
        </w:rPr>
        <w:t>Wikipédia</w:t>
      </w:r>
      <w:r>
        <w:t xml:space="preserve">. </w:t>
      </w:r>
      <w:r w:rsidRPr="008C0D99">
        <w:rPr>
          <w:lang w:val="en-CA"/>
        </w:rPr>
        <w:t xml:space="preserve">San Francisco, US-CA : Wikipédia. </w:t>
      </w:r>
      <w:r>
        <w:t xml:space="preserve">Consulté le 17 avril 2023. </w:t>
      </w:r>
      <w:hyperlink r:id="rId466">
        <w:r>
          <w:rPr>
            <w:rStyle w:val="Hyperlink"/>
          </w:rPr>
          <w:t>https://fr.wikipedia.org/w/index.php?title=Trois_Glorieuses&amp;oldid=203438591</w:t>
        </w:r>
      </w:hyperlink>
      <w:r>
        <w:t>.</w:t>
      </w:r>
    </w:p>
    <w:p w14:paraId="1FFE745B" w14:textId="77777777" w:rsidR="0084489F" w:rsidRDefault="00110FE6">
      <w:pPr>
        <w:pStyle w:val="BodyText"/>
      </w:pPr>
      <w:r>
        <w:t xml:space="preserve">———. 2024. « Forum Romain (Rome) ». </w:t>
      </w:r>
      <w:r w:rsidRPr="0060792A">
        <w:rPr>
          <w:lang w:val="fr-CA"/>
        </w:rPr>
        <w:t xml:space="preserve">Dans </w:t>
      </w:r>
      <w:r w:rsidRPr="0060792A">
        <w:rPr>
          <w:i/>
          <w:iCs/>
          <w:lang w:val="fr-CA"/>
        </w:rPr>
        <w:t>Wikipédia</w:t>
      </w:r>
      <w:r w:rsidRPr="0060792A">
        <w:rPr>
          <w:lang w:val="fr-CA"/>
        </w:rPr>
        <w:t xml:space="preserve">. </w:t>
      </w:r>
      <w:r w:rsidRPr="008C0D99">
        <w:rPr>
          <w:lang w:val="en-CA"/>
        </w:rPr>
        <w:t xml:space="preserve">San Francisco, US-CA : Wikipédia. </w:t>
      </w:r>
      <w:r>
        <w:t xml:space="preserve">Consulté le 6 juin 2024. </w:t>
      </w:r>
      <w:hyperlink r:id="rId467">
        <w:r>
          <w:rPr>
            <w:rStyle w:val="Hyperlink"/>
          </w:rPr>
          <w:t>https://fr.wikipedia.org/w/index.php?title=Forum_Romain_(Rome)&amp;oldid=215741700</w:t>
        </w:r>
      </w:hyperlink>
      <w:r>
        <w:t>.</w:t>
      </w:r>
    </w:p>
    <w:p w14:paraId="7FC28CE3" w14:textId="77777777" w:rsidR="0084489F" w:rsidRDefault="00110FE6">
      <w:pPr>
        <w:pStyle w:val="BodyText"/>
      </w:pPr>
      <w:r w:rsidRPr="1B9E7434">
        <w:rPr>
          <w:lang w:val="fr-FR"/>
        </w:rPr>
        <w:t xml:space="preserve">Winckelmann, Johann Joachim. (1755) 2005. </w:t>
      </w:r>
      <w:r w:rsidRPr="1B9E7434">
        <w:rPr>
          <w:i/>
          <w:iCs/>
          <w:lang w:val="fr-FR"/>
        </w:rPr>
        <w:t>Pensées sur l’imitation des oeuvres grecques en peinture et en sculpture</w:t>
      </w:r>
      <w:r w:rsidRPr="1B9E7434">
        <w:rPr>
          <w:lang w:val="fr-FR"/>
        </w:rPr>
        <w:t xml:space="preserve">. Traduit par Laure Cahen-Maurel. Le dix-huitième siècle – entre les lumières et l’incendie. Paris, FR-IDF : Allia. </w:t>
      </w:r>
      <w:hyperlink r:id="rId468">
        <w:r w:rsidRPr="1B9E7434">
          <w:rPr>
            <w:rStyle w:val="Hyperlink"/>
            <w:lang w:val="fr-FR"/>
          </w:rPr>
          <w:t>https://www.editions-allia.com/fr/livre/91/pensees-sur-limitation-des-uvres-grecques-en-peinture-et-en-sculpture</w:t>
        </w:r>
      </w:hyperlink>
      <w:r w:rsidRPr="1B9E7434">
        <w:rPr>
          <w:lang w:val="fr-FR"/>
        </w:rPr>
        <w:t>.</w:t>
      </w:r>
    </w:p>
    <w:p w14:paraId="65A3EBC1" w14:textId="77777777" w:rsidR="0084489F" w:rsidRPr="008C0D99" w:rsidRDefault="00110FE6">
      <w:pPr>
        <w:pStyle w:val="BodyText"/>
        <w:rPr>
          <w:lang w:val="en-CA"/>
        </w:rPr>
      </w:pPr>
      <w:r w:rsidRPr="008C0D99">
        <w:rPr>
          <w:lang w:val="en-CA"/>
        </w:rPr>
        <w:t xml:space="preserve">World Wide Web Consortium (W3C). 2021. « Translations of W3C Technical Reports ». World Wide Web Consortium (W3C). 8 mars 2021. </w:t>
      </w:r>
      <w:hyperlink r:id="rId469">
        <w:r w:rsidRPr="008C0D99">
          <w:rPr>
            <w:rStyle w:val="Hyperlink"/>
            <w:lang w:val="en-CA"/>
          </w:rPr>
          <w:t>https://www.w3.org/Translations/</w:t>
        </w:r>
      </w:hyperlink>
      <w:r w:rsidRPr="008C0D99">
        <w:rPr>
          <w:lang w:val="en-CA"/>
        </w:rPr>
        <w:t>.</w:t>
      </w:r>
    </w:p>
    <w:p w14:paraId="5C983EBA" w14:textId="77777777" w:rsidR="0084489F" w:rsidRDefault="00110FE6">
      <w:pPr>
        <w:pStyle w:val="BodyText"/>
      </w:pPr>
      <w:r w:rsidRPr="008C0D99">
        <w:rPr>
          <w:lang w:val="en-CA"/>
        </w:rPr>
        <w:t xml:space="preserve">XML Working Group. 2016. « Extensible Markup Language (XML) ». World Wide Web Consortium (W3C). 11 octobre 2016. </w:t>
      </w:r>
      <w:hyperlink r:id="rId470">
        <w:r>
          <w:rPr>
            <w:rStyle w:val="Hyperlink"/>
          </w:rPr>
          <w:t>https://www.w3.org/XML/</w:t>
        </w:r>
      </w:hyperlink>
      <w:r>
        <w:t>.</w:t>
      </w:r>
    </w:p>
    <w:p w14:paraId="57AB49D3" w14:textId="77777777" w:rsidR="0084489F" w:rsidRDefault="00110FE6">
      <w:pPr>
        <w:pStyle w:val="Heading2"/>
      </w:pPr>
      <w:bookmarkStart w:id="626" w:name="_Toc176864684"/>
      <w:bookmarkStart w:id="627" w:name="mentions-de-source-des-figures"/>
      <w:r>
        <w:t>Mentions de source des figures</w:t>
      </w:r>
      <w:bookmarkEnd w:id="626"/>
    </w:p>
    <w:p w14:paraId="613BFED7" w14:textId="77777777" w:rsidR="0084489F" w:rsidRDefault="00110FE6">
      <w:pPr>
        <w:pStyle w:val="FirstParagraph"/>
      </w:pPr>
      <w:r>
        <w:t>Figures 1-6 :</w:t>
      </w:r>
    </w:p>
    <w:p w14:paraId="55AC5A1E" w14:textId="77777777" w:rsidR="0084489F" w:rsidRDefault="00110FE6" w:rsidP="00806324">
      <w:pPr>
        <w:numPr>
          <w:ilvl w:val="0"/>
          <w:numId w:val="302"/>
        </w:numPr>
      </w:pPr>
      <w:r>
        <w:rPr>
          <w:i/>
          <w:iCs/>
        </w:rPr>
        <w:t>Bibliothèques logicielles diagrams.net</w:t>
      </w:r>
      <w:r>
        <w:t>, © Réseau canadien d'information sur le patrimoine 2024</w:t>
      </w:r>
    </w:p>
    <w:p w14:paraId="500A0CD6" w14:textId="77777777" w:rsidR="0084489F" w:rsidRDefault="00110FE6">
      <w:pPr>
        <w:pStyle w:val="FirstParagraph"/>
      </w:pPr>
      <w:r>
        <w:t>Figure 2 :</w:t>
      </w:r>
    </w:p>
    <w:p w14:paraId="2C9B42B6" w14:textId="77777777" w:rsidR="0084489F" w:rsidRPr="008C0D99" w:rsidRDefault="00110FE6" w:rsidP="00806324">
      <w:pPr>
        <w:numPr>
          <w:ilvl w:val="0"/>
          <w:numId w:val="303"/>
        </w:numPr>
        <w:rPr>
          <w:lang w:val="en-CA"/>
        </w:rPr>
      </w:pPr>
      <w:r w:rsidRPr="008C0D99">
        <w:rPr>
          <w:i/>
          <w:iCs/>
          <w:lang w:val="en-CA"/>
        </w:rPr>
        <w:t>Johann Joachim Winckelmann</w:t>
      </w:r>
      <w:r w:rsidRPr="008C0D99">
        <w:rPr>
          <w:lang w:val="en-CA"/>
        </w:rPr>
        <w:t>, © Wikimedia Commons CC BY-SA 4.0</w:t>
      </w:r>
    </w:p>
    <w:p w14:paraId="5B5B1935" w14:textId="77777777" w:rsidR="0084489F" w:rsidRPr="008C0D99" w:rsidRDefault="00110FE6" w:rsidP="00806324">
      <w:pPr>
        <w:numPr>
          <w:ilvl w:val="0"/>
          <w:numId w:val="303"/>
        </w:numPr>
        <w:rPr>
          <w:lang w:val="en-CA"/>
        </w:rPr>
      </w:pPr>
      <w:r w:rsidRPr="008C0D99">
        <w:rPr>
          <w:i/>
          <w:iCs/>
          <w:lang w:val="en-CA"/>
        </w:rPr>
        <w:t>Laocoön</w:t>
      </w:r>
      <w:r w:rsidRPr="008C0D99">
        <w:rPr>
          <w:lang w:val="en-CA"/>
        </w:rPr>
        <w:t>, © Wikimedia Commons CC BY-SA 4.0</w:t>
      </w:r>
    </w:p>
    <w:p w14:paraId="50E2DEF8" w14:textId="77777777" w:rsidR="0084489F" w:rsidRDefault="00110FE6">
      <w:pPr>
        <w:pStyle w:val="FirstParagraph"/>
      </w:pPr>
      <w:r>
        <w:t>Figure 3 :</w:t>
      </w:r>
    </w:p>
    <w:p w14:paraId="2A90AC55" w14:textId="36BC551C" w:rsidR="0084489F" w:rsidRDefault="00110FE6" w:rsidP="00806324">
      <w:pPr>
        <w:numPr>
          <w:ilvl w:val="0"/>
          <w:numId w:val="304"/>
        </w:numPr>
      </w:pPr>
      <w:r w:rsidRPr="1B9E7434">
        <w:rPr>
          <w:lang w:val="fr-FR"/>
        </w:rPr>
        <w:t>Icônes de statues par Smashicons - Flaticon, © Freepik Company S.L. 2022</w:t>
      </w:r>
    </w:p>
    <w:p w14:paraId="0B30035C" w14:textId="4068731B" w:rsidR="0084489F" w:rsidRDefault="00110FE6" w:rsidP="00806324">
      <w:pPr>
        <w:numPr>
          <w:ilvl w:val="0"/>
          <w:numId w:val="304"/>
        </w:numPr>
      </w:pPr>
      <w:r w:rsidRPr="1B9E7434">
        <w:rPr>
          <w:lang w:val="fr-FR"/>
        </w:rPr>
        <w:t>Icône du créateur romain inconnu par Freepik - Flaticon, © Freepik Company S.L. 2022</w:t>
      </w:r>
    </w:p>
    <w:p w14:paraId="4BFDA907" w14:textId="77777777" w:rsidR="0084489F" w:rsidRPr="008C0D99" w:rsidRDefault="00110FE6" w:rsidP="00806324">
      <w:pPr>
        <w:numPr>
          <w:ilvl w:val="0"/>
          <w:numId w:val="304"/>
        </w:numPr>
        <w:rPr>
          <w:lang w:val="en-CA"/>
        </w:rPr>
      </w:pPr>
      <w:r w:rsidRPr="008C0D99">
        <w:rPr>
          <w:lang w:val="en-CA"/>
        </w:rPr>
        <w:t>Icône de Winckelmann par Freepik - Flaticon, © Freepik Company S.L. 2022</w:t>
      </w:r>
    </w:p>
    <w:p w14:paraId="5D4A4BC1" w14:textId="033A7937" w:rsidR="0084489F" w:rsidRDefault="00110FE6" w:rsidP="00806324">
      <w:pPr>
        <w:numPr>
          <w:ilvl w:val="0"/>
          <w:numId w:val="304"/>
        </w:numPr>
      </w:pPr>
      <w:r w:rsidRPr="1B9E7434">
        <w:rPr>
          <w:lang w:val="fr-FR"/>
        </w:rPr>
        <w:t>Icône de la mère de Winckelmann par max.icons - Flaticon, © Freepik Company S.L. 2022</w:t>
      </w:r>
      <w:bookmarkEnd w:id="625"/>
      <w:bookmarkEnd w:id="627"/>
    </w:p>
    <w:sectPr w:rsidR="0084489F" w:rsidSect="00CD44D3">
      <w:footerReference w:type="default" r:id="rId471"/>
      <w:pgSz w:w="12240" w:h="15840"/>
      <w:pgMar w:top="720" w:right="720" w:bottom="720" w:left="720" w:header="0" w:footer="0" w:gutter="0"/>
      <w:pgNumType w:start="1"/>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3" w:author="Karine Léonard Brouillet (elle, la | she, her)" w:date="2024-09-19T11:30:00Z" w:initials="KL">
    <w:p w14:paraId="17D285F6" w14:textId="77777777" w:rsidR="0076137A" w:rsidRDefault="0076137A" w:rsidP="0076137A">
      <w:pPr>
        <w:pStyle w:val="CommentText"/>
      </w:pPr>
      <w:r>
        <w:rPr>
          <w:rStyle w:val="CommentReference"/>
        </w:rPr>
        <w:annotationRef/>
      </w:r>
      <w:r>
        <w:rPr>
          <w:lang w:val="fr-CA"/>
        </w:rPr>
        <w:t>We are missing the mention de source here</w:t>
      </w:r>
    </w:p>
  </w:comment>
  <w:comment w:id="103" w:author="Karine Léonard Brouillet (elle, la | she, her)" w:date="2024-09-19T12:10:00Z" w:initials="KL">
    <w:p w14:paraId="3D9BFA81" w14:textId="77777777" w:rsidR="00795FCA" w:rsidRDefault="00795FCA" w:rsidP="00795FCA">
      <w:pPr>
        <w:pStyle w:val="CommentText"/>
      </w:pPr>
      <w:r>
        <w:rPr>
          <w:rStyle w:val="CommentReference"/>
        </w:rPr>
        <w:annotationRef/>
      </w:r>
      <w:r>
        <w:rPr>
          <w:lang w:val="fr-CA"/>
        </w:rPr>
        <w:t>Same issue here as above</w:t>
      </w:r>
    </w:p>
  </w:comment>
  <w:comment w:id="104" w:author="Nguyen Khanh Trang Dang (elle, la | she, her)" w:date="2024-09-19T13:26:00Z" w:initials="Nh">
    <w:p w14:paraId="002ABE0B" w14:textId="108876AD" w:rsidR="000104F3" w:rsidRDefault="006774E3">
      <w:pPr>
        <w:pStyle w:val="CommentText"/>
      </w:pPr>
      <w:r>
        <w:rPr>
          <w:rStyle w:val="CommentReference"/>
        </w:rPr>
        <w:annotationRef/>
      </w:r>
      <w:r w:rsidRPr="2FFA23AE">
        <w:t>Same as above, headers were rotated sideway.</w:t>
      </w:r>
    </w:p>
  </w:comment>
  <w:comment w:id="261" w:author="Karine Léonard Brouillet (elle, la | she, her)" w:date="2024-09-19T10:48:00Z" w:initials="KL">
    <w:p w14:paraId="67A1E2ED" w14:textId="369FC467" w:rsidR="00077F2E" w:rsidRDefault="00077F2E" w:rsidP="00077F2E">
      <w:pPr>
        <w:pStyle w:val="CommentText"/>
      </w:pPr>
      <w:r>
        <w:rPr>
          <w:rStyle w:val="CommentReference"/>
        </w:rPr>
        <w:annotationRef/>
      </w:r>
      <w:r>
        <w:rPr>
          <w:lang w:val="fr-CA"/>
        </w:rPr>
        <w:t xml:space="preserve">Not sure I we should align the coordinates here? </w:t>
      </w:r>
    </w:p>
  </w:comment>
  <w:comment w:id="262" w:author="Nguyen Khanh Trang Dang (elle, la | she, her)" w:date="2024-09-19T13:59:00Z" w:initials="Nh">
    <w:p w14:paraId="1D877307" w14:textId="65249C2E" w:rsidR="00AD2802" w:rsidRDefault="002B2AA3">
      <w:pPr>
        <w:pStyle w:val="CommentText"/>
      </w:pPr>
      <w:r>
        <w:rPr>
          <w:rStyle w:val="CommentReference"/>
        </w:rPr>
        <w:annotationRef/>
      </w:r>
      <w:r w:rsidRPr="46B1E90E">
        <w:t>You mean indenting the text within the coordinates tag or align the tag itself?</w:t>
      </w:r>
    </w:p>
  </w:comment>
  <w:comment w:id="263" w:author="Karine Léonard Brouillet (elle, la | she, her)" w:date="2024-09-19T14:29:00Z" w:initials="Kh">
    <w:p w14:paraId="023FDE5D" w14:textId="2379AE86" w:rsidR="00AD2802" w:rsidRDefault="002B2AA3">
      <w:pPr>
        <w:pStyle w:val="CommentText"/>
      </w:pPr>
      <w:r>
        <w:rPr>
          <w:rStyle w:val="CommentReference"/>
        </w:rPr>
        <w:annotationRef/>
      </w:r>
      <w:r w:rsidRPr="6B2CD665">
        <w:t>Oh, wait, it is not displaying the same online and in the app ... I meant starting with 0 17... but online it looks fine so I guess I will do nothing out of caution :)</w:t>
      </w:r>
    </w:p>
  </w:comment>
  <w:comment w:id="554" w:author="Karine Léonard Brouillet (elle, la | she, her)" w:date="2024-09-19T11:48:00Z" w:initials="KL">
    <w:p w14:paraId="5599200B" w14:textId="77777777" w:rsidR="00FA3C06" w:rsidRDefault="00FA3C06" w:rsidP="00FA3C06">
      <w:pPr>
        <w:pStyle w:val="CommentText"/>
      </w:pPr>
      <w:r>
        <w:rPr>
          <w:rStyle w:val="CommentReference"/>
        </w:rPr>
        <w:annotationRef/>
      </w:r>
      <w:r>
        <w:rPr>
          <w:lang w:val="fr-CA"/>
        </w:rPr>
        <w:t>Missing mention de source</w:t>
      </w:r>
    </w:p>
  </w:comment>
  <w:comment w:id="555" w:author="Karine Léonard Brouillet (elle, la | she, her)" w:date="2024-09-19T11:56:00Z" w:initials="KL">
    <w:p w14:paraId="1E723907" w14:textId="77777777" w:rsidR="00F612F1" w:rsidRDefault="00F612F1" w:rsidP="00F612F1">
      <w:pPr>
        <w:pStyle w:val="CommentText"/>
      </w:pPr>
      <w:r>
        <w:rPr>
          <w:rStyle w:val="CommentReference"/>
        </w:rPr>
        <w:annotationRef/>
      </w:r>
      <w:r>
        <w:rPr>
          <w:lang w:val="fr-CA"/>
        </w:rPr>
        <w:t>Missing mention de source</w:t>
      </w:r>
    </w:p>
  </w:comment>
  <w:comment w:id="558" w:author="Karine Léonard Brouillet (elle, la | she, her)" w:date="2024-09-19T11:48:00Z" w:initials="KL">
    <w:p w14:paraId="41913C15" w14:textId="158ABB3F" w:rsidR="00FA3C06" w:rsidRDefault="00FA3C06" w:rsidP="00FA3C06">
      <w:pPr>
        <w:pStyle w:val="CommentText"/>
      </w:pPr>
      <w:r>
        <w:rPr>
          <w:rStyle w:val="CommentReference"/>
        </w:rPr>
        <w:annotationRef/>
      </w:r>
      <w:r>
        <w:rPr>
          <w:lang w:val="fr-CA"/>
        </w:rPr>
        <w:t>Missing mention de source</w:t>
      </w:r>
    </w:p>
  </w:comment>
  <w:comment w:id="559" w:author="Karine Léonard Brouillet (elle, la | she, her)" w:date="2024-09-19T11:49:00Z" w:initials="KL">
    <w:p w14:paraId="7D3FC855" w14:textId="77777777" w:rsidR="00FA3C06" w:rsidRDefault="00FA3C06" w:rsidP="00FA3C06">
      <w:pPr>
        <w:pStyle w:val="CommentText"/>
      </w:pPr>
      <w:r>
        <w:rPr>
          <w:rStyle w:val="CommentReference"/>
        </w:rPr>
        <w:annotationRef/>
      </w:r>
      <w:r>
        <w:rPr>
          <w:lang w:val="fr-CA"/>
        </w:rPr>
        <w:t>Missing mention de source</w:t>
      </w:r>
    </w:p>
  </w:comment>
  <w:comment w:id="562" w:author="Karine Léonard Brouillet (elle, la | she, her)" w:date="2024-09-19T11:49:00Z" w:initials="KL">
    <w:p w14:paraId="5B9DECF3" w14:textId="77777777" w:rsidR="00FA3C06" w:rsidRDefault="00FA3C06" w:rsidP="00FA3C06">
      <w:pPr>
        <w:pStyle w:val="CommentText"/>
      </w:pPr>
      <w:r>
        <w:rPr>
          <w:rStyle w:val="CommentReference"/>
        </w:rPr>
        <w:annotationRef/>
      </w:r>
      <w:r>
        <w:rPr>
          <w:lang w:val="fr-CA"/>
        </w:rPr>
        <w:t>Missing mention de source</w:t>
      </w:r>
    </w:p>
  </w:comment>
  <w:comment w:id="563" w:author="Karine Léonard Brouillet (elle, la | she, her)" w:date="2024-09-19T11:49:00Z" w:initials="KL">
    <w:p w14:paraId="659D41D8" w14:textId="77777777" w:rsidR="00FA3C06" w:rsidRDefault="00FA3C06" w:rsidP="00FA3C06">
      <w:pPr>
        <w:pStyle w:val="CommentText"/>
      </w:pPr>
      <w:r>
        <w:rPr>
          <w:rStyle w:val="CommentReference"/>
        </w:rPr>
        <w:annotationRef/>
      </w:r>
      <w:r>
        <w:rPr>
          <w:lang w:val="fr-CA"/>
        </w:rPr>
        <w:t>Missing mention de source</w:t>
      </w:r>
    </w:p>
  </w:comment>
  <w:comment w:id="566" w:author="Karine Léonard Brouillet (elle, la | she, her)" w:date="2024-09-19T11:50:00Z" w:initials="KL">
    <w:p w14:paraId="4756B723" w14:textId="77777777" w:rsidR="0002044A" w:rsidRDefault="0002044A" w:rsidP="0002044A">
      <w:pPr>
        <w:pStyle w:val="CommentText"/>
      </w:pPr>
      <w:r>
        <w:rPr>
          <w:rStyle w:val="CommentReference"/>
        </w:rPr>
        <w:annotationRef/>
      </w:r>
      <w:r>
        <w:rPr>
          <w:lang w:val="fr-CA"/>
        </w:rPr>
        <w:t>Missing mention de source</w:t>
      </w:r>
    </w:p>
  </w:comment>
  <w:comment w:id="567" w:author="Karine Léonard Brouillet (elle, la | she, her)" w:date="2024-09-19T11:50:00Z" w:initials="KL">
    <w:p w14:paraId="6CC316C4" w14:textId="77777777" w:rsidR="0002044A" w:rsidRDefault="0002044A" w:rsidP="0002044A">
      <w:pPr>
        <w:pStyle w:val="CommentText"/>
      </w:pPr>
      <w:r>
        <w:rPr>
          <w:rStyle w:val="CommentReference"/>
        </w:rPr>
        <w:annotationRef/>
      </w:r>
      <w:r>
        <w:rPr>
          <w:lang w:val="fr-CA"/>
        </w:rPr>
        <w:t>Missing mention de source</w:t>
      </w:r>
    </w:p>
  </w:comment>
  <w:comment w:id="576" w:author="Karine Léonard Brouillet (elle, la | she, her)" w:date="2024-09-19T11:51:00Z" w:initials="KL">
    <w:p w14:paraId="407E0F9A" w14:textId="77777777" w:rsidR="0002044A" w:rsidRDefault="0002044A" w:rsidP="0002044A">
      <w:pPr>
        <w:pStyle w:val="CommentText"/>
      </w:pPr>
      <w:r>
        <w:rPr>
          <w:rStyle w:val="CommentReference"/>
        </w:rPr>
        <w:annotationRef/>
      </w:r>
      <w:r>
        <w:rPr>
          <w:lang w:val="fr-CA"/>
        </w:rPr>
        <w:t>Missing mention de source</w:t>
      </w:r>
    </w:p>
  </w:comment>
  <w:comment w:id="577" w:author="Karine Léonard Brouillet (elle, la | she, her)" w:date="2024-09-19T11:51:00Z" w:initials="KL">
    <w:p w14:paraId="7D070CED" w14:textId="77777777" w:rsidR="0002044A" w:rsidRDefault="0002044A" w:rsidP="0002044A">
      <w:pPr>
        <w:pStyle w:val="CommentText"/>
      </w:pPr>
      <w:r>
        <w:rPr>
          <w:rStyle w:val="CommentReference"/>
        </w:rPr>
        <w:annotationRef/>
      </w:r>
      <w:r>
        <w:rPr>
          <w:lang w:val="fr-CA"/>
        </w:rPr>
        <w:t>Missing mention de source</w:t>
      </w:r>
    </w:p>
  </w:comment>
  <w:comment w:id="580" w:author="Karine Léonard Brouillet (elle, la | she, her)" w:date="2024-09-19T11:51:00Z" w:initials="KL">
    <w:p w14:paraId="12B9E863" w14:textId="77777777" w:rsidR="0002044A" w:rsidRDefault="0002044A" w:rsidP="0002044A">
      <w:pPr>
        <w:pStyle w:val="CommentText"/>
      </w:pPr>
      <w:r>
        <w:rPr>
          <w:rStyle w:val="CommentReference"/>
        </w:rPr>
        <w:annotationRef/>
      </w:r>
      <w:r>
        <w:rPr>
          <w:lang w:val="fr-CA"/>
        </w:rPr>
        <w:t>Missing mention de source</w:t>
      </w:r>
    </w:p>
  </w:comment>
  <w:comment w:id="581" w:author="Karine Léonard Brouillet (elle, la | she, her)" w:date="2024-09-19T11:57:00Z" w:initials="KL">
    <w:p w14:paraId="43969F45" w14:textId="77777777" w:rsidR="00380007" w:rsidRDefault="00380007" w:rsidP="00380007">
      <w:pPr>
        <w:pStyle w:val="CommentText"/>
      </w:pPr>
      <w:r>
        <w:rPr>
          <w:rStyle w:val="CommentReference"/>
        </w:rPr>
        <w:annotationRef/>
      </w:r>
      <w:r>
        <w:rPr>
          <w:lang w:val="fr-CA"/>
        </w:rPr>
        <w:t>Missing mention de source</w:t>
      </w:r>
    </w:p>
  </w:comment>
  <w:comment w:id="584" w:author="Karine Léonard Brouillet (elle, la | she, her)" w:date="2024-09-19T11:52:00Z" w:initials="KL">
    <w:p w14:paraId="584D2D47" w14:textId="736109EE" w:rsidR="0002044A" w:rsidRDefault="0002044A" w:rsidP="0002044A">
      <w:pPr>
        <w:pStyle w:val="CommentText"/>
      </w:pPr>
      <w:r>
        <w:rPr>
          <w:rStyle w:val="CommentReference"/>
        </w:rPr>
        <w:annotationRef/>
      </w:r>
      <w:r>
        <w:rPr>
          <w:lang w:val="fr-CA"/>
        </w:rPr>
        <w:t>Missing mention de source</w:t>
      </w:r>
    </w:p>
  </w:comment>
  <w:comment w:id="585" w:author="Karine Léonard Brouillet (elle, la | she, her)" w:date="2024-09-19T11:52:00Z" w:initials="KL">
    <w:p w14:paraId="3D040A8C" w14:textId="77777777" w:rsidR="0002044A" w:rsidRDefault="0002044A" w:rsidP="0002044A">
      <w:pPr>
        <w:pStyle w:val="CommentText"/>
      </w:pPr>
      <w:r>
        <w:rPr>
          <w:rStyle w:val="CommentReference"/>
        </w:rPr>
        <w:annotationRef/>
      </w:r>
      <w:r>
        <w:rPr>
          <w:lang w:val="fr-CA"/>
        </w:rPr>
        <w:t>Missing mention de source</w:t>
      </w:r>
    </w:p>
  </w:comment>
  <w:comment w:id="588" w:author="Karine Léonard Brouillet (elle, la | she, her)" w:date="2024-09-19T11:52:00Z" w:initials="KL">
    <w:p w14:paraId="33E38082" w14:textId="77777777" w:rsidR="0047520B" w:rsidRDefault="0047520B" w:rsidP="0047520B">
      <w:pPr>
        <w:pStyle w:val="CommentText"/>
      </w:pPr>
      <w:r>
        <w:rPr>
          <w:rStyle w:val="CommentReference"/>
        </w:rPr>
        <w:annotationRef/>
      </w:r>
      <w:r>
        <w:rPr>
          <w:lang w:val="fr-CA"/>
        </w:rPr>
        <w:t>Missing mention de source</w:t>
      </w:r>
    </w:p>
  </w:comment>
  <w:comment w:id="589" w:author="Karine Léonard Brouillet (elle, la | she, her)" w:date="2024-09-19T11:53:00Z" w:initials="KL">
    <w:p w14:paraId="62C6F0FC" w14:textId="77777777" w:rsidR="0047520B" w:rsidRDefault="0047520B" w:rsidP="0047520B">
      <w:pPr>
        <w:pStyle w:val="CommentText"/>
      </w:pPr>
      <w:r>
        <w:rPr>
          <w:rStyle w:val="CommentReference"/>
        </w:rPr>
        <w:annotationRef/>
      </w:r>
      <w:r>
        <w:rPr>
          <w:lang w:val="fr-CA"/>
        </w:rPr>
        <w:t>Missing mention de source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D285F6" w15:done="1"/>
  <w15:commentEx w15:paraId="3D9BFA81" w15:done="0"/>
  <w15:commentEx w15:paraId="002ABE0B" w15:paraIdParent="3D9BFA81" w15:done="0"/>
  <w15:commentEx w15:paraId="67A1E2ED" w15:done="1"/>
  <w15:commentEx w15:paraId="1D877307" w15:paraIdParent="67A1E2ED" w15:done="1"/>
  <w15:commentEx w15:paraId="023FDE5D" w15:paraIdParent="67A1E2ED" w15:done="1"/>
  <w15:commentEx w15:paraId="5599200B" w15:done="1"/>
  <w15:commentEx w15:paraId="1E723907" w15:done="1"/>
  <w15:commentEx w15:paraId="41913C15" w15:done="1"/>
  <w15:commentEx w15:paraId="7D3FC855" w15:done="1"/>
  <w15:commentEx w15:paraId="5B9DECF3" w15:done="1"/>
  <w15:commentEx w15:paraId="659D41D8" w15:done="1"/>
  <w15:commentEx w15:paraId="4756B723" w15:done="1"/>
  <w15:commentEx w15:paraId="6CC316C4" w15:done="1"/>
  <w15:commentEx w15:paraId="407E0F9A" w15:done="1"/>
  <w15:commentEx w15:paraId="7D070CED" w15:done="1"/>
  <w15:commentEx w15:paraId="12B9E863" w15:done="1"/>
  <w15:commentEx w15:paraId="43969F45" w15:done="1"/>
  <w15:commentEx w15:paraId="584D2D47" w15:done="1"/>
  <w15:commentEx w15:paraId="3D040A8C" w15:done="1"/>
  <w15:commentEx w15:paraId="33E38082" w15:done="1"/>
  <w15:commentEx w15:paraId="62C6F0F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F3CDA51" w16cex:dateUtc="2024-09-19T15:30:00Z"/>
  <w16cex:commentExtensible w16cex:durableId="0559D2AF" w16cex:dateUtc="2024-09-19T16:10:00Z"/>
  <w16cex:commentExtensible w16cex:durableId="78D28EA1" w16cex:dateUtc="2024-09-19T17:26:00Z"/>
  <w16cex:commentExtensible w16cex:durableId="7FADBC3A" w16cex:dateUtc="2024-09-19T14:48:00Z"/>
  <w16cex:commentExtensible w16cex:durableId="5DCFE15D" w16cex:dateUtc="2024-09-19T17:59:00Z"/>
  <w16cex:commentExtensible w16cex:durableId="627E4B77" w16cex:dateUtc="2024-09-19T18:29:00Z"/>
  <w16cex:commentExtensible w16cex:durableId="1150F235" w16cex:dateUtc="2024-09-19T15:48:00Z"/>
  <w16cex:commentExtensible w16cex:durableId="2D1CB932" w16cex:dateUtc="2024-09-19T15:56:00Z"/>
  <w16cex:commentExtensible w16cex:durableId="7C912A95" w16cex:dateUtc="2024-09-19T15:48:00Z"/>
  <w16cex:commentExtensible w16cex:durableId="29A5E2E1" w16cex:dateUtc="2024-09-19T15:49:00Z"/>
  <w16cex:commentExtensible w16cex:durableId="0B10B726" w16cex:dateUtc="2024-09-19T15:49:00Z"/>
  <w16cex:commentExtensible w16cex:durableId="03E98664" w16cex:dateUtc="2024-09-19T15:49:00Z"/>
  <w16cex:commentExtensible w16cex:durableId="09F16ECD" w16cex:dateUtc="2024-09-19T15:50:00Z"/>
  <w16cex:commentExtensible w16cex:durableId="11D9215E" w16cex:dateUtc="2024-09-19T15:50:00Z"/>
  <w16cex:commentExtensible w16cex:durableId="2B46A2B3" w16cex:dateUtc="2024-09-19T15:51:00Z"/>
  <w16cex:commentExtensible w16cex:durableId="561A5884" w16cex:dateUtc="2024-09-19T15:51:00Z"/>
  <w16cex:commentExtensible w16cex:durableId="3F4F9330" w16cex:dateUtc="2024-09-19T15:51:00Z"/>
  <w16cex:commentExtensible w16cex:durableId="1BA63A22" w16cex:dateUtc="2024-09-19T15:57:00Z"/>
  <w16cex:commentExtensible w16cex:durableId="624FCDBB" w16cex:dateUtc="2024-09-19T15:52:00Z"/>
  <w16cex:commentExtensible w16cex:durableId="3EBDC95D" w16cex:dateUtc="2024-09-19T15:52:00Z"/>
  <w16cex:commentExtensible w16cex:durableId="23051794" w16cex:dateUtc="2024-09-19T15:52:00Z"/>
  <w16cex:commentExtensible w16cex:durableId="50D43B8D" w16cex:dateUtc="2024-09-19T1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D285F6" w16cid:durableId="5F3CDA51"/>
  <w16cid:commentId w16cid:paraId="3D9BFA81" w16cid:durableId="0559D2AF"/>
  <w16cid:commentId w16cid:paraId="002ABE0B" w16cid:durableId="78D28EA1"/>
  <w16cid:commentId w16cid:paraId="67A1E2ED" w16cid:durableId="7FADBC3A"/>
  <w16cid:commentId w16cid:paraId="1D877307" w16cid:durableId="5DCFE15D"/>
  <w16cid:commentId w16cid:paraId="023FDE5D" w16cid:durableId="627E4B77"/>
  <w16cid:commentId w16cid:paraId="5599200B" w16cid:durableId="1150F235"/>
  <w16cid:commentId w16cid:paraId="1E723907" w16cid:durableId="2D1CB932"/>
  <w16cid:commentId w16cid:paraId="41913C15" w16cid:durableId="7C912A95"/>
  <w16cid:commentId w16cid:paraId="7D3FC855" w16cid:durableId="29A5E2E1"/>
  <w16cid:commentId w16cid:paraId="5B9DECF3" w16cid:durableId="0B10B726"/>
  <w16cid:commentId w16cid:paraId="659D41D8" w16cid:durableId="03E98664"/>
  <w16cid:commentId w16cid:paraId="4756B723" w16cid:durableId="09F16ECD"/>
  <w16cid:commentId w16cid:paraId="6CC316C4" w16cid:durableId="11D9215E"/>
  <w16cid:commentId w16cid:paraId="407E0F9A" w16cid:durableId="2B46A2B3"/>
  <w16cid:commentId w16cid:paraId="7D070CED" w16cid:durableId="561A5884"/>
  <w16cid:commentId w16cid:paraId="12B9E863" w16cid:durableId="3F4F9330"/>
  <w16cid:commentId w16cid:paraId="43969F45" w16cid:durableId="1BA63A22"/>
  <w16cid:commentId w16cid:paraId="584D2D47" w16cid:durableId="624FCDBB"/>
  <w16cid:commentId w16cid:paraId="3D040A8C" w16cid:durableId="3EBDC95D"/>
  <w16cid:commentId w16cid:paraId="33E38082" w16cid:durableId="23051794"/>
  <w16cid:commentId w16cid:paraId="62C6F0FC" w16cid:durableId="50D43B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B8013" w14:textId="77777777" w:rsidR="001518BC" w:rsidRDefault="001518BC">
      <w:pPr>
        <w:spacing w:after="0"/>
      </w:pPr>
      <w:r>
        <w:separator/>
      </w:r>
    </w:p>
  </w:endnote>
  <w:endnote w:type="continuationSeparator" w:id="0">
    <w:p w14:paraId="555577BE" w14:textId="77777777" w:rsidR="001518BC" w:rsidRDefault="001518BC">
      <w:pPr>
        <w:spacing w:after="0"/>
      </w:pPr>
      <w:r>
        <w:continuationSeparator/>
      </w:r>
    </w:p>
  </w:endnote>
  <w:endnote w:type="continuationNotice" w:id="1">
    <w:p w14:paraId="7DE4C25C" w14:textId="77777777" w:rsidR="001518BC" w:rsidRDefault="001518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0026736"/>
      <w:docPartObj>
        <w:docPartGallery w:val="Page Numbers (Bottom of Page)"/>
        <w:docPartUnique/>
      </w:docPartObj>
    </w:sdtPr>
    <w:sdtEndPr>
      <w:rPr>
        <w:noProof/>
      </w:rPr>
    </w:sdtEndPr>
    <w:sdtContent>
      <w:p w14:paraId="620BA46A" w14:textId="2D8A1E6E" w:rsidR="00665C52" w:rsidRDefault="00665C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F5A7AA" w14:textId="77777777" w:rsidR="00665C52" w:rsidRDefault="00665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6716025"/>
      <w:docPartObj>
        <w:docPartGallery w:val="Page Numbers (Bottom of Page)"/>
        <w:docPartUnique/>
      </w:docPartObj>
    </w:sdtPr>
    <w:sdtEndPr>
      <w:rPr>
        <w:noProof/>
      </w:rPr>
    </w:sdtEndPr>
    <w:sdtContent>
      <w:p w14:paraId="4FD51872" w14:textId="77777777" w:rsidR="00CD44D3" w:rsidRDefault="00CD44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17B916" w14:textId="77777777" w:rsidR="00CD44D3" w:rsidRDefault="00CD4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FDA34" w14:textId="77777777" w:rsidR="001518BC" w:rsidRDefault="001518BC">
      <w:r>
        <w:separator/>
      </w:r>
    </w:p>
  </w:footnote>
  <w:footnote w:type="continuationSeparator" w:id="0">
    <w:p w14:paraId="35B444BD" w14:textId="77777777" w:rsidR="001518BC" w:rsidRDefault="001518BC">
      <w:r>
        <w:continuationSeparator/>
      </w:r>
    </w:p>
  </w:footnote>
  <w:footnote w:type="continuationNotice" w:id="1">
    <w:p w14:paraId="0FCDDD88" w14:textId="77777777" w:rsidR="001518BC" w:rsidRDefault="001518BC">
      <w:pPr>
        <w:spacing w:after="0"/>
      </w:pPr>
    </w:p>
  </w:footnote>
  <w:footnote w:id="2">
    <w:p w14:paraId="54DDFB4D" w14:textId="72803A93" w:rsidR="00006E7F" w:rsidRPr="00761A30" w:rsidRDefault="00006E7F">
      <w:pPr>
        <w:pStyle w:val="FootnoteText"/>
        <w:rPr>
          <w:sz w:val="20"/>
          <w:szCs w:val="20"/>
          <w:lang w:val="fr-CA"/>
        </w:rPr>
      </w:pPr>
      <w:r w:rsidRPr="00761A30">
        <w:rPr>
          <w:rStyle w:val="FootnoteReference"/>
          <w:sz w:val="20"/>
          <w:szCs w:val="20"/>
        </w:rPr>
        <w:footnoteRef/>
      </w:r>
      <w:r w:rsidRPr="00761A30">
        <w:rPr>
          <w:sz w:val="20"/>
          <w:szCs w:val="20"/>
        </w:rPr>
        <w:t xml:space="preserve"> Les statuts de l'ICOM fournissent une définition du terme « musée » à l'adresse http://icom.museum/statutes</w:t>
      </w:r>
    </w:p>
  </w:footnote>
  <w:footnote w:id="3">
    <w:p w14:paraId="705D55B7" w14:textId="20D5F854" w:rsidR="00006E7F" w:rsidRPr="00761A30" w:rsidRDefault="00006E7F">
      <w:pPr>
        <w:pStyle w:val="FootnoteText"/>
        <w:rPr>
          <w:sz w:val="20"/>
          <w:szCs w:val="20"/>
          <w:lang w:val="fr-CA"/>
        </w:rPr>
      </w:pPr>
      <w:r w:rsidRPr="00761A30">
        <w:rPr>
          <w:rStyle w:val="FootnoteReference"/>
          <w:sz w:val="20"/>
          <w:szCs w:val="20"/>
        </w:rPr>
        <w:footnoteRef/>
      </w:r>
      <w:r w:rsidRPr="00761A30">
        <w:rPr>
          <w:sz w:val="20"/>
          <w:szCs w:val="20"/>
        </w:rPr>
        <w:t xml:space="preserve"> Le domaine d'application pratique du CIDOC CRM, y compris une liste des normes de documentation muséales pertinentes, est discuté plus en détail sur le site Web du CIDOC CRM à l'adresse </w:t>
      </w:r>
      <w:hyperlink r:id="rId1">
        <w:r w:rsidRPr="00761A30">
          <w:rPr>
            <w:rStyle w:val="Hyperlink"/>
            <w:sz w:val="20"/>
            <w:szCs w:val="20"/>
          </w:rPr>
          <w:t>https://cidoc-crm.org/scope</w:t>
        </w:r>
      </w:hyperlink>
      <w:r w:rsidRPr="00761A30">
        <w:rPr>
          <w:sz w:val="20"/>
          <w:szCs w:val="20"/>
        </w:rPr>
        <w:t>.</w:t>
      </w:r>
    </w:p>
  </w:footnote>
  <w:footnote w:id="4">
    <w:p w14:paraId="102EF9A9" w14:textId="6D846E86" w:rsidR="00DA3078" w:rsidRPr="00761A30" w:rsidRDefault="00DA3078">
      <w:pPr>
        <w:pStyle w:val="FootnoteText"/>
        <w:rPr>
          <w:sz w:val="20"/>
          <w:szCs w:val="20"/>
          <w:lang w:val="fr-CA"/>
        </w:rPr>
      </w:pPr>
      <w:r w:rsidRPr="00761A30">
        <w:rPr>
          <w:rStyle w:val="FootnoteReference"/>
          <w:sz w:val="20"/>
          <w:szCs w:val="20"/>
        </w:rPr>
        <w:footnoteRef/>
      </w:r>
      <w:r w:rsidRPr="00761A30">
        <w:rPr>
          <w:sz w:val="20"/>
          <w:szCs w:val="20"/>
        </w:rPr>
        <w:t xml:space="preserve"> Plus d'informations au sujet du Resource Description Framework (RDF) sont disponibles au </w:t>
      </w:r>
      <w:hyperlink r:id="rId2">
        <w:r w:rsidRPr="00761A30">
          <w:rPr>
            <w:rStyle w:val="Hyperlink"/>
            <w:sz w:val="20"/>
            <w:szCs w:val="20"/>
          </w:rPr>
          <w:t>http://www.w3.org/RDF/</w:t>
        </w:r>
      </w:hyperlink>
      <w:r w:rsidRPr="00761A30">
        <w:rPr>
          <w:sz w:val="20"/>
          <w:szCs w:val="20"/>
        </w:rPr>
        <w:t>.</w:t>
      </w:r>
    </w:p>
  </w:footnote>
  <w:footnote w:id="5">
    <w:p w14:paraId="08FB3BEA" w14:textId="6B250408" w:rsidR="00DA3078" w:rsidRPr="00761A30" w:rsidRDefault="00DA3078">
      <w:pPr>
        <w:pStyle w:val="FootnoteText"/>
        <w:rPr>
          <w:sz w:val="20"/>
          <w:szCs w:val="20"/>
          <w:lang w:val="fr-CA"/>
        </w:rPr>
      </w:pPr>
      <w:r w:rsidRPr="00761A30">
        <w:rPr>
          <w:rStyle w:val="FootnoteReference"/>
          <w:sz w:val="20"/>
          <w:szCs w:val="20"/>
        </w:rPr>
        <w:footnoteRef/>
      </w:r>
      <w:r w:rsidRPr="00761A30">
        <w:rPr>
          <w:sz w:val="20"/>
          <w:szCs w:val="20"/>
        </w:rPr>
        <w:t xml:space="preserve"> Nicola Guarino définit une ontologie formelle comme la spécification d’un ensemble de concepts nommés et utilisés pour déterminer par approximation et pour décrire une part de la réalité, spécification à laquelle s’ajoute une théorie logique du premier ordre précisant la signification prévue de ces mêmes concepts nommés.</w:t>
      </w:r>
    </w:p>
  </w:footnote>
  <w:footnote w:id="6">
    <w:p w14:paraId="32D2019E" w14:textId="052550C5" w:rsidR="00DA3078" w:rsidRPr="00761A30" w:rsidRDefault="00DA3078">
      <w:pPr>
        <w:pStyle w:val="FootnoteText"/>
        <w:rPr>
          <w:sz w:val="20"/>
          <w:szCs w:val="20"/>
          <w:lang w:val="fr-CA"/>
        </w:rPr>
      </w:pPr>
      <w:r w:rsidRPr="00761A30">
        <w:rPr>
          <w:rStyle w:val="FootnoteReference"/>
          <w:sz w:val="20"/>
          <w:szCs w:val="20"/>
        </w:rPr>
        <w:footnoteRef/>
      </w:r>
      <w:r w:rsidRPr="00761A30">
        <w:rPr>
          <w:sz w:val="20"/>
          <w:szCs w:val="20"/>
        </w:rPr>
        <w:t xml:space="preserve"> Les lecteurs intéressés par les sciences informatiques, la logique, la syntaxe et la sémantique formelles utilisées par le CIDOC CRM peuvent consulter (Meghini &amp; Doerr, 2018) qui examine les aspects computationnels de l’ontologie.</w:t>
      </w:r>
    </w:p>
  </w:footnote>
  <w:footnote w:id="7">
    <w:p w14:paraId="5EE217B7" w14:textId="5CEFD782" w:rsidR="00DA3078" w:rsidRPr="00761A30" w:rsidRDefault="00DA3078">
      <w:pPr>
        <w:pStyle w:val="FootnoteText"/>
        <w:rPr>
          <w:sz w:val="20"/>
          <w:szCs w:val="20"/>
          <w:lang w:val="fr-CA"/>
        </w:rPr>
      </w:pPr>
      <w:r w:rsidRPr="00761A30">
        <w:rPr>
          <w:rStyle w:val="FootnoteReference"/>
          <w:sz w:val="20"/>
          <w:szCs w:val="20"/>
        </w:rPr>
        <w:footnoteRef/>
      </w:r>
      <w:r w:rsidRPr="00761A30">
        <w:rPr>
          <w:sz w:val="20"/>
          <w:szCs w:val="20"/>
        </w:rPr>
        <w:t xml:space="preserve"> L’URI (instance de </w:t>
      </w:r>
      <w:r w:rsidRPr="00761A30">
        <w:rPr>
          <w:rStyle w:val="VerbatimChar"/>
          <w:sz w:val="20"/>
          <w:szCs w:val="20"/>
        </w:rPr>
        <w:t>E41_Appellation</w:t>
      </w:r>
      <w:r w:rsidRPr="00761A30">
        <w:rPr>
          <w:sz w:val="20"/>
          <w:szCs w:val="20"/>
        </w:rPr>
        <w:t>) de la Library of Congress pour le pharaon Toutânkhamon.</w:t>
      </w:r>
    </w:p>
  </w:footnote>
  <w:footnote w:id="8">
    <w:p w14:paraId="6E04563A" w14:textId="7D0C1DF3" w:rsidR="00DA3078" w:rsidRPr="00761A30" w:rsidRDefault="00DA3078">
      <w:pPr>
        <w:pStyle w:val="FootnoteText"/>
        <w:rPr>
          <w:sz w:val="20"/>
          <w:szCs w:val="20"/>
          <w:lang w:val="fr-CA"/>
        </w:rPr>
      </w:pPr>
      <w:r w:rsidRPr="00761A30">
        <w:rPr>
          <w:rStyle w:val="FootnoteReference"/>
          <w:sz w:val="20"/>
          <w:szCs w:val="20"/>
        </w:rPr>
        <w:footnoteRef/>
      </w:r>
      <w:r w:rsidRPr="00761A30">
        <w:rPr>
          <w:sz w:val="20"/>
          <w:szCs w:val="20"/>
        </w:rPr>
        <w:t xml:space="preserve"> Les énoncés se trouvant dans une BC peuvent entrer en contradiction avec la quantification ontologique des propriétés sans que cette BC ne soit pour autant dysfonctionnelle ou invalidée. Une telle situation pourrait survenir soit parce que des propriétés sont inconnues, soit parce qu’il est raisonnable pour l’institution ou personne responsable du maintien de penser que des valeurs alternatives sont possibles pour des propriétés dotées d’une cardinalité limitée.</w:t>
      </w:r>
    </w:p>
  </w:footnote>
  <w:footnote w:id="9">
    <w:p w14:paraId="5FC29C53" w14:textId="78C37168" w:rsidR="005E2D08" w:rsidRPr="00761A30" w:rsidRDefault="005E2D08">
      <w:pPr>
        <w:pStyle w:val="FootnoteText"/>
        <w:rPr>
          <w:sz w:val="20"/>
          <w:szCs w:val="20"/>
          <w:lang w:val="fr-CA"/>
        </w:rPr>
      </w:pPr>
      <w:r w:rsidRPr="00761A30">
        <w:rPr>
          <w:rStyle w:val="FootnoteReference"/>
          <w:sz w:val="20"/>
          <w:szCs w:val="20"/>
        </w:rPr>
        <w:footnoteRef/>
      </w:r>
      <w:r w:rsidRPr="00761A30">
        <w:rPr>
          <w:sz w:val="20"/>
          <w:szCs w:val="20"/>
        </w:rPr>
        <w:t xml:space="preserve"> Cela s'applique aux applications du domaine du CIDOC CRM qui sont de nature non relativiste, mais ne s'applique pas strictement, par exemple, aux satellites.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02212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01"/>
    <w:multiLevelType w:val="multilevel"/>
    <w:tmpl w:val="1EBEC6C2"/>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01B94854"/>
    <w:multiLevelType w:val="multilevel"/>
    <w:tmpl w:val="3F6ED84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7FB5DCA"/>
    <w:multiLevelType w:val="hybridMultilevel"/>
    <w:tmpl w:val="C60C734E"/>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15:restartNumberingAfterBreak="0">
    <w:nsid w:val="0C442C08"/>
    <w:multiLevelType w:val="multilevel"/>
    <w:tmpl w:val="3F6ED84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5" w15:restartNumberingAfterBreak="0">
    <w:nsid w:val="1BF002F5"/>
    <w:multiLevelType w:val="hybridMultilevel"/>
    <w:tmpl w:val="4CC6CBA0"/>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1FF77A0F"/>
    <w:multiLevelType w:val="hybridMultilevel"/>
    <w:tmpl w:val="E08E2102"/>
    <w:lvl w:ilvl="0" w:tplc="1009000F">
      <w:start w:val="1"/>
      <w:numFmt w:val="decimal"/>
      <w:lvlText w:val="%1."/>
      <w:lvlJc w:val="left"/>
      <w:pPr>
        <w:ind w:left="960" w:hanging="360"/>
      </w:pPr>
    </w:lvl>
    <w:lvl w:ilvl="1" w:tplc="10090019" w:tentative="1">
      <w:start w:val="1"/>
      <w:numFmt w:val="lowerLetter"/>
      <w:lvlText w:val="%2."/>
      <w:lvlJc w:val="left"/>
      <w:pPr>
        <w:ind w:left="1680" w:hanging="360"/>
      </w:pPr>
    </w:lvl>
    <w:lvl w:ilvl="2" w:tplc="1009001B" w:tentative="1">
      <w:start w:val="1"/>
      <w:numFmt w:val="lowerRoman"/>
      <w:lvlText w:val="%3."/>
      <w:lvlJc w:val="right"/>
      <w:pPr>
        <w:ind w:left="2400" w:hanging="180"/>
      </w:pPr>
    </w:lvl>
    <w:lvl w:ilvl="3" w:tplc="1009000F" w:tentative="1">
      <w:start w:val="1"/>
      <w:numFmt w:val="decimal"/>
      <w:lvlText w:val="%4."/>
      <w:lvlJc w:val="left"/>
      <w:pPr>
        <w:ind w:left="3120" w:hanging="360"/>
      </w:pPr>
    </w:lvl>
    <w:lvl w:ilvl="4" w:tplc="10090019" w:tentative="1">
      <w:start w:val="1"/>
      <w:numFmt w:val="lowerLetter"/>
      <w:lvlText w:val="%5."/>
      <w:lvlJc w:val="left"/>
      <w:pPr>
        <w:ind w:left="3840" w:hanging="360"/>
      </w:pPr>
    </w:lvl>
    <w:lvl w:ilvl="5" w:tplc="1009001B" w:tentative="1">
      <w:start w:val="1"/>
      <w:numFmt w:val="lowerRoman"/>
      <w:lvlText w:val="%6."/>
      <w:lvlJc w:val="right"/>
      <w:pPr>
        <w:ind w:left="4560" w:hanging="180"/>
      </w:pPr>
    </w:lvl>
    <w:lvl w:ilvl="6" w:tplc="1009000F" w:tentative="1">
      <w:start w:val="1"/>
      <w:numFmt w:val="decimal"/>
      <w:lvlText w:val="%7."/>
      <w:lvlJc w:val="left"/>
      <w:pPr>
        <w:ind w:left="5280" w:hanging="360"/>
      </w:pPr>
    </w:lvl>
    <w:lvl w:ilvl="7" w:tplc="10090019" w:tentative="1">
      <w:start w:val="1"/>
      <w:numFmt w:val="lowerLetter"/>
      <w:lvlText w:val="%8."/>
      <w:lvlJc w:val="left"/>
      <w:pPr>
        <w:ind w:left="6000" w:hanging="360"/>
      </w:pPr>
    </w:lvl>
    <w:lvl w:ilvl="8" w:tplc="1009001B" w:tentative="1">
      <w:start w:val="1"/>
      <w:numFmt w:val="lowerRoman"/>
      <w:lvlText w:val="%9."/>
      <w:lvlJc w:val="right"/>
      <w:pPr>
        <w:ind w:left="6720" w:hanging="180"/>
      </w:pPr>
    </w:lvl>
  </w:abstractNum>
  <w:abstractNum w:abstractNumId="7" w15:restartNumberingAfterBreak="0">
    <w:nsid w:val="27077EAF"/>
    <w:multiLevelType w:val="hybridMultilevel"/>
    <w:tmpl w:val="5DEEF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0002DA"/>
    <w:multiLevelType w:val="hybridMultilevel"/>
    <w:tmpl w:val="47EC7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59F40FE"/>
    <w:multiLevelType w:val="multilevel"/>
    <w:tmpl w:val="4FF245E2"/>
    <w:lvl w:ilvl="0">
      <w:start w:val="1"/>
      <w:numFmt w:val="bullet"/>
      <w:lvlText w:val="o"/>
      <w:lvlJc w:val="left"/>
      <w:pPr>
        <w:ind w:left="720" w:hanging="480"/>
      </w:pPr>
      <w:rPr>
        <w:rFonts w:ascii="Courier New" w:hAnsi="Courier New" w:cs="Courier New"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35BF2828"/>
    <w:multiLevelType w:val="hybridMultilevel"/>
    <w:tmpl w:val="A732D5A4"/>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15:restartNumberingAfterBreak="0">
    <w:nsid w:val="3B920DB5"/>
    <w:multiLevelType w:val="multilevel"/>
    <w:tmpl w:val="3F6ED84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2" w15:restartNumberingAfterBreak="0">
    <w:nsid w:val="56D74C80"/>
    <w:multiLevelType w:val="multilevel"/>
    <w:tmpl w:val="C8585B72"/>
    <w:lvl w:ilvl="0">
      <w:start w:val="1"/>
      <w:numFmt w:val="bullet"/>
      <w:lvlText w:val="o"/>
      <w:lvlJc w:val="left"/>
      <w:pPr>
        <w:ind w:left="720" w:hanging="480"/>
      </w:pPr>
      <w:rPr>
        <w:rFonts w:ascii="Courier New" w:hAnsi="Courier New" w:cs="Courier New"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15:restartNumberingAfterBreak="0">
    <w:nsid w:val="73211332"/>
    <w:multiLevelType w:val="hybridMultilevel"/>
    <w:tmpl w:val="0DF8691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4" w15:restartNumberingAfterBreak="0">
    <w:nsid w:val="743F633A"/>
    <w:multiLevelType w:val="hybridMultilevel"/>
    <w:tmpl w:val="F29042F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16cid:durableId="17072133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6122841">
    <w:abstractNumId w:val="0"/>
  </w:num>
  <w:num w:numId="3" w16cid:durableId="1532646634">
    <w:abstractNumId w:val="0"/>
  </w:num>
  <w:num w:numId="4" w16cid:durableId="2146584565">
    <w:abstractNumId w:val="0"/>
  </w:num>
  <w:num w:numId="5" w16cid:durableId="483468592">
    <w:abstractNumId w:val="0"/>
  </w:num>
  <w:num w:numId="6" w16cid:durableId="1307665758">
    <w:abstractNumId w:val="0"/>
  </w:num>
  <w:num w:numId="7" w16cid:durableId="1109426010">
    <w:abstractNumId w:val="0"/>
  </w:num>
  <w:num w:numId="8" w16cid:durableId="198512898">
    <w:abstractNumId w:val="0"/>
  </w:num>
  <w:num w:numId="9" w16cid:durableId="747535582">
    <w:abstractNumId w:val="0"/>
  </w:num>
  <w:num w:numId="10" w16cid:durableId="886067490">
    <w:abstractNumId w:val="0"/>
  </w:num>
  <w:num w:numId="11" w16cid:durableId="1804082717">
    <w:abstractNumId w:val="0"/>
  </w:num>
  <w:num w:numId="12" w16cid:durableId="990330821">
    <w:abstractNumId w:val="0"/>
  </w:num>
  <w:num w:numId="13" w16cid:durableId="1292859360">
    <w:abstractNumId w:val="0"/>
  </w:num>
  <w:num w:numId="14" w16cid:durableId="542133840">
    <w:abstractNumId w:val="0"/>
  </w:num>
  <w:num w:numId="15" w16cid:durableId="1860502608">
    <w:abstractNumId w:val="0"/>
  </w:num>
  <w:num w:numId="16" w16cid:durableId="1942181772">
    <w:abstractNumId w:val="0"/>
  </w:num>
  <w:num w:numId="17" w16cid:durableId="1863742306">
    <w:abstractNumId w:val="0"/>
  </w:num>
  <w:num w:numId="18" w16cid:durableId="191655922">
    <w:abstractNumId w:val="0"/>
  </w:num>
  <w:num w:numId="19" w16cid:durableId="1471558841">
    <w:abstractNumId w:val="0"/>
  </w:num>
  <w:num w:numId="20" w16cid:durableId="573204304">
    <w:abstractNumId w:val="0"/>
  </w:num>
  <w:num w:numId="21" w16cid:durableId="512034849">
    <w:abstractNumId w:val="0"/>
  </w:num>
  <w:num w:numId="22" w16cid:durableId="1388263929">
    <w:abstractNumId w:val="0"/>
  </w:num>
  <w:num w:numId="23" w16cid:durableId="1385375978">
    <w:abstractNumId w:val="0"/>
  </w:num>
  <w:num w:numId="24" w16cid:durableId="1391996894">
    <w:abstractNumId w:val="0"/>
  </w:num>
  <w:num w:numId="25" w16cid:durableId="562177908">
    <w:abstractNumId w:val="0"/>
  </w:num>
  <w:num w:numId="26" w16cid:durableId="187918250">
    <w:abstractNumId w:val="0"/>
  </w:num>
  <w:num w:numId="27" w16cid:durableId="106510707">
    <w:abstractNumId w:val="0"/>
  </w:num>
  <w:num w:numId="28" w16cid:durableId="1528518971">
    <w:abstractNumId w:val="0"/>
  </w:num>
  <w:num w:numId="29" w16cid:durableId="1142045712">
    <w:abstractNumId w:val="0"/>
  </w:num>
  <w:num w:numId="30" w16cid:durableId="876890050">
    <w:abstractNumId w:val="0"/>
  </w:num>
  <w:num w:numId="31" w16cid:durableId="427505242">
    <w:abstractNumId w:val="0"/>
  </w:num>
  <w:num w:numId="32" w16cid:durableId="863589669">
    <w:abstractNumId w:val="0"/>
  </w:num>
  <w:num w:numId="33" w16cid:durableId="88046778">
    <w:abstractNumId w:val="0"/>
  </w:num>
  <w:num w:numId="34" w16cid:durableId="684944754">
    <w:abstractNumId w:val="0"/>
  </w:num>
  <w:num w:numId="35" w16cid:durableId="1802915207">
    <w:abstractNumId w:val="0"/>
  </w:num>
  <w:num w:numId="36" w16cid:durableId="579144714">
    <w:abstractNumId w:val="0"/>
  </w:num>
  <w:num w:numId="37" w16cid:durableId="1447694439">
    <w:abstractNumId w:val="0"/>
  </w:num>
  <w:num w:numId="38" w16cid:durableId="1166284414">
    <w:abstractNumId w:val="0"/>
  </w:num>
  <w:num w:numId="39" w16cid:durableId="190923477">
    <w:abstractNumId w:val="0"/>
  </w:num>
  <w:num w:numId="40" w16cid:durableId="1323437159">
    <w:abstractNumId w:val="0"/>
  </w:num>
  <w:num w:numId="41" w16cid:durableId="1048334231">
    <w:abstractNumId w:val="0"/>
  </w:num>
  <w:num w:numId="42" w16cid:durableId="2046129386">
    <w:abstractNumId w:val="0"/>
  </w:num>
  <w:num w:numId="43" w16cid:durableId="416942466">
    <w:abstractNumId w:val="0"/>
  </w:num>
  <w:num w:numId="44" w16cid:durableId="30151649">
    <w:abstractNumId w:val="0"/>
  </w:num>
  <w:num w:numId="45" w16cid:durableId="882447758">
    <w:abstractNumId w:val="0"/>
  </w:num>
  <w:num w:numId="46" w16cid:durableId="1862819071">
    <w:abstractNumId w:val="0"/>
  </w:num>
  <w:num w:numId="47" w16cid:durableId="1373460879">
    <w:abstractNumId w:val="0"/>
  </w:num>
  <w:num w:numId="48" w16cid:durableId="71509482">
    <w:abstractNumId w:val="0"/>
  </w:num>
  <w:num w:numId="49" w16cid:durableId="830176939">
    <w:abstractNumId w:val="0"/>
  </w:num>
  <w:num w:numId="50" w16cid:durableId="1178037045">
    <w:abstractNumId w:val="0"/>
  </w:num>
  <w:num w:numId="51" w16cid:durableId="106776792">
    <w:abstractNumId w:val="0"/>
  </w:num>
  <w:num w:numId="52" w16cid:durableId="855383827">
    <w:abstractNumId w:val="0"/>
  </w:num>
  <w:num w:numId="53" w16cid:durableId="1905604023">
    <w:abstractNumId w:val="0"/>
  </w:num>
  <w:num w:numId="54" w16cid:durableId="1293900230">
    <w:abstractNumId w:val="0"/>
  </w:num>
  <w:num w:numId="55" w16cid:durableId="1264728007">
    <w:abstractNumId w:val="0"/>
  </w:num>
  <w:num w:numId="56" w16cid:durableId="1799833000">
    <w:abstractNumId w:val="0"/>
  </w:num>
  <w:num w:numId="57" w16cid:durableId="182596626">
    <w:abstractNumId w:val="0"/>
  </w:num>
  <w:num w:numId="58" w16cid:durableId="1024744912">
    <w:abstractNumId w:val="0"/>
  </w:num>
  <w:num w:numId="59" w16cid:durableId="208806598">
    <w:abstractNumId w:val="0"/>
  </w:num>
  <w:num w:numId="60" w16cid:durableId="725223121">
    <w:abstractNumId w:val="0"/>
  </w:num>
  <w:num w:numId="61" w16cid:durableId="255867470">
    <w:abstractNumId w:val="0"/>
  </w:num>
  <w:num w:numId="62" w16cid:durableId="194005311">
    <w:abstractNumId w:val="0"/>
  </w:num>
  <w:num w:numId="63" w16cid:durableId="305475445">
    <w:abstractNumId w:val="0"/>
  </w:num>
  <w:num w:numId="64" w16cid:durableId="1143812714">
    <w:abstractNumId w:val="0"/>
  </w:num>
  <w:num w:numId="65" w16cid:durableId="326329120">
    <w:abstractNumId w:val="0"/>
  </w:num>
  <w:num w:numId="66" w16cid:durableId="35130695">
    <w:abstractNumId w:val="0"/>
  </w:num>
  <w:num w:numId="67" w16cid:durableId="1217398100">
    <w:abstractNumId w:val="0"/>
  </w:num>
  <w:num w:numId="68" w16cid:durableId="833837516">
    <w:abstractNumId w:val="0"/>
  </w:num>
  <w:num w:numId="69" w16cid:durableId="407843462">
    <w:abstractNumId w:val="0"/>
  </w:num>
  <w:num w:numId="70" w16cid:durableId="1051152305">
    <w:abstractNumId w:val="0"/>
  </w:num>
  <w:num w:numId="71" w16cid:durableId="286474547">
    <w:abstractNumId w:val="0"/>
  </w:num>
  <w:num w:numId="72" w16cid:durableId="494805584">
    <w:abstractNumId w:val="0"/>
  </w:num>
  <w:num w:numId="73" w16cid:durableId="1526678471">
    <w:abstractNumId w:val="0"/>
  </w:num>
  <w:num w:numId="74" w16cid:durableId="2142142271">
    <w:abstractNumId w:val="0"/>
  </w:num>
  <w:num w:numId="75" w16cid:durableId="1218976724">
    <w:abstractNumId w:val="0"/>
  </w:num>
  <w:num w:numId="76" w16cid:durableId="318461070">
    <w:abstractNumId w:val="0"/>
  </w:num>
  <w:num w:numId="77" w16cid:durableId="577641144">
    <w:abstractNumId w:val="0"/>
  </w:num>
  <w:num w:numId="78" w16cid:durableId="1341661134">
    <w:abstractNumId w:val="0"/>
  </w:num>
  <w:num w:numId="79" w16cid:durableId="1788618501">
    <w:abstractNumId w:val="0"/>
  </w:num>
  <w:num w:numId="80" w16cid:durableId="393048477">
    <w:abstractNumId w:val="0"/>
  </w:num>
  <w:num w:numId="81" w16cid:durableId="998777234">
    <w:abstractNumId w:val="0"/>
  </w:num>
  <w:num w:numId="82" w16cid:durableId="1188904414">
    <w:abstractNumId w:val="0"/>
  </w:num>
  <w:num w:numId="83" w16cid:durableId="32972110">
    <w:abstractNumId w:val="0"/>
  </w:num>
  <w:num w:numId="84" w16cid:durableId="1611936768">
    <w:abstractNumId w:val="0"/>
  </w:num>
  <w:num w:numId="85" w16cid:durableId="841893527">
    <w:abstractNumId w:val="0"/>
  </w:num>
  <w:num w:numId="86" w16cid:durableId="117920357">
    <w:abstractNumId w:val="0"/>
  </w:num>
  <w:num w:numId="87" w16cid:durableId="1575778975">
    <w:abstractNumId w:val="0"/>
  </w:num>
  <w:num w:numId="88" w16cid:durableId="561402459">
    <w:abstractNumId w:val="0"/>
  </w:num>
  <w:num w:numId="89" w16cid:durableId="1337348149">
    <w:abstractNumId w:val="0"/>
  </w:num>
  <w:num w:numId="90" w16cid:durableId="1209533143">
    <w:abstractNumId w:val="0"/>
  </w:num>
  <w:num w:numId="91" w16cid:durableId="1289319066">
    <w:abstractNumId w:val="0"/>
  </w:num>
  <w:num w:numId="92" w16cid:durableId="989402276">
    <w:abstractNumId w:val="0"/>
  </w:num>
  <w:num w:numId="93" w16cid:durableId="426972642">
    <w:abstractNumId w:val="0"/>
  </w:num>
  <w:num w:numId="94" w16cid:durableId="1206674083">
    <w:abstractNumId w:val="0"/>
  </w:num>
  <w:num w:numId="95" w16cid:durableId="1861623787">
    <w:abstractNumId w:val="0"/>
  </w:num>
  <w:num w:numId="96" w16cid:durableId="1099913365">
    <w:abstractNumId w:val="0"/>
  </w:num>
  <w:num w:numId="97" w16cid:durableId="808786021">
    <w:abstractNumId w:val="0"/>
  </w:num>
  <w:num w:numId="98" w16cid:durableId="64494779">
    <w:abstractNumId w:val="0"/>
  </w:num>
  <w:num w:numId="99" w16cid:durableId="358745673">
    <w:abstractNumId w:val="0"/>
  </w:num>
  <w:num w:numId="100" w16cid:durableId="1765295463">
    <w:abstractNumId w:val="0"/>
  </w:num>
  <w:num w:numId="101" w16cid:durableId="997416209">
    <w:abstractNumId w:val="0"/>
  </w:num>
  <w:num w:numId="102" w16cid:durableId="1517842537">
    <w:abstractNumId w:val="0"/>
  </w:num>
  <w:num w:numId="103" w16cid:durableId="198974073">
    <w:abstractNumId w:val="0"/>
  </w:num>
  <w:num w:numId="104" w16cid:durableId="1474516585">
    <w:abstractNumId w:val="0"/>
  </w:num>
  <w:num w:numId="105" w16cid:durableId="786311143">
    <w:abstractNumId w:val="0"/>
  </w:num>
  <w:num w:numId="106" w16cid:durableId="1358461106">
    <w:abstractNumId w:val="0"/>
  </w:num>
  <w:num w:numId="107" w16cid:durableId="1365250789">
    <w:abstractNumId w:val="0"/>
  </w:num>
  <w:num w:numId="108" w16cid:durableId="1469861206">
    <w:abstractNumId w:val="0"/>
  </w:num>
  <w:num w:numId="109" w16cid:durableId="325212979">
    <w:abstractNumId w:val="0"/>
  </w:num>
  <w:num w:numId="110" w16cid:durableId="2054648484">
    <w:abstractNumId w:val="0"/>
  </w:num>
  <w:num w:numId="111" w16cid:durableId="2061778676">
    <w:abstractNumId w:val="0"/>
  </w:num>
  <w:num w:numId="112" w16cid:durableId="638463776">
    <w:abstractNumId w:val="0"/>
  </w:num>
  <w:num w:numId="113" w16cid:durableId="1946575887">
    <w:abstractNumId w:val="0"/>
  </w:num>
  <w:num w:numId="114" w16cid:durableId="551814180">
    <w:abstractNumId w:val="0"/>
  </w:num>
  <w:num w:numId="115" w16cid:durableId="1290863244">
    <w:abstractNumId w:val="0"/>
  </w:num>
  <w:num w:numId="116" w16cid:durableId="262228592">
    <w:abstractNumId w:val="0"/>
  </w:num>
  <w:num w:numId="117" w16cid:durableId="474108921">
    <w:abstractNumId w:val="0"/>
  </w:num>
  <w:num w:numId="118" w16cid:durableId="2038312436">
    <w:abstractNumId w:val="0"/>
  </w:num>
  <w:num w:numId="119" w16cid:durableId="853763580">
    <w:abstractNumId w:val="0"/>
  </w:num>
  <w:num w:numId="120" w16cid:durableId="769080690">
    <w:abstractNumId w:val="0"/>
  </w:num>
  <w:num w:numId="121" w16cid:durableId="483401510">
    <w:abstractNumId w:val="0"/>
  </w:num>
  <w:num w:numId="122" w16cid:durableId="1802310618">
    <w:abstractNumId w:val="0"/>
  </w:num>
  <w:num w:numId="123" w16cid:durableId="2083792940">
    <w:abstractNumId w:val="0"/>
  </w:num>
  <w:num w:numId="124" w16cid:durableId="1236629540">
    <w:abstractNumId w:val="0"/>
  </w:num>
  <w:num w:numId="125" w16cid:durableId="665521619">
    <w:abstractNumId w:val="0"/>
  </w:num>
  <w:num w:numId="126" w16cid:durableId="2099328917">
    <w:abstractNumId w:val="0"/>
  </w:num>
  <w:num w:numId="127" w16cid:durableId="504128979">
    <w:abstractNumId w:val="0"/>
  </w:num>
  <w:num w:numId="128" w16cid:durableId="1611859600">
    <w:abstractNumId w:val="0"/>
  </w:num>
  <w:num w:numId="129" w16cid:durableId="1948543112">
    <w:abstractNumId w:val="0"/>
  </w:num>
  <w:num w:numId="130" w16cid:durableId="911281812">
    <w:abstractNumId w:val="0"/>
  </w:num>
  <w:num w:numId="131" w16cid:durableId="5181681">
    <w:abstractNumId w:val="0"/>
  </w:num>
  <w:num w:numId="132" w16cid:durableId="1679036682">
    <w:abstractNumId w:val="0"/>
  </w:num>
  <w:num w:numId="133" w16cid:durableId="11037108">
    <w:abstractNumId w:val="0"/>
  </w:num>
  <w:num w:numId="134" w16cid:durableId="1037698986">
    <w:abstractNumId w:val="0"/>
  </w:num>
  <w:num w:numId="135" w16cid:durableId="212622516">
    <w:abstractNumId w:val="0"/>
  </w:num>
  <w:num w:numId="136" w16cid:durableId="1155295883">
    <w:abstractNumId w:val="0"/>
  </w:num>
  <w:num w:numId="137" w16cid:durableId="574704654">
    <w:abstractNumId w:val="0"/>
  </w:num>
  <w:num w:numId="138" w16cid:durableId="1199925807">
    <w:abstractNumId w:val="0"/>
  </w:num>
  <w:num w:numId="139" w16cid:durableId="2098282408">
    <w:abstractNumId w:val="0"/>
  </w:num>
  <w:num w:numId="140" w16cid:durableId="1827821437">
    <w:abstractNumId w:val="0"/>
  </w:num>
  <w:num w:numId="141" w16cid:durableId="975992006">
    <w:abstractNumId w:val="0"/>
  </w:num>
  <w:num w:numId="142" w16cid:durableId="778598713">
    <w:abstractNumId w:val="0"/>
  </w:num>
  <w:num w:numId="143" w16cid:durableId="212665866">
    <w:abstractNumId w:val="0"/>
  </w:num>
  <w:num w:numId="144" w16cid:durableId="206601023">
    <w:abstractNumId w:val="0"/>
  </w:num>
  <w:num w:numId="145" w16cid:durableId="1668246768">
    <w:abstractNumId w:val="0"/>
  </w:num>
  <w:num w:numId="146" w16cid:durableId="682821996">
    <w:abstractNumId w:val="0"/>
  </w:num>
  <w:num w:numId="147" w16cid:durableId="1727339152">
    <w:abstractNumId w:val="0"/>
  </w:num>
  <w:num w:numId="148" w16cid:durableId="1833909412">
    <w:abstractNumId w:val="0"/>
  </w:num>
  <w:num w:numId="149" w16cid:durableId="963118490">
    <w:abstractNumId w:val="0"/>
  </w:num>
  <w:num w:numId="150" w16cid:durableId="1248463195">
    <w:abstractNumId w:val="0"/>
  </w:num>
  <w:num w:numId="151" w16cid:durableId="815218967">
    <w:abstractNumId w:val="0"/>
  </w:num>
  <w:num w:numId="152" w16cid:durableId="801505798">
    <w:abstractNumId w:val="0"/>
  </w:num>
  <w:num w:numId="153" w16cid:durableId="1098527508">
    <w:abstractNumId w:val="0"/>
  </w:num>
  <w:num w:numId="154" w16cid:durableId="58524438">
    <w:abstractNumId w:val="0"/>
  </w:num>
  <w:num w:numId="155" w16cid:durableId="1581717653">
    <w:abstractNumId w:val="0"/>
  </w:num>
  <w:num w:numId="156" w16cid:durableId="520901274">
    <w:abstractNumId w:val="0"/>
  </w:num>
  <w:num w:numId="157" w16cid:durableId="32779817">
    <w:abstractNumId w:val="0"/>
  </w:num>
  <w:num w:numId="158" w16cid:durableId="1183133090">
    <w:abstractNumId w:val="0"/>
  </w:num>
  <w:num w:numId="159" w16cid:durableId="1422338615">
    <w:abstractNumId w:val="0"/>
  </w:num>
  <w:num w:numId="160" w16cid:durableId="1781490189">
    <w:abstractNumId w:val="0"/>
  </w:num>
  <w:num w:numId="161" w16cid:durableId="518004518">
    <w:abstractNumId w:val="0"/>
  </w:num>
  <w:num w:numId="162" w16cid:durableId="1034843466">
    <w:abstractNumId w:val="0"/>
  </w:num>
  <w:num w:numId="163" w16cid:durableId="1581677039">
    <w:abstractNumId w:val="0"/>
  </w:num>
  <w:num w:numId="164" w16cid:durableId="1741051112">
    <w:abstractNumId w:val="0"/>
  </w:num>
  <w:num w:numId="165" w16cid:durableId="613099759">
    <w:abstractNumId w:val="0"/>
  </w:num>
  <w:num w:numId="166" w16cid:durableId="1739785024">
    <w:abstractNumId w:val="0"/>
  </w:num>
  <w:num w:numId="167" w16cid:durableId="1860002530">
    <w:abstractNumId w:val="0"/>
  </w:num>
  <w:num w:numId="168" w16cid:durableId="919217059">
    <w:abstractNumId w:val="0"/>
  </w:num>
  <w:num w:numId="169" w16cid:durableId="1650599793">
    <w:abstractNumId w:val="0"/>
  </w:num>
  <w:num w:numId="170" w16cid:durableId="768504234">
    <w:abstractNumId w:val="0"/>
  </w:num>
  <w:num w:numId="171" w16cid:durableId="761296080">
    <w:abstractNumId w:val="0"/>
  </w:num>
  <w:num w:numId="172" w16cid:durableId="952900459">
    <w:abstractNumId w:val="0"/>
  </w:num>
  <w:num w:numId="173" w16cid:durableId="914895949">
    <w:abstractNumId w:val="0"/>
  </w:num>
  <w:num w:numId="174" w16cid:durableId="764615606">
    <w:abstractNumId w:val="0"/>
  </w:num>
  <w:num w:numId="175" w16cid:durableId="128473537">
    <w:abstractNumId w:val="0"/>
  </w:num>
  <w:num w:numId="176" w16cid:durableId="1785998127">
    <w:abstractNumId w:val="0"/>
  </w:num>
  <w:num w:numId="177" w16cid:durableId="635532155">
    <w:abstractNumId w:val="0"/>
  </w:num>
  <w:num w:numId="178" w16cid:durableId="392704765">
    <w:abstractNumId w:val="0"/>
  </w:num>
  <w:num w:numId="179" w16cid:durableId="1789425946">
    <w:abstractNumId w:val="0"/>
  </w:num>
  <w:num w:numId="180" w16cid:durableId="874466602">
    <w:abstractNumId w:val="0"/>
  </w:num>
  <w:num w:numId="181" w16cid:durableId="1124497177">
    <w:abstractNumId w:val="0"/>
  </w:num>
  <w:num w:numId="182" w16cid:durableId="1087387559">
    <w:abstractNumId w:val="0"/>
  </w:num>
  <w:num w:numId="183" w16cid:durableId="1589653558">
    <w:abstractNumId w:val="0"/>
  </w:num>
  <w:num w:numId="184" w16cid:durableId="1758165374">
    <w:abstractNumId w:val="0"/>
  </w:num>
  <w:num w:numId="185" w16cid:durableId="1210453600">
    <w:abstractNumId w:val="0"/>
  </w:num>
  <w:num w:numId="186" w16cid:durableId="1664698088">
    <w:abstractNumId w:val="0"/>
  </w:num>
  <w:num w:numId="187" w16cid:durableId="2007586425">
    <w:abstractNumId w:val="0"/>
  </w:num>
  <w:num w:numId="188" w16cid:durableId="1607931350">
    <w:abstractNumId w:val="0"/>
  </w:num>
  <w:num w:numId="189" w16cid:durableId="1309627798">
    <w:abstractNumId w:val="0"/>
  </w:num>
  <w:num w:numId="190" w16cid:durableId="1570770455">
    <w:abstractNumId w:val="0"/>
  </w:num>
  <w:num w:numId="191" w16cid:durableId="1092974127">
    <w:abstractNumId w:val="0"/>
  </w:num>
  <w:num w:numId="192" w16cid:durableId="1673099857">
    <w:abstractNumId w:val="0"/>
  </w:num>
  <w:num w:numId="193" w16cid:durableId="568151080">
    <w:abstractNumId w:val="0"/>
  </w:num>
  <w:num w:numId="194" w16cid:durableId="220214001">
    <w:abstractNumId w:val="0"/>
  </w:num>
  <w:num w:numId="195" w16cid:durableId="361707699">
    <w:abstractNumId w:val="0"/>
  </w:num>
  <w:num w:numId="196" w16cid:durableId="1473521361">
    <w:abstractNumId w:val="0"/>
  </w:num>
  <w:num w:numId="197" w16cid:durableId="1354306499">
    <w:abstractNumId w:val="0"/>
  </w:num>
  <w:num w:numId="198" w16cid:durableId="1241479551">
    <w:abstractNumId w:val="0"/>
  </w:num>
  <w:num w:numId="199" w16cid:durableId="258678872">
    <w:abstractNumId w:val="0"/>
  </w:num>
  <w:num w:numId="200" w16cid:durableId="304742886">
    <w:abstractNumId w:val="0"/>
  </w:num>
  <w:num w:numId="201" w16cid:durableId="512452823">
    <w:abstractNumId w:val="0"/>
  </w:num>
  <w:num w:numId="202" w16cid:durableId="663552238">
    <w:abstractNumId w:val="0"/>
  </w:num>
  <w:num w:numId="203" w16cid:durableId="933633728">
    <w:abstractNumId w:val="0"/>
  </w:num>
  <w:num w:numId="204" w16cid:durableId="1734037046">
    <w:abstractNumId w:val="0"/>
  </w:num>
  <w:num w:numId="205" w16cid:durableId="1207991507">
    <w:abstractNumId w:val="0"/>
  </w:num>
  <w:num w:numId="206" w16cid:durableId="816803864">
    <w:abstractNumId w:val="0"/>
  </w:num>
  <w:num w:numId="207" w16cid:durableId="1326858252">
    <w:abstractNumId w:val="0"/>
  </w:num>
  <w:num w:numId="208" w16cid:durableId="1099911930">
    <w:abstractNumId w:val="0"/>
  </w:num>
  <w:num w:numId="209" w16cid:durableId="236481906">
    <w:abstractNumId w:val="0"/>
  </w:num>
  <w:num w:numId="210" w16cid:durableId="225531188">
    <w:abstractNumId w:val="0"/>
  </w:num>
  <w:num w:numId="211" w16cid:durableId="2008826195">
    <w:abstractNumId w:val="0"/>
  </w:num>
  <w:num w:numId="212" w16cid:durableId="1906330185">
    <w:abstractNumId w:val="0"/>
  </w:num>
  <w:num w:numId="213" w16cid:durableId="229845976">
    <w:abstractNumId w:val="0"/>
  </w:num>
  <w:num w:numId="214" w16cid:durableId="902716034">
    <w:abstractNumId w:val="0"/>
  </w:num>
  <w:num w:numId="215" w16cid:durableId="2132285273">
    <w:abstractNumId w:val="0"/>
  </w:num>
  <w:num w:numId="216" w16cid:durableId="936716243">
    <w:abstractNumId w:val="0"/>
  </w:num>
  <w:num w:numId="217" w16cid:durableId="1430392856">
    <w:abstractNumId w:val="0"/>
  </w:num>
  <w:num w:numId="218" w16cid:durableId="235365005">
    <w:abstractNumId w:val="0"/>
  </w:num>
  <w:num w:numId="219" w16cid:durableId="104230117">
    <w:abstractNumId w:val="0"/>
  </w:num>
  <w:num w:numId="220" w16cid:durableId="435370350">
    <w:abstractNumId w:val="0"/>
  </w:num>
  <w:num w:numId="221" w16cid:durableId="780153378">
    <w:abstractNumId w:val="0"/>
  </w:num>
  <w:num w:numId="222" w16cid:durableId="623315461">
    <w:abstractNumId w:val="0"/>
  </w:num>
  <w:num w:numId="223" w16cid:durableId="2094937114">
    <w:abstractNumId w:val="0"/>
  </w:num>
  <w:num w:numId="224" w16cid:durableId="1100685745">
    <w:abstractNumId w:val="0"/>
  </w:num>
  <w:num w:numId="225" w16cid:durableId="18170236">
    <w:abstractNumId w:val="0"/>
  </w:num>
  <w:num w:numId="226" w16cid:durableId="463357131">
    <w:abstractNumId w:val="0"/>
  </w:num>
  <w:num w:numId="227" w16cid:durableId="760493733">
    <w:abstractNumId w:val="0"/>
  </w:num>
  <w:num w:numId="228" w16cid:durableId="200747895">
    <w:abstractNumId w:val="0"/>
  </w:num>
  <w:num w:numId="229" w16cid:durableId="2000302187">
    <w:abstractNumId w:val="0"/>
  </w:num>
  <w:num w:numId="230" w16cid:durableId="313484396">
    <w:abstractNumId w:val="0"/>
  </w:num>
  <w:num w:numId="231" w16cid:durableId="587035536">
    <w:abstractNumId w:val="0"/>
  </w:num>
  <w:num w:numId="232" w16cid:durableId="279802738">
    <w:abstractNumId w:val="0"/>
  </w:num>
  <w:num w:numId="233" w16cid:durableId="1063335822">
    <w:abstractNumId w:val="0"/>
  </w:num>
  <w:num w:numId="234" w16cid:durableId="414670664">
    <w:abstractNumId w:val="0"/>
  </w:num>
  <w:num w:numId="235" w16cid:durableId="1823353790">
    <w:abstractNumId w:val="0"/>
  </w:num>
  <w:num w:numId="236" w16cid:durableId="129640954">
    <w:abstractNumId w:val="0"/>
  </w:num>
  <w:num w:numId="237" w16cid:durableId="1877346103">
    <w:abstractNumId w:val="0"/>
  </w:num>
  <w:num w:numId="238" w16cid:durableId="1615166513">
    <w:abstractNumId w:val="0"/>
  </w:num>
  <w:num w:numId="239" w16cid:durableId="1374305898">
    <w:abstractNumId w:val="0"/>
  </w:num>
  <w:num w:numId="240" w16cid:durableId="491871252">
    <w:abstractNumId w:val="0"/>
  </w:num>
  <w:num w:numId="241" w16cid:durableId="1996375659">
    <w:abstractNumId w:val="0"/>
  </w:num>
  <w:num w:numId="242" w16cid:durableId="1082528966">
    <w:abstractNumId w:val="0"/>
  </w:num>
  <w:num w:numId="243" w16cid:durableId="963003406">
    <w:abstractNumId w:val="0"/>
  </w:num>
  <w:num w:numId="244" w16cid:durableId="2087611305">
    <w:abstractNumId w:val="0"/>
  </w:num>
  <w:num w:numId="245" w16cid:durableId="359622452">
    <w:abstractNumId w:val="0"/>
  </w:num>
  <w:num w:numId="246" w16cid:durableId="941189316">
    <w:abstractNumId w:val="0"/>
  </w:num>
  <w:num w:numId="247" w16cid:durableId="1009867222">
    <w:abstractNumId w:val="0"/>
  </w:num>
  <w:num w:numId="248" w16cid:durableId="529225159">
    <w:abstractNumId w:val="0"/>
  </w:num>
  <w:num w:numId="249" w16cid:durableId="891118641">
    <w:abstractNumId w:val="0"/>
  </w:num>
  <w:num w:numId="250" w16cid:durableId="1376343857">
    <w:abstractNumId w:val="0"/>
  </w:num>
  <w:num w:numId="251" w16cid:durableId="86075538">
    <w:abstractNumId w:val="0"/>
  </w:num>
  <w:num w:numId="252" w16cid:durableId="969897797">
    <w:abstractNumId w:val="0"/>
  </w:num>
  <w:num w:numId="253" w16cid:durableId="1109858845">
    <w:abstractNumId w:val="0"/>
  </w:num>
  <w:num w:numId="254" w16cid:durableId="1846894475">
    <w:abstractNumId w:val="0"/>
  </w:num>
  <w:num w:numId="255" w16cid:durableId="1519150290">
    <w:abstractNumId w:val="0"/>
  </w:num>
  <w:num w:numId="256" w16cid:durableId="790589331">
    <w:abstractNumId w:val="0"/>
  </w:num>
  <w:num w:numId="257" w16cid:durableId="652834737">
    <w:abstractNumId w:val="0"/>
  </w:num>
  <w:num w:numId="258" w16cid:durableId="622150568">
    <w:abstractNumId w:val="0"/>
  </w:num>
  <w:num w:numId="259" w16cid:durableId="414865335">
    <w:abstractNumId w:val="0"/>
  </w:num>
  <w:num w:numId="260" w16cid:durableId="1008291676">
    <w:abstractNumId w:val="0"/>
  </w:num>
  <w:num w:numId="261" w16cid:durableId="1497845863">
    <w:abstractNumId w:val="0"/>
  </w:num>
  <w:num w:numId="262" w16cid:durableId="1197231728">
    <w:abstractNumId w:val="0"/>
  </w:num>
  <w:num w:numId="263" w16cid:durableId="1453524252">
    <w:abstractNumId w:val="0"/>
  </w:num>
  <w:num w:numId="264" w16cid:durableId="190605441">
    <w:abstractNumId w:val="0"/>
  </w:num>
  <w:num w:numId="265" w16cid:durableId="1207253816">
    <w:abstractNumId w:val="0"/>
  </w:num>
  <w:num w:numId="266" w16cid:durableId="614866865">
    <w:abstractNumId w:val="0"/>
  </w:num>
  <w:num w:numId="267" w16cid:durableId="1887795892">
    <w:abstractNumId w:val="0"/>
  </w:num>
  <w:num w:numId="268" w16cid:durableId="1199859818">
    <w:abstractNumId w:val="0"/>
  </w:num>
  <w:num w:numId="269" w16cid:durableId="1547064120">
    <w:abstractNumId w:val="0"/>
  </w:num>
  <w:num w:numId="270" w16cid:durableId="1057624305">
    <w:abstractNumId w:val="0"/>
  </w:num>
  <w:num w:numId="271" w16cid:durableId="1744184782">
    <w:abstractNumId w:val="0"/>
  </w:num>
  <w:num w:numId="272" w16cid:durableId="139932470">
    <w:abstractNumId w:val="0"/>
  </w:num>
  <w:num w:numId="273" w16cid:durableId="164787655">
    <w:abstractNumId w:val="0"/>
  </w:num>
  <w:num w:numId="274" w16cid:durableId="920991604">
    <w:abstractNumId w:val="0"/>
  </w:num>
  <w:num w:numId="275" w16cid:durableId="2136096958">
    <w:abstractNumId w:val="0"/>
  </w:num>
  <w:num w:numId="276" w16cid:durableId="1781219109">
    <w:abstractNumId w:val="0"/>
  </w:num>
  <w:num w:numId="277" w16cid:durableId="1361277335">
    <w:abstractNumId w:val="0"/>
  </w:num>
  <w:num w:numId="278" w16cid:durableId="2045594038">
    <w:abstractNumId w:val="0"/>
  </w:num>
  <w:num w:numId="279" w16cid:durableId="334069053">
    <w:abstractNumId w:val="0"/>
  </w:num>
  <w:num w:numId="280" w16cid:durableId="1281454063">
    <w:abstractNumId w:val="0"/>
  </w:num>
  <w:num w:numId="281" w16cid:durableId="258175110">
    <w:abstractNumId w:val="0"/>
  </w:num>
  <w:num w:numId="282" w16cid:durableId="1178471805">
    <w:abstractNumId w:val="0"/>
  </w:num>
  <w:num w:numId="283" w16cid:durableId="258490370">
    <w:abstractNumId w:val="0"/>
  </w:num>
  <w:num w:numId="284" w16cid:durableId="1353652719">
    <w:abstractNumId w:val="0"/>
  </w:num>
  <w:num w:numId="285" w16cid:durableId="1830946148">
    <w:abstractNumId w:val="0"/>
  </w:num>
  <w:num w:numId="286" w16cid:durableId="1274826163">
    <w:abstractNumId w:val="0"/>
  </w:num>
  <w:num w:numId="287" w16cid:durableId="1902323584">
    <w:abstractNumId w:val="0"/>
  </w:num>
  <w:num w:numId="288" w16cid:durableId="1822187359">
    <w:abstractNumId w:val="0"/>
  </w:num>
  <w:num w:numId="289" w16cid:durableId="45030893">
    <w:abstractNumId w:val="0"/>
  </w:num>
  <w:num w:numId="290" w16cid:durableId="4214246">
    <w:abstractNumId w:val="0"/>
  </w:num>
  <w:num w:numId="291" w16cid:durableId="1858691837">
    <w:abstractNumId w:val="0"/>
  </w:num>
  <w:num w:numId="292" w16cid:durableId="561906875">
    <w:abstractNumId w:val="0"/>
  </w:num>
  <w:num w:numId="293" w16cid:durableId="945692195">
    <w:abstractNumId w:val="0"/>
  </w:num>
  <w:num w:numId="294" w16cid:durableId="2126656748">
    <w:abstractNumId w:val="0"/>
  </w:num>
  <w:num w:numId="295" w16cid:durableId="917981918">
    <w:abstractNumId w:val="0"/>
  </w:num>
  <w:num w:numId="296" w16cid:durableId="204610148">
    <w:abstractNumId w:val="0"/>
  </w:num>
  <w:num w:numId="297" w16cid:durableId="91828134">
    <w:abstractNumId w:val="0"/>
  </w:num>
  <w:num w:numId="298" w16cid:durableId="518080270">
    <w:abstractNumId w:val="0"/>
  </w:num>
  <w:num w:numId="299" w16cid:durableId="1498375473">
    <w:abstractNumId w:val="0"/>
  </w:num>
  <w:num w:numId="300" w16cid:durableId="1611203628">
    <w:abstractNumId w:val="0"/>
  </w:num>
  <w:num w:numId="301" w16cid:durableId="714890656">
    <w:abstractNumId w:val="0"/>
  </w:num>
  <w:num w:numId="302" w16cid:durableId="1523008840">
    <w:abstractNumId w:val="0"/>
  </w:num>
  <w:num w:numId="303" w16cid:durableId="599265389">
    <w:abstractNumId w:val="0"/>
  </w:num>
  <w:num w:numId="304" w16cid:durableId="1473521856">
    <w:abstractNumId w:val="0"/>
  </w:num>
  <w:num w:numId="305" w16cid:durableId="2008629683">
    <w:abstractNumId w:val="10"/>
  </w:num>
  <w:num w:numId="306" w16cid:durableId="1896504312">
    <w:abstractNumId w:val="13"/>
  </w:num>
  <w:num w:numId="307" w16cid:durableId="1604262062">
    <w:abstractNumId w:val="3"/>
  </w:num>
  <w:num w:numId="308" w16cid:durableId="1999845506">
    <w:abstractNumId w:val="5"/>
  </w:num>
  <w:num w:numId="309" w16cid:durableId="243999765">
    <w:abstractNumId w:val="14"/>
  </w:num>
  <w:num w:numId="310" w16cid:durableId="21443024">
    <w:abstractNumId w:val="9"/>
  </w:num>
  <w:num w:numId="311" w16cid:durableId="485904755">
    <w:abstractNumId w:val="12"/>
  </w:num>
  <w:num w:numId="312" w16cid:durableId="1926918986">
    <w:abstractNumId w:val="11"/>
  </w:num>
  <w:num w:numId="313" w16cid:durableId="240986407">
    <w:abstractNumId w:val="2"/>
  </w:num>
  <w:num w:numId="314" w16cid:durableId="584341646">
    <w:abstractNumId w:val="4"/>
  </w:num>
  <w:num w:numId="315" w16cid:durableId="1526822917">
    <w:abstractNumId w:val="7"/>
  </w:num>
  <w:num w:numId="316" w16cid:durableId="1999265251">
    <w:abstractNumId w:val="6"/>
  </w:num>
  <w:num w:numId="317" w16cid:durableId="613290142">
    <w:abstractNumId w:val="8"/>
  </w:num>
  <w:numIdMacAtCleanup w:val="3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rine Léonard Brouillet (elle, la | she, her)">
    <w15:presenceInfo w15:providerId="AD" w15:userId="S::karine.leonardbrouillet@pch.gc.ca::873ab9ad-87b3-4386-8b61-4d6f8b678f3d"/>
  </w15:person>
  <w15:person w15:author="Nguyen Khanh Trang Dang (elle, la | she, her)">
    <w15:presenceInfo w15:providerId="AD" w15:userId="S::nguyenkhanhtrang.dang@pch.gc.ca::27b26b1c-b2f1-4847-8ff6-9adfd074a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autoHyphenation/>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89F"/>
    <w:rsid w:val="00006E7F"/>
    <w:rsid w:val="00010123"/>
    <w:rsid w:val="000104F3"/>
    <w:rsid w:val="0002044A"/>
    <w:rsid w:val="00040DE7"/>
    <w:rsid w:val="00077F2E"/>
    <w:rsid w:val="00087CC0"/>
    <w:rsid w:val="000B0D4C"/>
    <w:rsid w:val="000B3238"/>
    <w:rsid w:val="000B56E7"/>
    <w:rsid w:val="000B7F5F"/>
    <w:rsid w:val="000E33C1"/>
    <w:rsid w:val="000F2984"/>
    <w:rsid w:val="00110FE6"/>
    <w:rsid w:val="00123962"/>
    <w:rsid w:val="0012685E"/>
    <w:rsid w:val="00144523"/>
    <w:rsid w:val="001518BC"/>
    <w:rsid w:val="00164DC4"/>
    <w:rsid w:val="00167806"/>
    <w:rsid w:val="0018763F"/>
    <w:rsid w:val="00195F1D"/>
    <w:rsid w:val="001B7C5E"/>
    <w:rsid w:val="001C103C"/>
    <w:rsid w:val="001D0330"/>
    <w:rsid w:val="001D0D1A"/>
    <w:rsid w:val="001F33A1"/>
    <w:rsid w:val="001F3E27"/>
    <w:rsid w:val="00201C99"/>
    <w:rsid w:val="00203239"/>
    <w:rsid w:val="00247BBF"/>
    <w:rsid w:val="00260129"/>
    <w:rsid w:val="0026614B"/>
    <w:rsid w:val="002B076B"/>
    <w:rsid w:val="002B2AA3"/>
    <w:rsid w:val="002C2B0B"/>
    <w:rsid w:val="00313A65"/>
    <w:rsid w:val="00333C88"/>
    <w:rsid w:val="00343A4D"/>
    <w:rsid w:val="00352698"/>
    <w:rsid w:val="00370ABB"/>
    <w:rsid w:val="00380007"/>
    <w:rsid w:val="00387EC5"/>
    <w:rsid w:val="003A1237"/>
    <w:rsid w:val="004454E2"/>
    <w:rsid w:val="00453C68"/>
    <w:rsid w:val="0047520B"/>
    <w:rsid w:val="004A6B94"/>
    <w:rsid w:val="004B3A8C"/>
    <w:rsid w:val="004B7BCB"/>
    <w:rsid w:val="004D51C0"/>
    <w:rsid w:val="004E8656"/>
    <w:rsid w:val="004F1EE3"/>
    <w:rsid w:val="005067CD"/>
    <w:rsid w:val="00506FAF"/>
    <w:rsid w:val="0054555C"/>
    <w:rsid w:val="005665EC"/>
    <w:rsid w:val="005A40BA"/>
    <w:rsid w:val="005B66E4"/>
    <w:rsid w:val="005B7697"/>
    <w:rsid w:val="005D75A2"/>
    <w:rsid w:val="005E2D08"/>
    <w:rsid w:val="005E3B93"/>
    <w:rsid w:val="005F05AA"/>
    <w:rsid w:val="005F2ABE"/>
    <w:rsid w:val="0060792A"/>
    <w:rsid w:val="00610601"/>
    <w:rsid w:val="006159DC"/>
    <w:rsid w:val="00655687"/>
    <w:rsid w:val="00665C52"/>
    <w:rsid w:val="00672E90"/>
    <w:rsid w:val="006774E3"/>
    <w:rsid w:val="0068530E"/>
    <w:rsid w:val="006912B7"/>
    <w:rsid w:val="006D6691"/>
    <w:rsid w:val="0076137A"/>
    <w:rsid w:val="00761A30"/>
    <w:rsid w:val="00795FCA"/>
    <w:rsid w:val="007B65FC"/>
    <w:rsid w:val="007D26D7"/>
    <w:rsid w:val="007E0C6F"/>
    <w:rsid w:val="007F7F4E"/>
    <w:rsid w:val="00806324"/>
    <w:rsid w:val="00807CDC"/>
    <w:rsid w:val="00824629"/>
    <w:rsid w:val="0084489F"/>
    <w:rsid w:val="00854D93"/>
    <w:rsid w:val="0086641D"/>
    <w:rsid w:val="00876DFA"/>
    <w:rsid w:val="00887493"/>
    <w:rsid w:val="008A23B2"/>
    <w:rsid w:val="008A42AB"/>
    <w:rsid w:val="008B3FB9"/>
    <w:rsid w:val="008B7E0F"/>
    <w:rsid w:val="008C0D99"/>
    <w:rsid w:val="008D4435"/>
    <w:rsid w:val="008D6B6D"/>
    <w:rsid w:val="008F22EC"/>
    <w:rsid w:val="0090744B"/>
    <w:rsid w:val="00916A1D"/>
    <w:rsid w:val="00925724"/>
    <w:rsid w:val="00962000"/>
    <w:rsid w:val="00967150"/>
    <w:rsid w:val="009A0A20"/>
    <w:rsid w:val="009D0EAD"/>
    <w:rsid w:val="009F071C"/>
    <w:rsid w:val="009F4939"/>
    <w:rsid w:val="00A16253"/>
    <w:rsid w:val="00A23D48"/>
    <w:rsid w:val="00A414AC"/>
    <w:rsid w:val="00A53FCB"/>
    <w:rsid w:val="00AB28D9"/>
    <w:rsid w:val="00AD2802"/>
    <w:rsid w:val="00B46B82"/>
    <w:rsid w:val="00B533DB"/>
    <w:rsid w:val="00B71B36"/>
    <w:rsid w:val="00BC2FCD"/>
    <w:rsid w:val="00BC5C04"/>
    <w:rsid w:val="00C00489"/>
    <w:rsid w:val="00C15228"/>
    <w:rsid w:val="00C41355"/>
    <w:rsid w:val="00C51769"/>
    <w:rsid w:val="00C7130C"/>
    <w:rsid w:val="00C9273F"/>
    <w:rsid w:val="00CC39FB"/>
    <w:rsid w:val="00CD44D3"/>
    <w:rsid w:val="00CD6005"/>
    <w:rsid w:val="00CE7363"/>
    <w:rsid w:val="00D1745F"/>
    <w:rsid w:val="00D214A0"/>
    <w:rsid w:val="00D3035D"/>
    <w:rsid w:val="00D774F7"/>
    <w:rsid w:val="00D805B5"/>
    <w:rsid w:val="00DA3078"/>
    <w:rsid w:val="00DB73A3"/>
    <w:rsid w:val="00DD0D3D"/>
    <w:rsid w:val="00DE210E"/>
    <w:rsid w:val="00DF071D"/>
    <w:rsid w:val="00E23A01"/>
    <w:rsid w:val="00EB6B5D"/>
    <w:rsid w:val="00EE2BB0"/>
    <w:rsid w:val="00EF594B"/>
    <w:rsid w:val="00F061F3"/>
    <w:rsid w:val="00F0771C"/>
    <w:rsid w:val="00F361B3"/>
    <w:rsid w:val="00F40CD2"/>
    <w:rsid w:val="00F41FF7"/>
    <w:rsid w:val="00F448BE"/>
    <w:rsid w:val="00F561E0"/>
    <w:rsid w:val="00F612F1"/>
    <w:rsid w:val="00F65DA5"/>
    <w:rsid w:val="00FA3C06"/>
    <w:rsid w:val="00FC3A52"/>
    <w:rsid w:val="00FD7DFE"/>
    <w:rsid w:val="00FE007F"/>
    <w:rsid w:val="0286B215"/>
    <w:rsid w:val="02C4FD8B"/>
    <w:rsid w:val="03029DB1"/>
    <w:rsid w:val="03576DE7"/>
    <w:rsid w:val="042EDB43"/>
    <w:rsid w:val="071ACC6D"/>
    <w:rsid w:val="08110047"/>
    <w:rsid w:val="0825D72E"/>
    <w:rsid w:val="0CA6F02B"/>
    <w:rsid w:val="10147798"/>
    <w:rsid w:val="1148BE4D"/>
    <w:rsid w:val="11D45812"/>
    <w:rsid w:val="121316AB"/>
    <w:rsid w:val="142891ED"/>
    <w:rsid w:val="18DB194C"/>
    <w:rsid w:val="19D5F20D"/>
    <w:rsid w:val="1AB6E6DB"/>
    <w:rsid w:val="1B20E559"/>
    <w:rsid w:val="1B510771"/>
    <w:rsid w:val="1B9E7434"/>
    <w:rsid w:val="1D6B9106"/>
    <w:rsid w:val="1D89CEC6"/>
    <w:rsid w:val="2418A480"/>
    <w:rsid w:val="246FBB6F"/>
    <w:rsid w:val="2680B860"/>
    <w:rsid w:val="27B1CDE1"/>
    <w:rsid w:val="296B54BA"/>
    <w:rsid w:val="2A5585B9"/>
    <w:rsid w:val="2D4CB30E"/>
    <w:rsid w:val="320689EA"/>
    <w:rsid w:val="32DF344F"/>
    <w:rsid w:val="3391E39C"/>
    <w:rsid w:val="350BBDF4"/>
    <w:rsid w:val="35156D4C"/>
    <w:rsid w:val="375B5BF1"/>
    <w:rsid w:val="384604D8"/>
    <w:rsid w:val="3D46E421"/>
    <w:rsid w:val="3D9DA427"/>
    <w:rsid w:val="3E06EDA2"/>
    <w:rsid w:val="3F057E9E"/>
    <w:rsid w:val="410C0BEF"/>
    <w:rsid w:val="41BD1429"/>
    <w:rsid w:val="4233A0A2"/>
    <w:rsid w:val="42CC54C3"/>
    <w:rsid w:val="4AB636BE"/>
    <w:rsid w:val="4C90AD73"/>
    <w:rsid w:val="4DE3AFAE"/>
    <w:rsid w:val="50969C06"/>
    <w:rsid w:val="50BF3A08"/>
    <w:rsid w:val="5345BB7C"/>
    <w:rsid w:val="535E0233"/>
    <w:rsid w:val="57888E30"/>
    <w:rsid w:val="584C17E5"/>
    <w:rsid w:val="5D7B6CB8"/>
    <w:rsid w:val="5E2E9C7C"/>
    <w:rsid w:val="5F66FF3A"/>
    <w:rsid w:val="60D0545C"/>
    <w:rsid w:val="61ED00BF"/>
    <w:rsid w:val="649BF932"/>
    <w:rsid w:val="692CD7A6"/>
    <w:rsid w:val="6A2EDBA9"/>
    <w:rsid w:val="6A3AC581"/>
    <w:rsid w:val="6BD1DBDB"/>
    <w:rsid w:val="6CA13C73"/>
    <w:rsid w:val="6E5D7753"/>
    <w:rsid w:val="6EE9374B"/>
    <w:rsid w:val="6FF9CFCD"/>
    <w:rsid w:val="73C6DD4C"/>
    <w:rsid w:val="7425CCF5"/>
    <w:rsid w:val="7526A1B0"/>
    <w:rsid w:val="759164A3"/>
    <w:rsid w:val="76757002"/>
    <w:rsid w:val="76955117"/>
    <w:rsid w:val="7AE507D4"/>
    <w:rsid w:val="7B4E6C9E"/>
    <w:rsid w:val="7E7A36EF"/>
    <w:rsid w:val="7F10A32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3B8E6"/>
  <w15:docId w15:val="{6A69EC84-812F-4146-84C9-1CB15D60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 w:eastAsia="en-US" w:bidi="ar-SA"/>
      </w:rPr>
    </w:rPrDefault>
    <w:pPrDefault>
      <w:pPr>
        <w:suppressAutoHyphens/>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style>
  <w:style w:type="paragraph" w:styleId="Heading1">
    <w:name w:val="heading 1"/>
    <w:basedOn w:val="Normal"/>
    <w:next w:val="BodyText"/>
    <w:uiPriority w:val="9"/>
    <w:qFormat/>
    <w:rsid w:val="004D0128"/>
    <w:pPr>
      <w:keepNext/>
      <w:keepLines/>
      <w:spacing w:before="480" w:after="0"/>
      <w:outlineLvl w:val="0"/>
    </w:pPr>
    <w:rPr>
      <w:rFonts w:eastAsiaTheme="majorEastAsia" w:cstheme="majorBidi"/>
      <w:b/>
      <w:bCs/>
      <w:color w:val="000000"/>
      <w:sz w:val="36"/>
      <w:szCs w:val="36"/>
    </w:rPr>
  </w:style>
  <w:style w:type="paragraph" w:styleId="Heading2">
    <w:name w:val="heading 2"/>
    <w:basedOn w:val="Normal"/>
    <w:next w:val="BodyText"/>
    <w:uiPriority w:val="9"/>
    <w:unhideWhenUsed/>
    <w:qFormat/>
    <w:rsid w:val="004D0128"/>
    <w:pPr>
      <w:keepNext/>
      <w:keepLines/>
      <w:spacing w:before="200" w:after="0"/>
      <w:outlineLvl w:val="1"/>
    </w:pPr>
    <w:rPr>
      <w:rFonts w:eastAsiaTheme="majorEastAsia" w:cstheme="majorBidi"/>
      <w:b/>
      <w:bCs/>
      <w:color w:val="000000"/>
      <w:sz w:val="32"/>
      <w:szCs w:val="32"/>
    </w:rPr>
  </w:style>
  <w:style w:type="paragraph" w:styleId="Heading3">
    <w:name w:val="heading 3"/>
    <w:basedOn w:val="Normal"/>
    <w:next w:val="BodyText"/>
    <w:uiPriority w:val="9"/>
    <w:unhideWhenUsed/>
    <w:qFormat/>
    <w:rsid w:val="004D0128"/>
    <w:pPr>
      <w:keepNext/>
      <w:keepLines/>
      <w:spacing w:before="200" w:after="0"/>
      <w:outlineLvl w:val="2"/>
    </w:pPr>
    <w:rPr>
      <w:rFonts w:eastAsiaTheme="majorEastAsia" w:cstheme="majorBidi"/>
      <w:b/>
      <w:bCs/>
      <w:color w:val="000000"/>
      <w:sz w:val="28"/>
      <w:szCs w:val="28"/>
    </w:rPr>
  </w:style>
  <w:style w:type="paragraph" w:styleId="Heading4">
    <w:name w:val="heading 4"/>
    <w:basedOn w:val="Normal"/>
    <w:next w:val="BodyText"/>
    <w:uiPriority w:val="9"/>
    <w:unhideWhenUsed/>
    <w:qFormat/>
    <w:rsid w:val="004D0128"/>
    <w:pPr>
      <w:keepNext/>
      <w:keepLines/>
      <w:spacing w:before="200" w:after="0"/>
      <w:outlineLvl w:val="3"/>
    </w:pPr>
    <w:rPr>
      <w:rFonts w:eastAsiaTheme="majorEastAsia" w:cstheme="majorBidi"/>
      <w:b/>
      <w:i/>
      <w:color w:val="000000"/>
    </w:rPr>
  </w:style>
  <w:style w:type="paragraph" w:styleId="Heading5">
    <w:name w:val="heading 5"/>
    <w:basedOn w:val="Normal"/>
    <w:next w:val="BodyText"/>
    <w:uiPriority w:val="9"/>
    <w:unhideWhenUsed/>
    <w:qFormat/>
    <w:rsid w:val="004D0128"/>
    <w:pPr>
      <w:keepNext/>
      <w:keepLines/>
      <w:spacing w:before="200" w:after="0"/>
      <w:outlineLvl w:val="4"/>
    </w:pPr>
    <w:rPr>
      <w:rFonts w:eastAsiaTheme="majorEastAsia" w:cstheme="majorBidi"/>
      <w:b/>
      <w:bCs/>
      <w:iCs/>
      <w:color w:val="000000"/>
    </w:rPr>
  </w:style>
  <w:style w:type="paragraph" w:styleId="Heading6">
    <w:name w:val="heading 6"/>
    <w:basedOn w:val="Normal"/>
    <w:next w:val="BodyText"/>
    <w:uiPriority w:val="9"/>
    <w:unhideWhenUsed/>
    <w:qFormat/>
    <w:rsid w:val="0090172C"/>
    <w:pPr>
      <w:keepNext/>
      <w:keepLines/>
      <w:spacing w:before="200" w:after="0"/>
      <w:outlineLvl w:val="5"/>
    </w:pPr>
    <w:rPr>
      <w:rFonts w:eastAsiaTheme="majorEastAsia" w:cstheme="majorBidi"/>
      <w:color w:val="000000"/>
    </w:rPr>
  </w:style>
  <w:style w:type="paragraph" w:styleId="Heading7">
    <w:name w:val="heading 7"/>
    <w:basedOn w:val="Normal"/>
    <w:next w:val="BodyText"/>
    <w:uiPriority w:val="9"/>
    <w:unhideWhenUsed/>
    <w:qFormat/>
    <w:rsid w:val="0090172C"/>
    <w:pPr>
      <w:keepNext/>
      <w:keepLines/>
      <w:spacing w:before="200" w:after="0"/>
      <w:outlineLvl w:val="6"/>
    </w:pPr>
    <w:rPr>
      <w:rFonts w:eastAsiaTheme="majorEastAsia" w:cstheme="majorBidi"/>
      <w:color w:val="000000"/>
    </w:rPr>
  </w:style>
  <w:style w:type="paragraph" w:styleId="Heading8">
    <w:name w:val="heading 8"/>
    <w:basedOn w:val="Normal"/>
    <w:next w:val="BodyText"/>
    <w:uiPriority w:val="9"/>
    <w:unhideWhenUsed/>
    <w:qFormat/>
    <w:rsid w:val="0090172C"/>
    <w:pPr>
      <w:keepNext/>
      <w:keepLines/>
      <w:spacing w:before="200" w:after="0"/>
      <w:outlineLvl w:val="7"/>
    </w:pPr>
    <w:rPr>
      <w:rFonts w:eastAsiaTheme="majorEastAsia" w:cstheme="majorBidi"/>
      <w:color w:val="000000"/>
    </w:rPr>
  </w:style>
  <w:style w:type="paragraph" w:styleId="Heading9">
    <w:name w:val="heading 9"/>
    <w:basedOn w:val="Normal"/>
    <w:next w:val="BodyText"/>
    <w:uiPriority w:val="9"/>
    <w:unhideWhenUsed/>
    <w:qFormat/>
    <w:rsid w:val="0090172C"/>
    <w:pPr>
      <w:keepNext/>
      <w:keepLines/>
      <w:spacing w:before="200" w:after="0"/>
      <w:outlineLvl w:val="8"/>
    </w:pPr>
    <w:rPr>
      <w:rFonts w:eastAsiaTheme="majorEastAsia" w:cstheme="majorBid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basedOn w:val="DefaultParagraphFont"/>
    <w:link w:val="Caption"/>
    <w:qFormat/>
  </w:style>
  <w:style w:type="character" w:customStyle="1" w:styleId="VerbatimChar">
    <w:name w:val="Verbatim Char"/>
    <w:basedOn w:val="CaptionChar"/>
    <w:qFormat/>
    <w:rsid w:val="00EB6B5D"/>
    <w:rPr>
      <w:rFonts w:ascii="Consolas" w:hAnsi="Consolas"/>
      <w:sz w:val="22"/>
      <w:shd w:val="clear" w:color="auto" w:fill="EAEEF3"/>
    </w:rPr>
  </w:style>
  <w:style w:type="character" w:customStyle="1" w:styleId="SectionNumber">
    <w:name w:val="Section Number"/>
    <w:basedOn w:val="CaptionChar"/>
    <w:qFormat/>
  </w:style>
  <w:style w:type="character" w:customStyle="1" w:styleId="FootnoteCharacters">
    <w:name w:val="Footnote Characters"/>
    <w:basedOn w:val="CaptionChar"/>
    <w:qFormat/>
    <w:rPr>
      <w:vertAlign w:val="superscript"/>
    </w:rPr>
  </w:style>
  <w:style w:type="character" w:styleId="FootnoteReference">
    <w:name w:val="footnote reference"/>
    <w:rPr>
      <w:vertAlign w:val="superscript"/>
    </w:rPr>
  </w:style>
  <w:style w:type="character" w:styleId="Hyperlink">
    <w:name w:val="Hyperlink"/>
    <w:basedOn w:val="CaptionChar"/>
    <w:uiPriority w:val="99"/>
    <w:rPr>
      <w:color w:val="4F81BD" w:themeColor="accent1"/>
    </w:rPr>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qFormat/>
    <w:rsid w:val="0090172C"/>
    <w:pPr>
      <w:spacing w:before="180" w:after="180"/>
    </w:pPr>
  </w:style>
  <w:style w:type="paragraph" w:styleId="List">
    <w:name w:val="List"/>
    <w:basedOn w:val="BodyText"/>
    <w:rPr>
      <w:rFonts w:cs="Arial Unicode MS"/>
    </w:rPr>
  </w:style>
  <w:style w:type="paragraph" w:styleId="Caption">
    <w:name w:val="caption"/>
    <w:basedOn w:val="Normal"/>
    <w:link w:val="CaptionChar"/>
    <w:qFormat/>
    <w:pPr>
      <w:spacing w:after="120"/>
    </w:pPr>
    <w:rPr>
      <w:i/>
    </w:rPr>
  </w:style>
  <w:style w:type="paragraph" w:customStyle="1" w:styleId="Index">
    <w:name w:val="Index"/>
    <w:basedOn w:val="Normal"/>
    <w:qFormat/>
    <w:pPr>
      <w:suppressLineNumbers/>
    </w:pPr>
    <w:rPr>
      <w:rFonts w:cs="Arial Unicode MS"/>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spacing w:after="200"/>
      <w:jc w:val="center"/>
    </w:pPr>
  </w:style>
  <w:style w:type="paragraph" w:styleId="Date">
    <w:name w:val="Date"/>
    <w:next w:val="BodyText"/>
    <w:qFormat/>
    <w:pPr>
      <w:keepNext/>
      <w:keepLines/>
      <w:spacing w:after="200"/>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rsid w:val="001228DA"/>
    <w:pPr>
      <w:spacing w:before="100" w:after="100"/>
      <w:ind w:left="480" w:right="480"/>
    </w:pPr>
    <w:rPr>
      <w:sz w:val="22"/>
    </w:rPr>
  </w:style>
  <w:style w:type="paragraph" w:styleId="FootnoteText">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Caption"/>
    <w:qFormat/>
    <w:pPr>
      <w:keepNext/>
    </w:pPr>
  </w:style>
  <w:style w:type="paragraph" w:customStyle="1" w:styleId="ImageCaption">
    <w:name w:val="Image Caption"/>
    <w:basedOn w:val="Caption"/>
    <w:qFormat/>
  </w:style>
  <w:style w:type="paragraph" w:customStyle="1" w:styleId="Figure">
    <w:name w:val="Figure"/>
    <w:basedOn w:val="Normal"/>
    <w:qFormat/>
  </w:style>
  <w:style w:type="paragraph" w:customStyle="1" w:styleId="CaptionedFigure">
    <w:name w:val="Captioned Figure"/>
    <w:basedOn w:val="Figure"/>
    <w:qFormat/>
    <w:pPr>
      <w:keepNext/>
    </w:pPr>
  </w:style>
  <w:style w:type="paragraph" w:styleId="IndexHeading">
    <w:name w:val="index heading"/>
    <w:basedOn w:val="Heading"/>
  </w:style>
  <w:style w:type="paragraph" w:styleId="TOCHeading">
    <w:name w:val="TOC Heading"/>
    <w:basedOn w:val="Heading1"/>
    <w:next w:val="BodyText"/>
    <w:uiPriority w:val="39"/>
    <w:unhideWhenUsed/>
    <w:qFormat/>
    <w:rsid w:val="0090172C"/>
    <w:pPr>
      <w:spacing w:before="240" w:line="259" w:lineRule="auto"/>
      <w:outlineLvl w:val="9"/>
    </w:pPr>
    <w:rPr>
      <w:b w:val="0"/>
      <w:bCs w:val="0"/>
      <w:color w:val="000000" w:themeColor="text1"/>
    </w:rPr>
  </w:style>
  <w:style w:type="table" w:customStyle="1" w:styleId="Table">
    <w:name w:val="Table"/>
    <w:semiHidden/>
    <w:unhideWhenUsed/>
    <w:qFormat/>
    <w:rsid w:val="00820F26"/>
    <w:tblPr>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CellMar>
        <w:top w:w="108" w:type="dxa"/>
        <w:left w:w="108" w:type="dxa"/>
        <w:bottom w:w="108" w:type="dxa"/>
        <w:right w:w="108" w:type="dxa"/>
      </w:tblCellMar>
    </w:tblPr>
    <w:tcPr>
      <w:shd w:val="clear" w:color="auto" w:fill="auto"/>
    </w:tcPr>
    <w:tblStylePr w:type="firstRow">
      <w:tblPr/>
      <w:tcPr>
        <w:tcBorders>
          <w:bottom w:val="single" w:sz="0" w:space="0" w:color="auto"/>
        </w:tcBorders>
        <w:vAlign w:val="bottom"/>
      </w:tcPr>
    </w:tblStylePr>
  </w:style>
  <w:style w:type="paragraph" w:customStyle="1" w:styleId="SourceCode">
    <w:name w:val="Source Code"/>
    <w:basedOn w:val="BodyText"/>
    <w:link w:val="SourceCodeChar"/>
    <w:qFormat/>
    <w:rsid w:val="00161CA1"/>
    <w:rPr>
      <w:rFonts w:ascii="Consolas" w:hAnsi="Consolas"/>
      <w:color w:val="000000"/>
      <w:sz w:val="22"/>
      <w:szCs w:val="22"/>
      <w:shd w:val="clear" w:color="auto" w:fill="EAEEF3"/>
    </w:rPr>
  </w:style>
  <w:style w:type="character" w:customStyle="1" w:styleId="BodyTextChar">
    <w:name w:val="Body Text Char"/>
    <w:basedOn w:val="DefaultParagraphFont"/>
    <w:link w:val="BodyText"/>
    <w:rsid w:val="0090172C"/>
  </w:style>
  <w:style w:type="character" w:customStyle="1" w:styleId="SourceCodeChar">
    <w:name w:val="Source Code Char"/>
    <w:basedOn w:val="BodyTextChar"/>
    <w:link w:val="SourceCode"/>
    <w:rsid w:val="00161CA1"/>
    <w:rPr>
      <w:rFonts w:ascii="Consolas" w:hAnsi="Consolas"/>
      <w:color w:val="000000"/>
      <w:sz w:val="22"/>
      <w:szCs w:val="22"/>
      <w:lang w:val="fr"/>
    </w:rPr>
  </w:style>
  <w:style w:type="character" w:customStyle="1" w:styleId="KeywordTok">
    <w:name w:val="KeywordTok"/>
    <w:basedOn w:val="VerbatimChar"/>
    <w:rPr>
      <w:rFonts w:ascii="Consolas" w:hAnsi="Consolas"/>
      <w:b/>
      <w:color w:val="007020"/>
      <w:sz w:val="22"/>
      <w:shd w:val="clear" w:color="auto" w:fill="EAEEF3"/>
    </w:rPr>
  </w:style>
  <w:style w:type="character" w:customStyle="1" w:styleId="DataTypeTok">
    <w:name w:val="DataTypeTok"/>
    <w:basedOn w:val="VerbatimChar"/>
    <w:rPr>
      <w:rFonts w:ascii="Consolas" w:hAnsi="Consolas"/>
      <w:color w:val="902000"/>
      <w:sz w:val="22"/>
      <w:shd w:val="clear" w:color="auto" w:fill="EAEEF3"/>
    </w:rPr>
  </w:style>
  <w:style w:type="character" w:customStyle="1" w:styleId="DecValTok">
    <w:name w:val="DecValTok"/>
    <w:basedOn w:val="VerbatimChar"/>
    <w:rPr>
      <w:rFonts w:ascii="Consolas" w:hAnsi="Consolas"/>
      <w:color w:val="40A070"/>
      <w:sz w:val="22"/>
      <w:shd w:val="clear" w:color="auto" w:fill="EAEEF3"/>
    </w:rPr>
  </w:style>
  <w:style w:type="character" w:customStyle="1" w:styleId="BaseNTok">
    <w:name w:val="BaseNTok"/>
    <w:basedOn w:val="VerbatimChar"/>
    <w:rPr>
      <w:rFonts w:ascii="Consolas" w:hAnsi="Consolas"/>
      <w:color w:val="40A070"/>
      <w:sz w:val="22"/>
      <w:shd w:val="clear" w:color="auto" w:fill="EAEEF3"/>
    </w:rPr>
  </w:style>
  <w:style w:type="character" w:customStyle="1" w:styleId="FloatTok">
    <w:name w:val="FloatTok"/>
    <w:basedOn w:val="VerbatimChar"/>
    <w:rPr>
      <w:rFonts w:ascii="Consolas" w:hAnsi="Consolas"/>
      <w:color w:val="40A070"/>
      <w:sz w:val="22"/>
      <w:shd w:val="clear" w:color="auto" w:fill="EAEEF3"/>
    </w:rPr>
  </w:style>
  <w:style w:type="character" w:customStyle="1" w:styleId="ConstantTok">
    <w:name w:val="ConstantTok"/>
    <w:basedOn w:val="VerbatimChar"/>
    <w:rPr>
      <w:rFonts w:ascii="Consolas" w:hAnsi="Consolas"/>
      <w:color w:val="880000"/>
      <w:sz w:val="22"/>
      <w:shd w:val="clear" w:color="auto" w:fill="EAEEF3"/>
    </w:rPr>
  </w:style>
  <w:style w:type="character" w:customStyle="1" w:styleId="CharTok">
    <w:name w:val="CharTok"/>
    <w:basedOn w:val="VerbatimChar"/>
    <w:rPr>
      <w:rFonts w:ascii="Consolas" w:hAnsi="Consolas"/>
      <w:color w:val="4070A0"/>
      <w:sz w:val="22"/>
      <w:shd w:val="clear" w:color="auto" w:fill="EAEEF3"/>
    </w:rPr>
  </w:style>
  <w:style w:type="character" w:customStyle="1" w:styleId="SpecialCharTok">
    <w:name w:val="SpecialCharTok"/>
    <w:basedOn w:val="VerbatimChar"/>
    <w:rPr>
      <w:rFonts w:ascii="Consolas" w:hAnsi="Consolas"/>
      <w:color w:val="4070A0"/>
      <w:sz w:val="22"/>
      <w:shd w:val="clear" w:color="auto" w:fill="EAEEF3"/>
    </w:rPr>
  </w:style>
  <w:style w:type="character" w:customStyle="1" w:styleId="StringTok">
    <w:name w:val="StringTok"/>
    <w:basedOn w:val="VerbatimChar"/>
    <w:rPr>
      <w:rFonts w:ascii="Consolas" w:hAnsi="Consolas"/>
      <w:color w:val="4070A0"/>
      <w:sz w:val="22"/>
      <w:shd w:val="clear" w:color="auto" w:fill="EAEEF3"/>
    </w:rPr>
  </w:style>
  <w:style w:type="character" w:customStyle="1" w:styleId="VerbatimStringTok">
    <w:name w:val="VerbatimStringTok"/>
    <w:basedOn w:val="VerbatimChar"/>
    <w:rPr>
      <w:rFonts w:ascii="Consolas" w:hAnsi="Consolas"/>
      <w:color w:val="4070A0"/>
      <w:sz w:val="22"/>
      <w:shd w:val="clear" w:color="auto" w:fill="EAEEF3"/>
    </w:rPr>
  </w:style>
  <w:style w:type="character" w:customStyle="1" w:styleId="SpecialStringTok">
    <w:name w:val="SpecialStringTok"/>
    <w:basedOn w:val="VerbatimChar"/>
    <w:rPr>
      <w:rFonts w:ascii="Consolas" w:hAnsi="Consolas"/>
      <w:color w:val="BB6688"/>
      <w:sz w:val="22"/>
      <w:shd w:val="clear" w:color="auto" w:fill="EAEEF3"/>
    </w:rPr>
  </w:style>
  <w:style w:type="character" w:customStyle="1" w:styleId="ImportTok">
    <w:name w:val="ImportTok"/>
    <w:basedOn w:val="VerbatimChar"/>
    <w:rPr>
      <w:rFonts w:ascii="Consolas" w:hAnsi="Consolas"/>
      <w:sz w:val="22"/>
      <w:shd w:val="clear" w:color="auto" w:fill="EAEEF3"/>
    </w:rPr>
  </w:style>
  <w:style w:type="character" w:customStyle="1" w:styleId="CommentTok">
    <w:name w:val="CommentTok"/>
    <w:basedOn w:val="VerbatimChar"/>
    <w:rPr>
      <w:rFonts w:ascii="Consolas" w:hAnsi="Consolas"/>
      <w:i/>
      <w:color w:val="60A0B0"/>
      <w:sz w:val="22"/>
      <w:shd w:val="clear" w:color="auto" w:fill="EAEEF3"/>
    </w:rPr>
  </w:style>
  <w:style w:type="character" w:customStyle="1" w:styleId="DocumentationTok">
    <w:name w:val="DocumentationTok"/>
    <w:basedOn w:val="VerbatimChar"/>
    <w:rPr>
      <w:rFonts w:ascii="Consolas" w:hAnsi="Consolas"/>
      <w:i/>
      <w:color w:val="BA2121"/>
      <w:sz w:val="22"/>
      <w:shd w:val="clear" w:color="auto" w:fill="EAEEF3"/>
    </w:rPr>
  </w:style>
  <w:style w:type="character" w:customStyle="1" w:styleId="AnnotationTok">
    <w:name w:val="AnnotationTok"/>
    <w:basedOn w:val="VerbatimChar"/>
    <w:rPr>
      <w:rFonts w:ascii="Consolas" w:hAnsi="Consolas"/>
      <w:b/>
      <w:i/>
      <w:color w:val="60A0B0"/>
      <w:sz w:val="22"/>
      <w:shd w:val="clear" w:color="auto" w:fill="EAEEF3"/>
    </w:rPr>
  </w:style>
  <w:style w:type="character" w:customStyle="1" w:styleId="CommentVarTok">
    <w:name w:val="CommentVarTok"/>
    <w:basedOn w:val="VerbatimChar"/>
    <w:rPr>
      <w:rFonts w:ascii="Consolas" w:hAnsi="Consolas"/>
      <w:b/>
      <w:i/>
      <w:color w:val="60A0B0"/>
      <w:sz w:val="22"/>
      <w:shd w:val="clear" w:color="auto" w:fill="EAEEF3"/>
    </w:rPr>
  </w:style>
  <w:style w:type="character" w:customStyle="1" w:styleId="OtherTok">
    <w:name w:val="OtherTok"/>
    <w:basedOn w:val="VerbatimChar"/>
    <w:rPr>
      <w:rFonts w:ascii="Consolas" w:hAnsi="Consolas"/>
      <w:color w:val="007020"/>
      <w:sz w:val="22"/>
      <w:shd w:val="clear" w:color="auto" w:fill="EAEEF3"/>
    </w:rPr>
  </w:style>
  <w:style w:type="character" w:customStyle="1" w:styleId="FunctionTok">
    <w:name w:val="FunctionTok"/>
    <w:basedOn w:val="VerbatimChar"/>
    <w:rPr>
      <w:rFonts w:ascii="Consolas" w:hAnsi="Consolas"/>
      <w:color w:val="06287E"/>
      <w:sz w:val="22"/>
      <w:shd w:val="clear" w:color="auto" w:fill="EAEEF3"/>
    </w:rPr>
  </w:style>
  <w:style w:type="character" w:customStyle="1" w:styleId="VariableTok">
    <w:name w:val="VariableTok"/>
    <w:basedOn w:val="VerbatimChar"/>
    <w:rPr>
      <w:rFonts w:ascii="Consolas" w:hAnsi="Consolas"/>
      <w:color w:val="19177C"/>
      <w:sz w:val="22"/>
      <w:shd w:val="clear" w:color="auto" w:fill="EAEEF3"/>
    </w:rPr>
  </w:style>
  <w:style w:type="character" w:customStyle="1" w:styleId="ControlFlowTok">
    <w:name w:val="ControlFlowTok"/>
    <w:basedOn w:val="VerbatimChar"/>
    <w:rPr>
      <w:rFonts w:ascii="Consolas" w:hAnsi="Consolas"/>
      <w:b/>
      <w:color w:val="007020"/>
      <w:sz w:val="22"/>
      <w:shd w:val="clear" w:color="auto" w:fill="EAEEF3"/>
    </w:rPr>
  </w:style>
  <w:style w:type="character" w:customStyle="1" w:styleId="OperatorTok">
    <w:name w:val="OperatorTok"/>
    <w:basedOn w:val="VerbatimChar"/>
    <w:rPr>
      <w:rFonts w:ascii="Consolas" w:hAnsi="Consolas"/>
      <w:color w:val="666666"/>
      <w:sz w:val="22"/>
      <w:shd w:val="clear" w:color="auto" w:fill="EAEEF3"/>
    </w:rPr>
  </w:style>
  <w:style w:type="character" w:customStyle="1" w:styleId="BuiltInTok">
    <w:name w:val="BuiltInTok"/>
    <w:basedOn w:val="VerbatimChar"/>
    <w:rPr>
      <w:rFonts w:ascii="Consolas" w:hAnsi="Consolas"/>
      <w:sz w:val="22"/>
      <w:shd w:val="clear" w:color="auto" w:fill="EAEEF3"/>
    </w:rPr>
  </w:style>
  <w:style w:type="character" w:customStyle="1" w:styleId="ExtensionTok">
    <w:name w:val="ExtensionTok"/>
    <w:basedOn w:val="VerbatimChar"/>
    <w:rPr>
      <w:rFonts w:ascii="Consolas" w:hAnsi="Consolas"/>
      <w:sz w:val="22"/>
      <w:shd w:val="clear" w:color="auto" w:fill="EAEEF3"/>
    </w:rPr>
  </w:style>
  <w:style w:type="character" w:customStyle="1" w:styleId="PreprocessorTok">
    <w:name w:val="PreprocessorTok"/>
    <w:basedOn w:val="VerbatimChar"/>
    <w:rPr>
      <w:rFonts w:ascii="Consolas" w:hAnsi="Consolas"/>
      <w:color w:val="BC7A00"/>
      <w:sz w:val="22"/>
      <w:shd w:val="clear" w:color="auto" w:fill="EAEEF3"/>
    </w:rPr>
  </w:style>
  <w:style w:type="character" w:customStyle="1" w:styleId="AttributeTok">
    <w:name w:val="AttributeTok"/>
    <w:basedOn w:val="VerbatimChar"/>
    <w:rPr>
      <w:rFonts w:ascii="Consolas" w:hAnsi="Consolas"/>
      <w:color w:val="7D9029"/>
      <w:sz w:val="22"/>
      <w:shd w:val="clear" w:color="auto" w:fill="EAEEF3"/>
    </w:rPr>
  </w:style>
  <w:style w:type="character" w:customStyle="1" w:styleId="RegionMarkerTok">
    <w:name w:val="RegionMarkerTok"/>
    <w:basedOn w:val="VerbatimChar"/>
    <w:rPr>
      <w:rFonts w:ascii="Consolas" w:hAnsi="Consolas"/>
      <w:sz w:val="22"/>
      <w:shd w:val="clear" w:color="auto" w:fill="EAEEF3"/>
    </w:rPr>
  </w:style>
  <w:style w:type="character" w:customStyle="1" w:styleId="InformationTok">
    <w:name w:val="InformationTok"/>
    <w:basedOn w:val="VerbatimChar"/>
    <w:rPr>
      <w:rFonts w:ascii="Consolas" w:hAnsi="Consolas"/>
      <w:b/>
      <w:i/>
      <w:color w:val="60A0B0"/>
      <w:sz w:val="22"/>
      <w:shd w:val="clear" w:color="auto" w:fill="EAEEF3"/>
    </w:rPr>
  </w:style>
  <w:style w:type="character" w:customStyle="1" w:styleId="WarningTok">
    <w:name w:val="WarningTok"/>
    <w:basedOn w:val="VerbatimChar"/>
    <w:rPr>
      <w:rFonts w:ascii="Consolas" w:hAnsi="Consolas"/>
      <w:b/>
      <w:i/>
      <w:color w:val="60A0B0"/>
      <w:sz w:val="22"/>
      <w:shd w:val="clear" w:color="auto" w:fill="EAEEF3"/>
    </w:rPr>
  </w:style>
  <w:style w:type="character" w:customStyle="1" w:styleId="AlertTok">
    <w:name w:val="AlertTok"/>
    <w:basedOn w:val="VerbatimChar"/>
    <w:rPr>
      <w:rFonts w:ascii="Consolas" w:hAnsi="Consolas"/>
      <w:b/>
      <w:color w:val="FF0000"/>
      <w:sz w:val="22"/>
      <w:shd w:val="clear" w:color="auto" w:fill="EAEEF3"/>
    </w:rPr>
  </w:style>
  <w:style w:type="character" w:customStyle="1" w:styleId="ErrorTok">
    <w:name w:val="ErrorTok"/>
    <w:basedOn w:val="VerbatimChar"/>
    <w:rPr>
      <w:rFonts w:ascii="Consolas" w:hAnsi="Consolas"/>
      <w:b/>
      <w:color w:val="FF0000"/>
      <w:sz w:val="22"/>
      <w:shd w:val="clear" w:color="auto" w:fill="EAEEF3"/>
    </w:rPr>
  </w:style>
  <w:style w:type="character" w:customStyle="1" w:styleId="NormalTok">
    <w:name w:val="NormalTok"/>
    <w:basedOn w:val="VerbatimChar"/>
    <w:rPr>
      <w:rFonts w:ascii="Consolas" w:hAnsi="Consolas"/>
      <w:sz w:val="22"/>
      <w:shd w:val="clear" w:color="auto" w:fill="EAEEF3"/>
    </w:rPr>
  </w:style>
  <w:style w:type="paragraph" w:styleId="Header">
    <w:name w:val="header"/>
    <w:basedOn w:val="Normal"/>
    <w:link w:val="HeaderChar"/>
    <w:unhideWhenUsed/>
    <w:rsid w:val="00B71B36"/>
    <w:pPr>
      <w:tabs>
        <w:tab w:val="center" w:pos="4680"/>
        <w:tab w:val="right" w:pos="9360"/>
      </w:tabs>
      <w:spacing w:after="0"/>
    </w:pPr>
  </w:style>
  <w:style w:type="character" w:customStyle="1" w:styleId="HeaderChar">
    <w:name w:val="Header Char"/>
    <w:basedOn w:val="DefaultParagraphFont"/>
    <w:link w:val="Header"/>
    <w:rsid w:val="00B71B36"/>
  </w:style>
  <w:style w:type="paragraph" w:styleId="Footer">
    <w:name w:val="footer"/>
    <w:basedOn w:val="Normal"/>
    <w:link w:val="FooterChar"/>
    <w:uiPriority w:val="99"/>
    <w:unhideWhenUsed/>
    <w:rsid w:val="00B71B36"/>
    <w:pPr>
      <w:tabs>
        <w:tab w:val="center" w:pos="4680"/>
        <w:tab w:val="right" w:pos="9360"/>
      </w:tabs>
      <w:spacing w:after="0"/>
    </w:pPr>
  </w:style>
  <w:style w:type="character" w:customStyle="1" w:styleId="FooterChar">
    <w:name w:val="Footer Char"/>
    <w:basedOn w:val="DefaultParagraphFont"/>
    <w:link w:val="Footer"/>
    <w:uiPriority w:val="99"/>
    <w:rsid w:val="00B71B36"/>
  </w:style>
  <w:style w:type="paragraph" w:styleId="TOC1">
    <w:name w:val="toc 1"/>
    <w:basedOn w:val="Normal"/>
    <w:next w:val="Normal"/>
    <w:autoRedefine/>
    <w:uiPriority w:val="39"/>
    <w:unhideWhenUsed/>
    <w:rsid w:val="00EB6B5D"/>
    <w:pPr>
      <w:spacing w:after="100"/>
    </w:pPr>
  </w:style>
  <w:style w:type="paragraph" w:styleId="TOC2">
    <w:name w:val="toc 2"/>
    <w:basedOn w:val="Normal"/>
    <w:next w:val="Normal"/>
    <w:autoRedefine/>
    <w:uiPriority w:val="39"/>
    <w:unhideWhenUsed/>
    <w:rsid w:val="00EB6B5D"/>
    <w:pPr>
      <w:spacing w:after="100"/>
      <w:ind w:left="240"/>
    </w:pPr>
  </w:style>
  <w:style w:type="paragraph" w:styleId="TOC3">
    <w:name w:val="toc 3"/>
    <w:basedOn w:val="Normal"/>
    <w:next w:val="Normal"/>
    <w:autoRedefine/>
    <w:uiPriority w:val="39"/>
    <w:unhideWhenUsed/>
    <w:rsid w:val="00EB6B5D"/>
    <w:pPr>
      <w:spacing w:after="100"/>
      <w:ind w:left="480"/>
    </w:pPr>
  </w:style>
  <w:style w:type="paragraph" w:styleId="TOC4">
    <w:name w:val="toc 4"/>
    <w:basedOn w:val="Normal"/>
    <w:next w:val="Normal"/>
    <w:autoRedefine/>
    <w:uiPriority w:val="39"/>
    <w:unhideWhenUsed/>
    <w:rsid w:val="00EB6B5D"/>
    <w:pPr>
      <w:suppressAutoHyphens w:val="0"/>
      <w:spacing w:after="100" w:line="259" w:lineRule="auto"/>
      <w:ind w:left="660"/>
    </w:pPr>
    <w:rPr>
      <w:rFonts w:eastAsiaTheme="minorEastAsia"/>
      <w:kern w:val="2"/>
      <w:sz w:val="22"/>
      <w:szCs w:val="22"/>
      <w:lang w:val="en-CA" w:eastAsia="en-CA"/>
      <w14:ligatures w14:val="standardContextual"/>
    </w:rPr>
  </w:style>
  <w:style w:type="paragraph" w:styleId="TOC5">
    <w:name w:val="toc 5"/>
    <w:basedOn w:val="Normal"/>
    <w:next w:val="Normal"/>
    <w:autoRedefine/>
    <w:uiPriority w:val="39"/>
    <w:unhideWhenUsed/>
    <w:rsid w:val="00EB6B5D"/>
    <w:pPr>
      <w:suppressAutoHyphens w:val="0"/>
      <w:spacing w:after="100" w:line="259" w:lineRule="auto"/>
      <w:ind w:left="880"/>
    </w:pPr>
    <w:rPr>
      <w:rFonts w:eastAsiaTheme="minorEastAsia"/>
      <w:kern w:val="2"/>
      <w:sz w:val="22"/>
      <w:szCs w:val="22"/>
      <w:lang w:val="en-CA" w:eastAsia="en-CA"/>
      <w14:ligatures w14:val="standardContextual"/>
    </w:rPr>
  </w:style>
  <w:style w:type="paragraph" w:styleId="TOC6">
    <w:name w:val="toc 6"/>
    <w:basedOn w:val="Normal"/>
    <w:next w:val="Normal"/>
    <w:autoRedefine/>
    <w:uiPriority w:val="39"/>
    <w:unhideWhenUsed/>
    <w:rsid w:val="00EB6B5D"/>
    <w:pPr>
      <w:suppressAutoHyphens w:val="0"/>
      <w:spacing w:after="100" w:line="259" w:lineRule="auto"/>
      <w:ind w:left="1100"/>
    </w:pPr>
    <w:rPr>
      <w:rFonts w:eastAsiaTheme="minorEastAsia"/>
      <w:kern w:val="2"/>
      <w:sz w:val="22"/>
      <w:szCs w:val="22"/>
      <w:lang w:val="en-CA" w:eastAsia="en-CA"/>
      <w14:ligatures w14:val="standardContextual"/>
    </w:rPr>
  </w:style>
  <w:style w:type="paragraph" w:styleId="TOC7">
    <w:name w:val="toc 7"/>
    <w:basedOn w:val="Normal"/>
    <w:next w:val="Normal"/>
    <w:autoRedefine/>
    <w:uiPriority w:val="39"/>
    <w:unhideWhenUsed/>
    <w:rsid w:val="00EB6B5D"/>
    <w:pPr>
      <w:suppressAutoHyphens w:val="0"/>
      <w:spacing w:after="100" w:line="259" w:lineRule="auto"/>
      <w:ind w:left="1320"/>
    </w:pPr>
    <w:rPr>
      <w:rFonts w:eastAsiaTheme="minorEastAsia"/>
      <w:kern w:val="2"/>
      <w:sz w:val="22"/>
      <w:szCs w:val="22"/>
      <w:lang w:val="en-CA" w:eastAsia="en-CA"/>
      <w14:ligatures w14:val="standardContextual"/>
    </w:rPr>
  </w:style>
  <w:style w:type="paragraph" w:styleId="TOC8">
    <w:name w:val="toc 8"/>
    <w:basedOn w:val="Normal"/>
    <w:next w:val="Normal"/>
    <w:autoRedefine/>
    <w:uiPriority w:val="39"/>
    <w:unhideWhenUsed/>
    <w:rsid w:val="00EB6B5D"/>
    <w:pPr>
      <w:suppressAutoHyphens w:val="0"/>
      <w:spacing w:after="100" w:line="259" w:lineRule="auto"/>
      <w:ind w:left="1540"/>
    </w:pPr>
    <w:rPr>
      <w:rFonts w:eastAsiaTheme="minorEastAsia"/>
      <w:kern w:val="2"/>
      <w:sz w:val="22"/>
      <w:szCs w:val="22"/>
      <w:lang w:val="en-CA" w:eastAsia="en-CA"/>
      <w14:ligatures w14:val="standardContextual"/>
    </w:rPr>
  </w:style>
  <w:style w:type="paragraph" w:styleId="TOC9">
    <w:name w:val="toc 9"/>
    <w:basedOn w:val="Normal"/>
    <w:next w:val="Normal"/>
    <w:autoRedefine/>
    <w:uiPriority w:val="39"/>
    <w:unhideWhenUsed/>
    <w:rsid w:val="00EB6B5D"/>
    <w:pPr>
      <w:suppressAutoHyphens w:val="0"/>
      <w:spacing w:after="100" w:line="259" w:lineRule="auto"/>
      <w:ind w:left="1760"/>
    </w:pPr>
    <w:rPr>
      <w:rFonts w:eastAsiaTheme="minorEastAsia"/>
      <w:kern w:val="2"/>
      <w:sz w:val="22"/>
      <w:szCs w:val="22"/>
      <w:lang w:val="en-CA" w:eastAsia="en-CA"/>
      <w14:ligatures w14:val="standardContextual"/>
    </w:rPr>
  </w:style>
  <w:style w:type="character" w:styleId="UnresolvedMention">
    <w:name w:val="Unresolved Mention"/>
    <w:basedOn w:val="DefaultParagraphFont"/>
    <w:uiPriority w:val="99"/>
    <w:semiHidden/>
    <w:unhideWhenUsed/>
    <w:rsid w:val="00EB6B5D"/>
    <w:rPr>
      <w:color w:val="605E5C"/>
      <w:shd w:val="clear" w:color="auto" w:fill="E1DFDD"/>
    </w:rPr>
  </w:style>
  <w:style w:type="character" w:styleId="FollowedHyperlink">
    <w:name w:val="FollowedHyperlink"/>
    <w:basedOn w:val="DefaultParagraphFont"/>
    <w:semiHidden/>
    <w:unhideWhenUsed/>
    <w:rsid w:val="005D75A2"/>
    <w:rPr>
      <w:color w:val="800080" w:themeColor="followedHyperlink"/>
      <w:u w:val="single"/>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Revision">
    <w:name w:val="Revision"/>
    <w:hidden/>
    <w:semiHidden/>
    <w:rsid w:val="00260129"/>
    <w:pPr>
      <w:suppressAutoHyphens w:val="0"/>
    </w:pPr>
  </w:style>
  <w:style w:type="paragraph" w:styleId="CommentSubject">
    <w:name w:val="annotation subject"/>
    <w:basedOn w:val="CommentText"/>
    <w:next w:val="CommentText"/>
    <w:link w:val="CommentSubjectChar"/>
    <w:semiHidden/>
    <w:unhideWhenUsed/>
    <w:rsid w:val="00260129"/>
    <w:rPr>
      <w:b/>
      <w:bCs/>
    </w:rPr>
  </w:style>
  <w:style w:type="character" w:customStyle="1" w:styleId="CommentSubjectChar">
    <w:name w:val="Comment Subject Char"/>
    <w:basedOn w:val="CommentTextChar"/>
    <w:link w:val="CommentSubject"/>
    <w:semiHidden/>
    <w:rsid w:val="00260129"/>
    <w:rPr>
      <w:b/>
      <w:bCs/>
      <w:sz w:val="20"/>
      <w:szCs w:val="20"/>
    </w:rPr>
  </w:style>
  <w:style w:type="paragraph" w:styleId="ListParagraph">
    <w:name w:val="List Paragraph"/>
    <w:basedOn w:val="Normal"/>
    <w:rsid w:val="000B0D4C"/>
    <w:pPr>
      <w:ind w:left="720"/>
      <w:contextualSpacing/>
    </w:pPr>
  </w:style>
  <w:style w:type="paragraph" w:styleId="NormalWeb">
    <w:name w:val="Normal (Web)"/>
    <w:basedOn w:val="Normal"/>
    <w:uiPriority w:val="99"/>
    <w:semiHidden/>
    <w:unhideWhenUsed/>
    <w:rsid w:val="00167806"/>
    <w:pPr>
      <w:suppressAutoHyphens w:val="0"/>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201C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042994">
      <w:bodyDiv w:val="1"/>
      <w:marLeft w:val="0"/>
      <w:marRight w:val="0"/>
      <w:marTop w:val="0"/>
      <w:marBottom w:val="0"/>
      <w:divBdr>
        <w:top w:val="none" w:sz="0" w:space="0" w:color="auto"/>
        <w:left w:val="none" w:sz="0" w:space="0" w:color="auto"/>
        <w:bottom w:val="none" w:sz="0" w:space="0" w:color="auto"/>
        <w:right w:val="none" w:sz="0" w:space="0" w:color="auto"/>
      </w:divBdr>
    </w:div>
    <w:div w:id="1197161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tb.termiumplus.gc.ca/tpv2alpha/alpha-fra.html?lang=fra&amp;i=&amp;index=alt&amp;srchtxt=CATEGORIE%20REPETABLE" TargetMode="External"/><Relationship Id="rId299" Type="http://schemas.openxmlformats.org/officeDocument/2006/relationships/image" Target="media/image16.png"/><Relationship Id="rId21" Type="http://schemas.openxmlformats.org/officeDocument/2006/relationships/hyperlink" Target="https://www.btb.termiumplus.gc.ca/tpv2alpha/alpha-fra.html?lang=fra&amp;i=1&amp;srchtxt=construct&amp;index=ent&amp;codom2nd_wet=1" TargetMode="External"/><Relationship Id="rId63" Type="http://schemas.openxmlformats.org/officeDocument/2006/relationships/hyperlink" Target="https://www.btb.termiumplus.gc.ca/tpv2alpha/alpha-eng.html?lang=eng&amp;i=1&amp;srchtxt=INFORMATION+SYSTEM&amp;index=ent&amp;codom2nd_wet=1" TargetMode="External"/><Relationship Id="rId159" Type="http://schemas.openxmlformats.org/officeDocument/2006/relationships/hyperlink" Target="https://fr.wikipedia.org/wiki/Univers_du_discours" TargetMode="External"/><Relationship Id="rId324" Type="http://schemas.openxmlformats.org/officeDocument/2006/relationships/hyperlink" Target="https://fr.wikipedia.org/wiki/Alg%C3%A8bre_des_intervalles_d%27Allen" TargetMode="External"/><Relationship Id="rId366" Type="http://schemas.openxmlformats.org/officeDocument/2006/relationships/hyperlink" Target="https://data.nhm.ac.uk/doi/10.5519/qd.thnwfxy8" TargetMode="External"/><Relationship Id="rId170" Type="http://schemas.openxmlformats.org/officeDocument/2006/relationships/hyperlink" Target="https://fr.wikipedia.org/w/index.php?title=Expositions_des_vestiges_arch%C3%A9ologiques_provenant_de_la_tombe_de_Tout%C3%A2nkhamon&amp;oldid=179392035" TargetMode="External"/><Relationship Id="rId226" Type="http://schemas.openxmlformats.org/officeDocument/2006/relationships/hyperlink" Target="https://www.btb.termiumplus.gc.ca/tpv2alpha/alpha-fra.html?lang=fra&amp;srchtxt=IDEATIONAL+CONTENT" TargetMode="External"/><Relationship Id="rId433" Type="http://schemas.openxmlformats.org/officeDocument/2006/relationships/hyperlink" Target="https://www.btb.termiumplus.gc.ca/tpv2alpha/alpha-fra.html?lang=fra&amp;i=1&amp;srchtxt=join&amp;index=ent&amp;codom2nd_wet=1" TargetMode="External"/><Relationship Id="rId268" Type="http://schemas.openxmlformats.org/officeDocument/2006/relationships/hyperlink" Target="https://www.btb.termiumplus.gc.ca/tpv2alpha/alpha-fra.html?lang=fra&amp;i=1&amp;srchtxt=back+catalogue&amp;index=alt&amp;codom2nd_wet=1" TargetMode="External"/><Relationship Id="rId32" Type="http://schemas.openxmlformats.org/officeDocument/2006/relationships/hyperlink" Target="https://fr.wikipedia.org/w/index.php?title=Langue_SVO&amp;oldid=176099662" TargetMode="External"/><Relationship Id="rId74" Type="http://schemas.openxmlformats.org/officeDocument/2006/relationships/hyperlink" Target="https://www.w3.org/XML/" TargetMode="External"/><Relationship Id="rId128" Type="http://schemas.openxmlformats.org/officeDocument/2006/relationships/hyperlink" Target="https://fr.wikipedia.org/w/index.php?title=Fan-in&amp;oldid=176479056" TargetMode="External"/><Relationship Id="rId335" Type="http://schemas.openxmlformats.org/officeDocument/2006/relationships/hyperlink" Target="https://doi.org/10.1145/182.358434" TargetMode="External"/><Relationship Id="rId377" Type="http://schemas.openxmlformats.org/officeDocument/2006/relationships/hyperlink" Target="https://www.britannica.com/topic/adoration-of-the-shepherds-religious-motif" TargetMode="External"/><Relationship Id="rId5" Type="http://schemas.openxmlformats.org/officeDocument/2006/relationships/customXml" Target="../customXml/item5.xml"/><Relationship Id="rId181" Type="http://schemas.openxmlformats.org/officeDocument/2006/relationships/hyperlink" Target="https://portail.biblissima.fr/fr/ark:/43093/mdata4173039fff31678134d93fd0bd8ff41dd71226a8" TargetMode="External"/><Relationship Id="rId237" Type="http://schemas.openxmlformats.org/officeDocument/2006/relationships/hyperlink" Target="https://natural-resources.canada.ca/maps-tools-and-publications/geodetic-reference-systems/canadian-spatial-reference-system-csrs/9052" TargetMode="External"/><Relationship Id="rId402" Type="http://schemas.openxmlformats.org/officeDocument/2006/relationships/hyperlink" Target="https://openlibrary.org/books/OL7063760M/The_palace_of_Minos" TargetMode="External"/><Relationship Id="rId279" Type="http://schemas.openxmlformats.org/officeDocument/2006/relationships/hyperlink" Target="https://impactalk.gr/en/stories-talk/maria-argyriadi-researcher-and-toys-collector-changed-benaki-museum" TargetMode="External"/><Relationship Id="rId444" Type="http://schemas.openxmlformats.org/officeDocument/2006/relationships/hyperlink" Target="https://essentiels.bnf.fr/fr/image/eff2e8b4-8e73-4800-91fb-7d277ca66a34-femme-devant-poele-7e-etat" TargetMode="External"/><Relationship Id="rId43" Type="http://schemas.openxmlformats.org/officeDocument/2006/relationships/hyperlink" Target="https://www.btb.termiumplus.gc.ca/tpv2alpha/alpha-fra.html?lang=fra&amp;i=1&amp;srchtxt=directed+graph&amp;index=alt&amp;codom2nd_wet=1" TargetMode="External"/><Relationship Id="rId139" Type="http://schemas.openxmlformats.org/officeDocument/2006/relationships/hyperlink" Target="https://fr.wikipedia.org/w/index.php?title=Monotonie&amp;oldid=134697868" TargetMode="External"/><Relationship Id="rId290" Type="http://schemas.openxmlformats.org/officeDocument/2006/relationships/hyperlink" Target="https://fr.wikipedia.org/wiki/Alg%C3%A8bre_des_intervalles_d%27Allen" TargetMode="External"/><Relationship Id="rId304" Type="http://schemas.openxmlformats.org/officeDocument/2006/relationships/hyperlink" Target="https://www.moulinduverger.com/reliure-manuelle/roret-69.php" TargetMode="External"/><Relationship Id="rId346" Type="http://schemas.openxmlformats.org/officeDocument/2006/relationships/hyperlink" Target="https://doi.org/10.1021/ed079p193" TargetMode="External"/><Relationship Id="rId388" Type="http://schemas.openxmlformats.org/officeDocument/2006/relationships/hyperlink" Target="https://www.w3.org/OWL/" TargetMode="External"/><Relationship Id="rId85" Type="http://schemas.openxmlformats.org/officeDocument/2006/relationships/hyperlink" Target="https://www.btb.termiumplus.gc.ca/tpv2alpha/alpha-fra.html?lang=fra&amp;i=&amp;index=alt&amp;srchtxt=CATEGORIE%20REPETABLE" TargetMode="External"/><Relationship Id="rId150" Type="http://schemas.openxmlformats.org/officeDocument/2006/relationships/image" Target="media/image8.png"/><Relationship Id="rId192" Type="http://schemas.openxmlformats.org/officeDocument/2006/relationships/hyperlink" Target="https://www.cbbag.ca/resources/Public/Book%20Arts%20ENG%20FRE%20Translation.pdf" TargetMode="External"/><Relationship Id="rId206" Type="http://schemas.openxmlformats.org/officeDocument/2006/relationships/hyperlink" Target="https://fr.wikipedia.org/w/index.php?title=%E5%AE%89" TargetMode="External"/><Relationship Id="rId413" Type="http://schemas.openxmlformats.org/officeDocument/2006/relationships/hyperlink" Target="https://vitrinelinguistique.oqlf.gouv.qc.ca/23433/la-grammaire/ladjectif/accord-de-ladjectif/cas-particuliers-daccord-de-ladjectif/accord-des-adjectifs-maximal-minimal-et-optimal" TargetMode="External"/><Relationship Id="rId248" Type="http://schemas.openxmlformats.org/officeDocument/2006/relationships/hyperlink" Target="https://fr.wikipedia.org/w/index.php?title=Expositions_des_vestiges_arch%C3%A9ologiques_provenant_de_la_tombe_de_Tout%C3%A2nkhamon&amp;oldid=179392035" TargetMode="External"/><Relationship Id="rId455" Type="http://schemas.openxmlformats.org/officeDocument/2006/relationships/hyperlink" Target="https://fr.wikipedia.org/w/index.php?title=Liste_des_gravures_de_Rembrandt&amp;oldid=180898582" TargetMode="External"/><Relationship Id="rId12" Type="http://schemas.openxmlformats.org/officeDocument/2006/relationships/image" Target="media/image1.png"/><Relationship Id="rId108" Type="http://schemas.openxmlformats.org/officeDocument/2006/relationships/hyperlink" Target="https://fr.wikipedia.org/w/index.php?title=Fan-in&amp;oldid=176479056" TargetMode="External"/><Relationship Id="rId315" Type="http://schemas.openxmlformats.org/officeDocument/2006/relationships/hyperlink" Target="https://fr.wikipedia.org/wiki/Alg%C3%A8bre_des_intervalles_d%27Allen" TargetMode="External"/><Relationship Id="rId357" Type="http://schemas.openxmlformats.org/officeDocument/2006/relationships/hyperlink" Target="https://archive.archaeology.org/9705/newsbriefs/spears.html" TargetMode="External"/><Relationship Id="rId54" Type="http://schemas.openxmlformats.org/officeDocument/2006/relationships/hyperlink" Target="https://www.lri.fr/~groz/documents/rapport.pdf" TargetMode="External"/><Relationship Id="rId96" Type="http://schemas.openxmlformats.org/officeDocument/2006/relationships/hyperlink" Target="https://fr.wikipedia.org/w/index.php?title=Fan-in&amp;oldid=176479056" TargetMode="External"/><Relationship Id="rId161" Type="http://schemas.openxmlformats.org/officeDocument/2006/relationships/hyperlink" Target="http://www.cidoc-crm.org/crmgeo/home-5" TargetMode="External"/><Relationship Id="rId217" Type="http://schemas.openxmlformats.org/officeDocument/2006/relationships/hyperlink" Target="https://www.btb.termiumplus.gc.ca/tpv2alpha/alpha-fra.html?lang=fra&amp;i=1&amp;srchtxt=avant+J%C3%A9sus-christ&amp;codom2nd_wet=1" TargetMode="External"/><Relationship Id="rId399" Type="http://schemas.openxmlformats.org/officeDocument/2006/relationships/hyperlink" Target="https://collections.louvre.fr/en/ark:/53355/cl010062370" TargetMode="External"/><Relationship Id="rId259" Type="http://schemas.openxmlformats.org/officeDocument/2006/relationships/hyperlink" Target="https://reliuredartdare.com/2021/09/batonnets-tranchefile-fabrication/" TargetMode="External"/><Relationship Id="rId424" Type="http://schemas.openxmlformats.org/officeDocument/2006/relationships/hyperlink" Target="https://www.btb.termiumplus.gc.ca/tpv2alpha/alpha-fra.html?lang=fra&amp;i=1&amp;srchtxt=construct&amp;index=ent&amp;codom2nd_wet=1" TargetMode="External"/><Relationship Id="rId466" Type="http://schemas.openxmlformats.org/officeDocument/2006/relationships/hyperlink" Target="https://fr.wikipedia.org/w/index.php?title=Trois_Glorieuses&amp;oldid=203438591" TargetMode="External"/><Relationship Id="rId23" Type="http://schemas.openxmlformats.org/officeDocument/2006/relationships/hyperlink" Target="http://www.opikanoba.org/tr/w3c/webarch/" TargetMode="External"/><Relationship Id="rId119" Type="http://schemas.openxmlformats.org/officeDocument/2006/relationships/hyperlink" Target="https://www.btb.termiumplus.gc.ca/tpv2alpha/alpha-fra.html?lang=fra&amp;i=1&amp;srchtxt=fan-in&amp;index=ent&amp;codom2nd_wet=1" TargetMode="External"/><Relationship Id="rId270" Type="http://schemas.openxmlformats.org/officeDocument/2006/relationships/hyperlink" Target="https://www.btb.termiumplus.gc.ca/tpv2alpha/alpha-fra.html?lang=fra&amp;i=1&amp;srchtxt=back+catalogue&amp;index=alt&amp;codom2nd_wet=1" TargetMode="External"/><Relationship Id="rId326" Type="http://schemas.openxmlformats.org/officeDocument/2006/relationships/image" Target="media/image25.png"/><Relationship Id="rId65" Type="http://schemas.openxmlformats.org/officeDocument/2006/relationships/hyperlink" Target="https://www.w3.org/OWL/" TargetMode="External"/><Relationship Id="rId130" Type="http://schemas.openxmlformats.org/officeDocument/2006/relationships/hyperlink" Target="https://www.btb.termiumplus.gc.ca/tpv2alpha/alpha-fra.html?lang=fra&amp;i=&amp;index=alt&amp;srchtxt=CATEGORIE%20REPETABLE" TargetMode="External"/><Relationship Id="rId368" Type="http://schemas.openxmlformats.org/officeDocument/2006/relationships/hyperlink" Target="https://www.panotis.gr/index.php/2016/06/29/the-holy-spirit-stressed-summit-of-crete/" TargetMode="External"/><Relationship Id="rId172" Type="http://schemas.openxmlformats.org/officeDocument/2006/relationships/hyperlink" Target="https://www.canada.ca/fr/institut-conservation/services/traitements-services-conservation/traitements-conservation.html" TargetMode="External"/><Relationship Id="rId228" Type="http://schemas.openxmlformats.org/officeDocument/2006/relationships/hyperlink" Target="https://en.wikipedia.org/w/index.php?title=Sch%C3%B6ningen_spears&amp;oldid=1143301875" TargetMode="External"/><Relationship Id="rId435" Type="http://schemas.openxmlformats.org/officeDocument/2006/relationships/hyperlink" Target="https://www.btb.termiumplus.gc.ca/tpv2alpha/alpha-fra.html?lang=fra&amp;i=1&amp;srchtxt=normalization&amp;index=alt&amp;codom2nd_wet=1" TargetMode="External"/><Relationship Id="rId281" Type="http://schemas.openxmlformats.org/officeDocument/2006/relationships/hyperlink" Target="https://utpictura18.univ-amu.fr/notice/4226-farinelli-amis-amigoni" TargetMode="External"/><Relationship Id="rId337" Type="http://schemas.openxmlformats.org/officeDocument/2006/relationships/hyperlink" Target="https://doi.org/10.1016/j.jas.2006.03.010" TargetMode="External"/><Relationship Id="rId34" Type="http://schemas.openxmlformats.org/officeDocument/2006/relationships/hyperlink" Target="https://www.btb.termiumplus.gc.ca/tpv2alpha/alpha-fra.html?lang=fra&amp;i=1&amp;srchtxt=construct&amp;index=ent&amp;codom2nd_wet=1" TargetMode="External"/><Relationship Id="rId76" Type="http://schemas.openxmlformats.org/officeDocument/2006/relationships/hyperlink" Target="https://www.w3.org/OWL/" TargetMode="External"/><Relationship Id="rId141" Type="http://schemas.openxmlformats.org/officeDocument/2006/relationships/hyperlink" Target="https://fr.wikipedia.org/w/index.php?title=Monotonie&amp;oldid=134697868" TargetMode="External"/><Relationship Id="rId379" Type="http://schemas.openxmlformats.org/officeDocument/2006/relationships/hyperlink" Target="https://ethos.bl.uk/OrderDetails.do?uin=uk.bl.ethos.279996" TargetMode="External"/><Relationship Id="rId7" Type="http://schemas.openxmlformats.org/officeDocument/2006/relationships/styles" Target="styles.xml"/><Relationship Id="rId183" Type="http://schemas.openxmlformats.org/officeDocument/2006/relationships/hyperlink" Target="https://www.loc.gov/item/00279380435-ms" TargetMode="External"/><Relationship Id="rId239" Type="http://schemas.openxmlformats.org/officeDocument/2006/relationships/hyperlink" Target="https://fr.wikipedia.org/w/index.php?title=Forum_Romain_(Rome)&amp;oldid=215741700" TargetMode="External"/><Relationship Id="rId390"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404" Type="http://schemas.openxmlformats.org/officeDocument/2006/relationships/hyperlink" Target="https://www.canada.ca/fr/institut-conservation/services/traitements-services-conservation/traitements-conservation.html" TargetMode="External"/><Relationship Id="rId446" Type="http://schemas.openxmlformats.org/officeDocument/2006/relationships/hyperlink" Target="https://fr.wikipedia.org/w/index.php?title=Monotonie&amp;oldid=134697868" TargetMode="External"/><Relationship Id="rId250" Type="http://schemas.openxmlformats.org/officeDocument/2006/relationships/hyperlink" Target="https://www.moulinduverger.com/reliure-manuelle/roret-69.php" TargetMode="External"/><Relationship Id="rId292" Type="http://schemas.openxmlformats.org/officeDocument/2006/relationships/image" Target="media/image13.png"/><Relationship Id="rId306" Type="http://schemas.openxmlformats.org/officeDocument/2006/relationships/hyperlink" Target="https://reliuredartdare.com/2021/09/batonnets-tranchefile-fabrication/" TargetMode="External"/><Relationship Id="rId45" Type="http://schemas.openxmlformats.org/officeDocument/2006/relationships/hyperlink" Target="https://www.btb.termiumplus.gc.ca/tpv2alpha/alpha-fra.html?lang=fra&amp;i=1&amp;srchtxt=join&amp;index=ent&amp;codom2nd_wet=1" TargetMode="External"/><Relationship Id="rId87" Type="http://schemas.openxmlformats.org/officeDocument/2006/relationships/hyperlink" Target="https://www.btb.termiumplus.gc.ca/tpv2alpha/alpha-fra.html?lang=fra&amp;i=1&amp;srchtxt=fan-out&amp;index=ent&amp;codom2nd_wet=1" TargetMode="External"/><Relationship Id="rId110" Type="http://schemas.openxmlformats.org/officeDocument/2006/relationships/hyperlink" Target="https://www.btb.termiumplus.gc.ca/tpv2alpha/alpha-fra.html?lang=fra&amp;i=1&amp;srchtxt=fan-out&amp;index=ent&amp;codom2nd_wet=1" TargetMode="External"/><Relationship Id="rId348" Type="http://schemas.openxmlformats.org/officeDocument/2006/relationships/hyperlink" Target="https://doi.org/10.1080/00275514.1933.12020653" TargetMode="External"/><Relationship Id="rId152" Type="http://schemas.openxmlformats.org/officeDocument/2006/relationships/hyperlink" Target="https://cidoc-crm.org/sites/default/files/cidoc_crm_version_6.2.pdf" TargetMode="External"/><Relationship Id="rId194" Type="http://schemas.openxmlformats.org/officeDocument/2006/relationships/hyperlink" Target="https://collections.louvre.fr/en/ark:/53355/cl010062370" TargetMode="External"/><Relationship Id="rId208" Type="http://schemas.openxmlformats.org/officeDocument/2006/relationships/hyperlink" Target="http://www.cidoc-crm.org/crmgeo/home-5" TargetMode="External"/><Relationship Id="rId415" Type="http://schemas.openxmlformats.org/officeDocument/2006/relationships/hyperlink" Target="https://www.w3.org/RDF/" TargetMode="External"/><Relationship Id="rId457" Type="http://schemas.openxmlformats.org/officeDocument/2006/relationships/hyperlink" Target="https://fr.wikipedia.org/wiki/Univers_du_discours" TargetMode="External"/><Relationship Id="rId261" Type="http://schemas.openxmlformats.org/officeDocument/2006/relationships/hyperlink" Target="https://www.cbbag.ca/resources/Public/Book%20Arts%20ENG%20FRE%20Translation.pdf" TargetMode="External"/><Relationship Id="rId14" Type="http://schemas.openxmlformats.org/officeDocument/2006/relationships/hyperlink" Target="https://cidoc-crm-fr.info/" TargetMode="External"/><Relationship Id="rId56" Type="http://schemas.openxmlformats.org/officeDocument/2006/relationships/hyperlink" Target="https://www.btb.termiumplus.gc.ca/tpv2alpha/alpha-fra.html?lang=fra&amp;i=1&amp;srchtxt=containment&amp;index=ent&amp;codom2nd_wet=1" TargetMode="External"/><Relationship Id="rId317" Type="http://schemas.openxmlformats.org/officeDocument/2006/relationships/image" Target="media/image20.png"/><Relationship Id="rId359" Type="http://schemas.openxmlformats.org/officeDocument/2006/relationships/hyperlink" Target="http://discovery.ucl.ac.uk/1350109/" TargetMode="External"/><Relationship Id="rId98" Type="http://schemas.openxmlformats.org/officeDocument/2006/relationships/hyperlink" Target="https://www.btb.termiumplus.gc.ca/tpv2alpha/alpha-fra.html?lang=fra&amp;i=1&amp;srchtxt=fan-out&amp;index=ent&amp;codom2nd_wet=1" TargetMode="External"/><Relationship Id="rId121" Type="http://schemas.openxmlformats.org/officeDocument/2006/relationships/hyperlink" Target="https://www.btb.termiumplus.gc.ca/tpv2alpha/alpha-fra.html?lang=fra&amp;i=&amp;index=alt&amp;srchtxt=CATEGORIE%20REPETABLE" TargetMode="External"/><Relationship Id="rId163" Type="http://schemas.openxmlformats.org/officeDocument/2006/relationships/hyperlink" Target="https://www.btb.termiumplus.gc.ca/tpv2alpha/alpha-fra.html?lang=fra&amp;i=1&amp;srchtxt=land+use&amp;index=alt&amp;codom2nd_wet=1" TargetMode="External"/><Relationship Id="rId219" Type="http://schemas.openxmlformats.org/officeDocument/2006/relationships/hyperlink" Target="https://www.btb.termiumplus.gc.ca/tpv2alpha/alpha-fra.html?lang=fra&amp;srchtxt=temporal%20reasoning&amp;i=&amp;index=alt&amp;sg_kp_wet=921138&amp;fchrcrdnm=1" TargetMode="External"/><Relationship Id="rId370" Type="http://schemas.openxmlformats.org/officeDocument/2006/relationships/hyperlink" Target="https://doi.org/10.1111/AN.445" TargetMode="External"/><Relationship Id="rId426" Type="http://schemas.openxmlformats.org/officeDocument/2006/relationships/hyperlink" Target="https://www.btb.termiumplus.gc.ca/tpv2alpha/alpha-fra.html?lang=fra&amp;i=1&amp;srchtxt=contiguous&amp;codom2nd_wet=1" TargetMode="External"/><Relationship Id="rId230" Type="http://schemas.openxmlformats.org/officeDocument/2006/relationships/hyperlink" Target="https://en.wikipedia.org/w/index.php?title=Well-known_text_representation_of_geometry&amp;oldid=1105540049" TargetMode="External"/><Relationship Id="rId468" Type="http://schemas.openxmlformats.org/officeDocument/2006/relationships/hyperlink" Target="https://www.editions-allia.com/fr/livre/91/pensees-sur-limitation-des-uvres-grecques-en-peinture-et-en-sculpture" TargetMode="External"/><Relationship Id="rId25" Type="http://schemas.openxmlformats.org/officeDocument/2006/relationships/hyperlink" Target="http://www.yoyodesign.org/doc/w3c/swbp-vocab-pub/" TargetMode="External"/><Relationship Id="rId67" Type="http://schemas.openxmlformats.org/officeDocument/2006/relationships/hyperlink" Target="https://www.w3.org/XML/" TargetMode="External"/><Relationship Id="rId272" Type="http://schemas.openxmlformats.org/officeDocument/2006/relationships/hyperlink" Target="https://fr.wikipedia.org/w/index.php?title=L%C3%A1szl%C3%B3_Moholy-Nagy&amp;oldid=192385234" TargetMode="External"/><Relationship Id="rId328" Type="http://schemas.openxmlformats.org/officeDocument/2006/relationships/hyperlink" Target="https://fr.wikipedia.org/wiki/Alg%C3%A8bre_des_intervalles_d%27Allen" TargetMode="External"/><Relationship Id="rId132" Type="http://schemas.openxmlformats.org/officeDocument/2006/relationships/hyperlink" Target="https://www.btb.termiumplus.gc.ca/tpv2alpha/alpha-fra.html?lang=fra&amp;i=&amp;index=alt&amp;srchtxt=CATEGORIE%20REPETABLE" TargetMode="External"/><Relationship Id="rId174" Type="http://schemas.openxmlformats.org/officeDocument/2006/relationships/hyperlink" Target="https://www.btb.termiumplus.gc.ca/tpv2alpha/alpha-fra.html?lang=fra&amp;i=1&amp;srchtxt=MUSEUM+EXHIBIT&amp;codom2nd_wet=1" TargetMode="External"/><Relationship Id="rId381" Type="http://schemas.openxmlformats.org/officeDocument/2006/relationships/hyperlink" Target="https://www.britannica.com/biography/Johann-Joachim-Winckelmann" TargetMode="External"/><Relationship Id="rId241" Type="http://schemas.openxmlformats.org/officeDocument/2006/relationships/hyperlink" Target="https://openlibrary.org/books/OL7063760M/The_palace_of_Minos" TargetMode="External"/><Relationship Id="rId437" Type="http://schemas.openxmlformats.org/officeDocument/2006/relationships/hyperlink" Target="https://www.btb.termiumplus.gc.ca/tpv2alpha/alpha-fra.html?lang=fra&amp;i=1&amp;srchtxt=quantifier&amp;index=ent&amp;codom2nd_wet=1" TargetMode="External"/><Relationship Id="rId36" Type="http://schemas.openxmlformats.org/officeDocument/2006/relationships/hyperlink" Target="https://fr.wikipedia.org/w/index.php?title=Langue_SVO&amp;oldid=176099662" TargetMode="External"/><Relationship Id="rId283" Type="http://schemas.openxmlformats.org/officeDocument/2006/relationships/hyperlink" Target="https://vitrinelinguistique.oqlf.gouv.qc.ca/23433/la-grammaire/ladjectif/accord-de-ladjectif/cas-particuliers-daccord-de-ladjectif/accord-des-adjectifs-maximal-minimal-et-optimal" TargetMode="External"/><Relationship Id="rId339" Type="http://schemas.openxmlformats.org/officeDocument/2006/relationships/hyperlink" Target="http://www.cidoc-crm.org/frbroo/sites/default/files/FRBRoo_V2.4.pdf" TargetMode="External"/><Relationship Id="rId78" Type="http://schemas.openxmlformats.org/officeDocument/2006/relationships/hyperlink" Target="https://www.btb.termiumplus.gc.ca/tpv2alpha/alpha-eng.html?lang=eng&amp;i=1&amp;index=frt&amp;srchtxt=CONVENTION%20APPELLATION%20COURRIELS" TargetMode="External"/><Relationship Id="rId101" Type="http://schemas.openxmlformats.org/officeDocument/2006/relationships/hyperlink" Target="https://www.btb.termiumplus.gc.ca/tpv2alpha/alpha-fra.html?lang=fra&amp;i=&amp;index=alt&amp;srchtxt=CATEGORIE%20REPETABLE" TargetMode="External"/><Relationship Id="rId143" Type="http://schemas.openxmlformats.org/officeDocument/2006/relationships/image" Target="media/image3.png"/><Relationship Id="rId185" Type="http://schemas.openxmlformats.org/officeDocument/2006/relationships/hyperlink" Target="https://portail.biblissima.fr/fr/ark:/43093/mdata4173039fff31678134d93fd0bd8ff41dd71226a8" TargetMode="External"/><Relationship Id="rId350" Type="http://schemas.openxmlformats.org/officeDocument/2006/relationships/hyperlink" Target="https://doi.org/10.1007/3-540-45810-7_18" TargetMode="External"/><Relationship Id="rId406" Type="http://schemas.openxmlformats.org/officeDocument/2006/relationships/hyperlink" Target="https://www.moulinduverger.com/reliure-manuelle/roret-69.php" TargetMode="External"/><Relationship Id="rId9" Type="http://schemas.openxmlformats.org/officeDocument/2006/relationships/webSettings" Target="webSettings.xml"/><Relationship Id="rId210" Type="http://schemas.openxmlformats.org/officeDocument/2006/relationships/hyperlink" Target="http://www.cidoc-crm.org/crmgeo/home-5" TargetMode="External"/><Relationship Id="rId392" Type="http://schemas.openxmlformats.org/officeDocument/2006/relationships/hyperlink" Target="http://www.opikanoba.org/tr/w3c/webarch/" TargetMode="External"/><Relationship Id="rId448" Type="http://schemas.openxmlformats.org/officeDocument/2006/relationships/hyperlink" Target="https://fr.wikipedia.org/w/index.php?title=Fan-in&amp;oldid=176479056" TargetMode="External"/><Relationship Id="rId252" Type="http://schemas.openxmlformats.org/officeDocument/2006/relationships/hyperlink" Target="https://reliuredartdare.com/2021/09/batonnets-tranchefile-fabrication/" TargetMode="External"/><Relationship Id="rId294" Type="http://schemas.openxmlformats.org/officeDocument/2006/relationships/hyperlink" Target="https://fr.wikipedia.org/wiki/Alg%C3%A8bre_des_intervalles_d%27Allen" TargetMode="External"/><Relationship Id="rId308" Type="http://schemas.openxmlformats.org/officeDocument/2006/relationships/hyperlink" Target="https://www.cbbag.ca/resources/Public/Book%20Arts%20ENG%20FRE%20Translation.pdf" TargetMode="External"/><Relationship Id="rId47" Type="http://schemas.openxmlformats.org/officeDocument/2006/relationships/hyperlink" Target="https://fr.wikipedia.org/w/index.php?title=Monotonie&amp;oldid=134697868" TargetMode="External"/><Relationship Id="rId89" Type="http://schemas.openxmlformats.org/officeDocument/2006/relationships/hyperlink" Target="https://www.btb.termiumplus.gc.ca/tpv2alpha/alpha-fra.html?lang=fra&amp;i=&amp;index=alt&amp;srchtxt=CATEGORIE%20REPETABLE" TargetMode="External"/><Relationship Id="rId112" Type="http://schemas.openxmlformats.org/officeDocument/2006/relationships/hyperlink" Target="https://www.btb.termiumplus.gc.ca/tpv2alpha/alpha-fra.html?lang=fra&amp;i=&amp;index=alt&amp;srchtxt=CATEGORIE%20REPETABLE" TargetMode="External"/><Relationship Id="rId154" Type="http://schemas.openxmlformats.org/officeDocument/2006/relationships/comments" Target="comments.xml"/><Relationship Id="rId361" Type="http://schemas.openxmlformats.org/officeDocument/2006/relationships/hyperlink" Target="https://doi.org/10.2307/499533" TargetMode="External"/><Relationship Id="rId196" Type="http://schemas.openxmlformats.org/officeDocument/2006/relationships/hyperlink" Target="http://lccn.loc.gov/sh85082387" TargetMode="External"/><Relationship Id="rId417" Type="http://schemas.openxmlformats.org/officeDocument/2006/relationships/hyperlink" Target="https://natural-resources.canada.ca/maps-tools-and-publications/geodetic-reference-systems/canadian-spatial-reference-system-csrs/9052" TargetMode="External"/><Relationship Id="rId459" Type="http://schemas.openxmlformats.org/officeDocument/2006/relationships/hyperlink" Target="https://fr.wikipedia.org/w/index.php?title=L%C3%A1szl%C3%B3_Moholy-Nagy&amp;oldid=192385234" TargetMode="External"/><Relationship Id="rId16" Type="http://schemas.openxmlformats.org/officeDocument/2006/relationships/hyperlink" Target="https://collections.louvre.fr/en/ark:/53355/cl010062370" TargetMode="External"/><Relationship Id="rId221" Type="http://schemas.openxmlformats.org/officeDocument/2006/relationships/hyperlink" Target="https://fr.wikipedia.org/w/index.php?title=%C3%89rostrate&amp;oldid=173548642" TargetMode="External"/><Relationship Id="rId263" Type="http://schemas.openxmlformats.org/officeDocument/2006/relationships/hyperlink" Target="https://fr.wikipedia.org/w/index.php?title=Penny&amp;oldid=199318252" TargetMode="External"/><Relationship Id="rId319" Type="http://schemas.openxmlformats.org/officeDocument/2006/relationships/hyperlink" Target="https://fr.wikipedia.org/wiki/Alg%C3%A8bre_des_intervalles_d%27Allen" TargetMode="External"/><Relationship Id="rId470" Type="http://schemas.openxmlformats.org/officeDocument/2006/relationships/hyperlink" Target="https://www.w3.org/XML/" TargetMode="External"/><Relationship Id="rId58" Type="http://schemas.openxmlformats.org/officeDocument/2006/relationships/hyperlink" Target="https://www.btb.termiumplus.gc.ca/tpv2alpha/alpha-fra.html?lang=fra&amp;i=1&amp;srchtxt=merge&amp;index=ent&amp;codom2nd_wet=1" TargetMode="External"/><Relationship Id="rId123" Type="http://schemas.openxmlformats.org/officeDocument/2006/relationships/hyperlink" Target="https://fr.wikipedia.org/w/index.php?title=Fan-in&amp;oldid=176479056" TargetMode="External"/><Relationship Id="rId330" Type="http://schemas.openxmlformats.org/officeDocument/2006/relationships/hyperlink" Target="https://fr.wikipedia.org/w/index.php?title=La_Relativit%C3%A9&amp;oldid=197771496" TargetMode="External"/><Relationship Id="rId165" Type="http://schemas.openxmlformats.org/officeDocument/2006/relationships/hyperlink" Target="https://vitrinelinguistique.oqlf.gouv.qc.ca/22247/le-vocabulaire/nuances-semantiques/difference-entre-procede-processus-et-procedure" TargetMode="External"/><Relationship Id="rId372" Type="http://schemas.openxmlformats.org/officeDocument/2006/relationships/hyperlink" Target="https://doi.org/10.2307/3100798" TargetMode="External"/><Relationship Id="rId428" Type="http://schemas.openxmlformats.org/officeDocument/2006/relationships/hyperlink" Target="https://www.btb.termiumplus.gc.ca/tpv2alpha/alpha-fra.html?lang=fra&amp;i=1&amp;srchtxt=directed+graph&amp;index=alt&amp;codom2nd_wet=1" TargetMode="External"/><Relationship Id="rId232"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274" Type="http://schemas.openxmlformats.org/officeDocument/2006/relationships/hyperlink" Target="https://www.rct.uk/collection/2000811/the-coffin-of-king-george-vi-during-the-lying-in-state" TargetMode="External"/><Relationship Id="rId27" Type="http://schemas.openxmlformats.org/officeDocument/2006/relationships/hyperlink" Target="https://www.w3.org/Translations/" TargetMode="External"/><Relationship Id="rId69" Type="http://schemas.openxmlformats.org/officeDocument/2006/relationships/hyperlink" Target="https://json-ld.org/" TargetMode="External"/><Relationship Id="rId134" Type="http://schemas.openxmlformats.org/officeDocument/2006/relationships/hyperlink" Target="http://gdt.oqlf.gouv.qc.ca/ficheOqlf.aspx?Id_Fiche=8366746" TargetMode="External"/><Relationship Id="rId80" Type="http://schemas.openxmlformats.org/officeDocument/2006/relationships/hyperlink" Target="https://www.btb.termiumplus.gc.ca/tpv2alpha/alpha-fra.html?lang=fra&amp;i=1&amp;srchtxt=quantifier&amp;index=ent&amp;codom2nd_wet=1" TargetMode="External"/><Relationship Id="rId176" Type="http://schemas.openxmlformats.org/officeDocument/2006/relationships/hyperlink" Target="https://essentiels.bnf.fr/fr/image/eff2e8b4-8e73-4800-91fb-7d277ca66a34-femme-devant-poele-7e-etat" TargetMode="External"/><Relationship Id="rId341" Type="http://schemas.openxmlformats.org/officeDocument/2006/relationships/hyperlink" Target="http://dx.doi.org/10.5040/9780571291168.00000104" TargetMode="External"/><Relationship Id="rId383" Type="http://schemas.openxmlformats.org/officeDocument/2006/relationships/hyperlink" Target="https://en.wikipedia.org/wiki/Battle_of_Hastings" TargetMode="External"/><Relationship Id="rId439" Type="http://schemas.openxmlformats.org/officeDocument/2006/relationships/hyperlink" Target="https://www.btb.termiumplus.gc.ca/tpv2alpha/alpha-fra.html?lang=fra&amp;i=1&amp;srchtxt=custody&amp;codom2nd_wet=1" TargetMode="External"/><Relationship Id="rId201" Type="http://schemas.openxmlformats.org/officeDocument/2006/relationships/hyperlink" Target="https://fr.wikipedia.org/w/index.php?title=Chrisme&amp;oldid=184249375" TargetMode="External"/><Relationship Id="rId243" Type="http://schemas.openxmlformats.org/officeDocument/2006/relationships/hyperlink" Target="https://www.btb.termiumplus.gc.ca/tpv2alpha/alpha-fra.html?lang=fra&amp;i=1&amp;srchtxt=contiguous&amp;codom2nd_wet=1" TargetMode="External"/><Relationship Id="rId285" Type="http://schemas.openxmlformats.org/officeDocument/2006/relationships/hyperlink" Target="https://vitrinelinguistique.oqlf.gouv.qc.ca/23433/la-grammaire/ladjectif/accord-de-ladjectif/cas-particuliers-daccord-de-ladjectif/accord-des-adjectifs-maximal-minimal-et-optimal" TargetMode="External"/><Relationship Id="rId450" Type="http://schemas.openxmlformats.org/officeDocument/2006/relationships/hyperlink" Target="https://fr.wikipedia.org/w/index.php?title=Langue_SVO&amp;oldid=176099662" TargetMode="External"/><Relationship Id="rId38" Type="http://schemas.openxmlformats.org/officeDocument/2006/relationships/hyperlink" Target="https://fr.wikipedia.org/w/index.php?title=Langue_SVO&amp;oldid=176099662" TargetMode="External"/><Relationship Id="rId103" Type="http://schemas.openxmlformats.org/officeDocument/2006/relationships/hyperlink" Target="https://fr.wikipedia.org/w/index.php?title=Fan-out&amp;oldid=176479075" TargetMode="External"/><Relationship Id="rId310" Type="http://schemas.openxmlformats.org/officeDocument/2006/relationships/hyperlink" Target="https://en.wikipedia.org/w/index.php?title=Groschen&amp;oldid=1153418826" TargetMode="External"/><Relationship Id="rId91" Type="http://schemas.openxmlformats.org/officeDocument/2006/relationships/hyperlink" Target="https://fr.wikipedia.org/w/index.php?title=Fan-out&amp;oldid=176479075" TargetMode="External"/><Relationship Id="rId145" Type="http://schemas.openxmlformats.org/officeDocument/2006/relationships/image" Target="media/image5.png"/><Relationship Id="rId187" Type="http://schemas.openxmlformats.org/officeDocument/2006/relationships/hyperlink" Target="https://www.loc.gov/item/00279380435-ms" TargetMode="External"/><Relationship Id="rId352" Type="http://schemas.openxmlformats.org/officeDocument/2006/relationships/hyperlink" Target="https://doi.org/10.1017/CBO9781139333580" TargetMode="External"/><Relationship Id="rId394" Type="http://schemas.openxmlformats.org/officeDocument/2006/relationships/hyperlink" Target="https://www.cnrtl.fr/definition/p%C3%A9rissement" TargetMode="External"/><Relationship Id="rId408" Type="http://schemas.openxmlformats.org/officeDocument/2006/relationships/hyperlink" Target="https://doi.org/10.30861/9781407308814" TargetMode="External"/><Relationship Id="rId212" Type="http://schemas.openxmlformats.org/officeDocument/2006/relationships/hyperlink" Target="https://vitrinelinguistique.oqlf.gouv.qc.ca/21242/la-typographie/nombres/ecriture-des-dates-et-des-heures-dans-les-lettres-et-les-textes-courants" TargetMode="External"/><Relationship Id="rId254" Type="http://schemas.openxmlformats.org/officeDocument/2006/relationships/hyperlink" Target="https://www.cbbag.ca/resources/Public/Book%20Arts%20ENG%20FRE%20Translation.pdf" TargetMode="External"/><Relationship Id="rId49" Type="http://schemas.openxmlformats.org/officeDocument/2006/relationships/hyperlink" Target="https://www.btb.termiumplus.gc.ca/tpv2alpha/alpha-fra.html?lang=fra&amp;i=1&amp;srchtxt=primitive&amp;index=ent&amp;codom2nd_wet=1" TargetMode="External"/><Relationship Id="rId114" Type="http://schemas.openxmlformats.org/officeDocument/2006/relationships/hyperlink" Target="https://fr.wikipedia.org/w/index.php?title=Fan-out&amp;oldid=176479075" TargetMode="External"/><Relationship Id="rId296" Type="http://schemas.openxmlformats.org/officeDocument/2006/relationships/image" Target="media/image15.png"/><Relationship Id="rId461" Type="http://schemas.openxmlformats.org/officeDocument/2006/relationships/hyperlink" Target="https://en.wikipedia.org/w/index.php?title=Well-known_text_representation_of_geometry&amp;oldid=1105540049" TargetMode="External"/><Relationship Id="rId60" Type="http://schemas.openxmlformats.org/officeDocument/2006/relationships/hyperlink" Target="https://www.btb.termiumplus.gc.ca/tpv2alpha/alpha-fra.html?lang=fra&amp;i=1&amp;srchtxt=quantifier&amp;index=ent&amp;codom2nd_wet=1" TargetMode="External"/><Relationship Id="rId156" Type="http://schemas.microsoft.com/office/2016/09/relationships/commentsIds" Target="commentsIds.xml"/><Relationship Id="rId198" Type="http://schemas.openxmlformats.org/officeDocument/2006/relationships/hyperlink" Target="https://upload.wikimedia.org/wikipedia/commons/c/c4/Maxwell%27sEquations.svg" TargetMode="External"/><Relationship Id="rId321" Type="http://schemas.openxmlformats.org/officeDocument/2006/relationships/image" Target="media/image22.png"/><Relationship Id="rId363" Type="http://schemas.openxmlformats.org/officeDocument/2006/relationships/hyperlink" Target="https://www.musee-orsay.fr/fr/collections/catalogue-des-oeuvres/notice.html?no_cache=1&amp;nnumid=715" TargetMode="External"/><Relationship Id="rId419" Type="http://schemas.openxmlformats.org/officeDocument/2006/relationships/hyperlink" Target="https://www.btb.termiumplus.gc.ca/tpv2alpha/alpha-fra.html?lang=fra&amp;i=1&amp;srchtxt=avant+J%C3%A9sus-christ&amp;codom2nd_wet=1" TargetMode="External"/><Relationship Id="rId223" Type="http://schemas.openxmlformats.org/officeDocument/2006/relationships/hyperlink" Target="https://www.cnrtl.fr/definition/p%C3%A9rissement" TargetMode="External"/><Relationship Id="rId430" Type="http://schemas.openxmlformats.org/officeDocument/2006/relationships/hyperlink" Target="https://www.btb.termiumplus.gc.ca/tpv2alpha/alpha-fra.html?lang=fra&amp;i=1&amp;srchtxt=fan-out&amp;index=ent&amp;codom2nd_wet=1" TargetMode="External"/><Relationship Id="rId18" Type="http://schemas.openxmlformats.org/officeDocument/2006/relationships/hyperlink" Target="http://cidoc.mini.icom.museum/fr/" TargetMode="External"/><Relationship Id="rId265" Type="http://schemas.openxmlformats.org/officeDocument/2006/relationships/hyperlink" Target="https://fr.wikipedia.org/w/index.php?title=Trois_Glorieuses&amp;oldid=203438591" TargetMode="External"/><Relationship Id="rId472" Type="http://schemas.openxmlformats.org/officeDocument/2006/relationships/fontTable" Target="fontTable.xml"/><Relationship Id="rId125" Type="http://schemas.openxmlformats.org/officeDocument/2006/relationships/hyperlink" Target="https://www.btb.termiumplus.gc.ca/tpv2alpha/alpha-fra.html?lang=fra&amp;i=1&amp;srchtxt=fan-in&amp;index=ent&amp;codom2nd_wet=1" TargetMode="External"/><Relationship Id="rId167" Type="http://schemas.openxmlformats.org/officeDocument/2006/relationships/hyperlink" Target="https://www.btb.termiumplus.gc.ca/tpv2alpha/alpha-fra.html?lang=fra&amp;i=1&amp;srchtxt=custody&amp;codom2nd_wet=1" TargetMode="External"/><Relationship Id="rId332" Type="http://schemas.openxmlformats.org/officeDocument/2006/relationships/hyperlink" Target="http://archives2.getty.edu:8082/xtf/view?docId=ead/2003.M.46/2003.M.46.xml;chunk.id" TargetMode="External"/><Relationship Id="rId374" Type="http://schemas.openxmlformats.org/officeDocument/2006/relationships/hyperlink" Target="https://doi.org/10.1002/div.4323" TargetMode="External"/><Relationship Id="rId71" Type="http://schemas.openxmlformats.org/officeDocument/2006/relationships/hyperlink" Target="https://www.w3.org/OWL/" TargetMode="External"/><Relationship Id="rId234" Type="http://schemas.openxmlformats.org/officeDocument/2006/relationships/hyperlink" Target="https://ressources-naturelles.canada.ca/cartes-outils-et-publications/systemes-reference-geodesiques/le-systeme-canadien-reference-spatiale-scrs/9053" TargetMode="External"/><Relationship Id="rId2" Type="http://schemas.openxmlformats.org/officeDocument/2006/relationships/customXml" Target="../customXml/item2.xml"/><Relationship Id="rId29" Type="http://schemas.openxmlformats.org/officeDocument/2006/relationships/hyperlink" Target="https://fr.wikipedia.org/w/index.php?title=Langue_SVO&amp;oldid=176099662" TargetMode="External"/><Relationship Id="rId276" Type="http://schemas.openxmlformats.org/officeDocument/2006/relationships/hyperlink" Target="https://www.emunch.no/N/full/No-MM_N0001-01.jpg" TargetMode="External"/><Relationship Id="rId441" Type="http://schemas.openxmlformats.org/officeDocument/2006/relationships/hyperlink" Target="https://www.btb.termiumplus.gc.ca/tpv2alpha/alpha-fra.html?lang=fra&amp;i=1&amp;srchtxt=MUSEUM+EXHIBIT&amp;codom2nd_wet=1" TargetMode="External"/><Relationship Id="rId40" Type="http://schemas.openxmlformats.org/officeDocument/2006/relationships/hyperlink" Target="https://www.btb.termiumplus.gc.ca/tpv2alpha/alpha-fra.html?lang=fra&amp;i=1&amp;srchtxt=normalization&amp;index=alt&amp;codom2nd_wet=1" TargetMode="External"/><Relationship Id="rId136" Type="http://schemas.openxmlformats.org/officeDocument/2006/relationships/hyperlink" Target="https://www.w3.org/RDF/" TargetMode="External"/><Relationship Id="rId178" Type="http://schemas.openxmlformats.org/officeDocument/2006/relationships/hyperlink" Target="https://fr.wikipedia.org/w/index.php?title=Liste_des_gravures_de_Rembrandt&amp;oldid=180898582" TargetMode="External"/><Relationship Id="rId301" Type="http://schemas.openxmlformats.org/officeDocument/2006/relationships/hyperlink" Target="https://fr.wikipedia.org/wiki/Alg%C3%A8bre_des_intervalles_d%27Allen" TargetMode="External"/><Relationship Id="rId343" Type="http://schemas.openxmlformats.org/officeDocument/2006/relationships/hyperlink" Target="https://doi.org/10.1017/S0068246213000123" TargetMode="External"/><Relationship Id="rId82" Type="http://schemas.openxmlformats.org/officeDocument/2006/relationships/hyperlink" Target="https://www.btb.termiumplus.gc.ca/tpv2alpha/alpha-fra.html?lang=fra&amp;i=1&amp;srchtxt=cardinalit%C3%A9&amp;index=frt&amp;codom2nd_wet=1" TargetMode="External"/><Relationship Id="rId203"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385" Type="http://schemas.openxmlformats.org/officeDocument/2006/relationships/hyperlink" Target="https://doi.org/10.4324/9781003006121" TargetMode="External"/><Relationship Id="rId245" Type="http://schemas.openxmlformats.org/officeDocument/2006/relationships/hyperlink" Target="https://fr.wikipedia.org/w/index.php?title=Georges_Amoudruz&amp;oldid=202151566" TargetMode="External"/><Relationship Id="rId287" Type="http://schemas.openxmlformats.org/officeDocument/2006/relationships/image" Target="media/image10.png"/><Relationship Id="rId410" Type="http://schemas.openxmlformats.org/officeDocument/2006/relationships/hyperlink" Target="https://vitrinelinguistique.oqlf.gouv.qc.ca/21640/la-typographie/nombres/ecriture-des-dates" TargetMode="External"/><Relationship Id="rId452" Type="http://schemas.openxmlformats.org/officeDocument/2006/relationships/hyperlink" Target="https://fr.wikipedia.org/wiki/Alg%C3%A8bre_des_intervalles_d%27Allen" TargetMode="External"/><Relationship Id="rId30" Type="http://schemas.openxmlformats.org/officeDocument/2006/relationships/hyperlink" Target="https://fr.wikipedia.org/w/index.php?title=Langue_SVO&amp;oldid=176099662" TargetMode="External"/><Relationship Id="rId105" Type="http://schemas.openxmlformats.org/officeDocument/2006/relationships/hyperlink" Target="https://www.btb.termiumplus.gc.ca/tpv2alpha/alpha-fra.html?lang=fra&amp;i=1&amp;srchtxt=fan-in&amp;index=ent&amp;codom2nd_wet=1" TargetMode="External"/><Relationship Id="rId126" Type="http://schemas.openxmlformats.org/officeDocument/2006/relationships/hyperlink" Target="https://www.btb.termiumplus.gc.ca/tpv2alpha/alpha-fra.html?lang=fra&amp;i=&amp;index=alt&amp;srchtxt=CATEGORIE%20REPETABLE" TargetMode="External"/><Relationship Id="rId147" Type="http://schemas.openxmlformats.org/officeDocument/2006/relationships/hyperlink" Target="https://www.editions-allia.com/fr/livre/91/pensees-sur-limitation-des-uvres-grecques-en-peinture-et-en-sculpture" TargetMode="External"/><Relationship Id="rId168" Type="http://schemas.openxmlformats.org/officeDocument/2006/relationships/hyperlink" Target="https://www.btb.termiumplus.gc.ca/tpv2alpha/alpha-fra.html?lang=fra&amp;i=1&amp;srchtxt=custody&amp;codom2nd_wet=1" TargetMode="External"/><Relationship Id="rId312" Type="http://schemas.openxmlformats.org/officeDocument/2006/relationships/hyperlink" Target="https://en.wiktionary.org/w/index.php?title=oka&amp;oldid=72628696" TargetMode="External"/><Relationship Id="rId333" Type="http://schemas.openxmlformats.org/officeDocument/2006/relationships/hyperlink" Target="https://archives.yale.edu/repositories/12/archival_objects/1402266" TargetMode="External"/><Relationship Id="rId354" Type="http://schemas.openxmlformats.org/officeDocument/2006/relationships/hyperlink" Target="https://www.historical-museum.gr/eng/collections/view/nomismatikh-sullogh" TargetMode="External"/><Relationship Id="rId51" Type="http://schemas.openxmlformats.org/officeDocument/2006/relationships/hyperlink" Target="https://www.lri.fr/~groz/documents/rapport.pdf" TargetMode="External"/><Relationship Id="rId72" Type="http://schemas.openxmlformats.org/officeDocument/2006/relationships/hyperlink" Target="https://www.w3.org/TR/rdf11-schema/" TargetMode="External"/><Relationship Id="rId93" Type="http://schemas.openxmlformats.org/officeDocument/2006/relationships/hyperlink" Target="https://www.btb.termiumplus.gc.ca/tpv2alpha/alpha-fra.html?lang=fra&amp;i=1&amp;srchtxt=fan-in&amp;index=ent&amp;codom2nd_wet=1" TargetMode="External"/><Relationship Id="rId189" Type="http://schemas.openxmlformats.org/officeDocument/2006/relationships/hyperlink" Target="https://www.moulinduverger.com/reliure-manuelle/roret-69.php" TargetMode="External"/><Relationship Id="rId375" Type="http://schemas.openxmlformats.org/officeDocument/2006/relationships/hyperlink" Target="https://doi.org/10.1007/978-1-4612-5196-5_8" TargetMode="External"/><Relationship Id="rId396" Type="http://schemas.openxmlformats.org/officeDocument/2006/relationships/hyperlink" Target="https://portail.biblissima.fr/fr/ark:/43093/mdata4173039fff31678134d93fd0bd8ff41dd71226a8" TargetMode="External"/><Relationship Id="rId3" Type="http://schemas.openxmlformats.org/officeDocument/2006/relationships/customXml" Target="../customXml/item3.xml"/><Relationship Id="rId214" Type="http://schemas.openxmlformats.org/officeDocument/2006/relationships/hyperlink" Target="https://www.btb.termiumplus.gc.ca/tpv2alpha/alpha-fra.html?lang=fra&amp;srchtxt=VIA&amp;i=&amp;index=ent&amp;sg_kp_wet=1323269&amp;fchrcrdnm=4" TargetMode="External"/><Relationship Id="rId235" Type="http://schemas.openxmlformats.org/officeDocument/2006/relationships/hyperlink" Target="https://ressources-naturelles.canada.ca/cartes-outils-et-publications/systemes-reference-geodesiques/le-systeme-canadien-reference-spatiale-scrs/9053" TargetMode="External"/><Relationship Id="rId256" Type="http://schemas.openxmlformats.org/officeDocument/2006/relationships/hyperlink" Target="https://www.moulinduverger.com/reliure-manuelle/roret-69.php" TargetMode="External"/><Relationship Id="rId277" Type="http://schemas.openxmlformats.org/officeDocument/2006/relationships/hyperlink" Target="https://www.benaki.org//index.php?option=com_collections&amp;view=collection&amp;id=45&amp;Itemid=540&amp;lang=el" TargetMode="External"/><Relationship Id="rId298" Type="http://schemas.openxmlformats.org/officeDocument/2006/relationships/hyperlink" Target="https://fr.wikipedia.org/wiki/Alg%C3%A8bre_des_intervalles_d%27Allen" TargetMode="External"/><Relationship Id="rId400" Type="http://schemas.openxmlformats.org/officeDocument/2006/relationships/hyperlink" Target="https://cidoc-crm.org/sites/default/files/cidoc_crm_version_6.2.pdf" TargetMode="External"/><Relationship Id="rId421" Type="http://schemas.openxmlformats.org/officeDocument/2006/relationships/hyperlink" Target="https://www.btb.termiumplus.gc.ca/tpv2alpha/alpha-fra.html?lang=fra&amp;srchtxt=temporal%20reasoning&amp;i=&amp;index=alt&amp;sg_kp_wet=921138&amp;fchrcrdnm=1" TargetMode="External"/><Relationship Id="rId442" Type="http://schemas.openxmlformats.org/officeDocument/2006/relationships/hyperlink" Target="https://impactalk.gr/en/stories-talk/maria-argyriadi-researcher-and-toys-collector-changed-benaki-museum" TargetMode="External"/><Relationship Id="rId463" Type="http://schemas.openxmlformats.org/officeDocument/2006/relationships/hyperlink" Target="https://en.wikipedia.org/w/index.php?title=Groschen&amp;oldid=1153418826" TargetMode="External"/><Relationship Id="rId116" Type="http://schemas.openxmlformats.org/officeDocument/2006/relationships/hyperlink" Target="https://www.btb.termiumplus.gc.ca/tpv2alpha/alpha-fra.html?lang=fra&amp;i=&amp;index=alt&amp;srchtxt=CATEGORIE%20REPETABLE" TargetMode="External"/><Relationship Id="rId137" Type="http://schemas.openxmlformats.org/officeDocument/2006/relationships/hyperlink" Target="https://fr.wikipedia.org/w/index.php?title=Extension_conservatrice&amp;oldid=143598511" TargetMode="External"/><Relationship Id="rId158" Type="http://schemas.openxmlformats.org/officeDocument/2006/relationships/hyperlink" Target="https://fr.wikipedia.org/wiki/Univers_du_discours" TargetMode="External"/><Relationship Id="rId302" Type="http://schemas.openxmlformats.org/officeDocument/2006/relationships/hyperlink" Target="https://fr.wikipedia.org/wiki/Alg%C3%A8bre_des_intervalles_d%27Allen" TargetMode="External"/><Relationship Id="rId323" Type="http://schemas.openxmlformats.org/officeDocument/2006/relationships/hyperlink" Target="https://fr.wikipedia.org/wiki/Alg%C3%A8bre_des_intervalles_d%27Allen" TargetMode="External"/><Relationship Id="rId344" Type="http://schemas.openxmlformats.org/officeDocument/2006/relationships/hyperlink" Target="https://doi.org/10.1177/030913330102500304" TargetMode="External"/><Relationship Id="rId20" Type="http://schemas.openxmlformats.org/officeDocument/2006/relationships/hyperlink" Target="https://www.btb.termiumplus.gc.ca/tpv2alpha/alpha-fra.html?lang=fra&amp;i=1&amp;srchtxt=construct&amp;index=ent&amp;codom2nd_wet=1" TargetMode="External"/><Relationship Id="rId41" Type="http://schemas.openxmlformats.org/officeDocument/2006/relationships/hyperlink" Target="https://www.btb.termiumplus.gc.ca/tpv2alpha/alpha-fra.html?lang=fra&amp;i=1&amp;srchtxt=normalization&amp;index=alt&amp;codom2nd_wet=1" TargetMode="External"/><Relationship Id="rId62" Type="http://schemas.openxmlformats.org/officeDocument/2006/relationships/hyperlink" Target="https://www.btb.termiumplus.gc.ca/tpv2alpha/alpha-eng.html?lang=eng&amp;i=1&amp;srchtxt=INFORMATION+SYSTEM&amp;index=ent&amp;codom2nd_wet=1" TargetMode="External"/><Relationship Id="rId83" Type="http://schemas.openxmlformats.org/officeDocument/2006/relationships/hyperlink" Target="https://www.btb.termiumplus.gc.ca/tpv2alpha/alpha-fra.html?lang=fra&amp;i=1&amp;srchtxt=cardinalit%C3%A9&amp;index=frt&amp;codom2nd_wet=1" TargetMode="External"/><Relationship Id="rId179" Type="http://schemas.openxmlformats.org/officeDocument/2006/relationships/hyperlink" Target="https://fr.wikipedia.org/w/index.php?title=Liste_des_gravures_de_Rembrandt&amp;oldid=180898582" TargetMode="External"/><Relationship Id="rId365" Type="http://schemas.openxmlformats.org/officeDocument/2006/relationships/hyperlink" Target="https://data.nhm.ac.uk/object/e1bfb1ab-e94e-4e0a-a13c-bc54e03f22e5" TargetMode="External"/><Relationship Id="rId386" Type="http://schemas.openxmlformats.org/officeDocument/2006/relationships/hyperlink" Target="https://youingreece.com/heraklion/venetian-walls" TargetMode="External"/><Relationship Id="rId190" Type="http://schemas.openxmlformats.org/officeDocument/2006/relationships/hyperlink" Target="https://reliuredartdare.com/2021/09/batonnets-tranchefile-fabrication/" TargetMode="External"/><Relationship Id="rId204"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225" Type="http://schemas.openxmlformats.org/officeDocument/2006/relationships/hyperlink" Target="https://www.btb.termiumplus.gc.ca/tpv2alpha/alpha-fra.html?lang=fra&amp;srchtxt=IDEATIONAL+CONTENT" TargetMode="External"/><Relationship Id="rId246" Type="http://schemas.openxmlformats.org/officeDocument/2006/relationships/hyperlink" Target="https://fr.wikipedia.org/w/index.php?title=Expositions_des_vestiges_arch%C3%A9ologiques_provenant_de_la_tombe_de_Tout%C3%A2nkhamon&amp;oldid=179392035" TargetMode="External"/><Relationship Id="rId267" Type="http://schemas.openxmlformats.org/officeDocument/2006/relationships/hyperlink" Target="https://www.btb.termiumplus.gc.ca/tpv2alpha/alpha-fra.html?lang=fra&amp;i=1&amp;srchtxt=back+catalogue&amp;index=alt&amp;codom2nd_wet=1" TargetMode="External"/><Relationship Id="rId288" Type="http://schemas.openxmlformats.org/officeDocument/2006/relationships/image" Target="media/image11.png"/><Relationship Id="rId411" Type="http://schemas.openxmlformats.org/officeDocument/2006/relationships/hyperlink" Target="https://vitrinelinguistique.oqlf.gouv.qc.ca/21242/la-typographie/nombres/ecriture-des-dates-et-des-heures-dans-les-lettres-et-les-textes-courants" TargetMode="External"/><Relationship Id="rId432" Type="http://schemas.openxmlformats.org/officeDocument/2006/relationships/hyperlink" Target="https://www.btb.termiumplus.gc.ca/tpv2alpha/alpha-eng.html?lang=eng&amp;i=1&amp;srchtxt=INFORMATION+SYSTEM&amp;index=ent&amp;codom2nd_wet=1" TargetMode="External"/><Relationship Id="rId453" Type="http://schemas.openxmlformats.org/officeDocument/2006/relationships/hyperlink" Target="https://fr.wikipedia.org/w/index.php?title=Chrisme&amp;oldid=184249375" TargetMode="External"/><Relationship Id="rId474" Type="http://schemas.openxmlformats.org/officeDocument/2006/relationships/theme" Target="theme/theme1.xml"/><Relationship Id="rId106" Type="http://schemas.openxmlformats.org/officeDocument/2006/relationships/hyperlink" Target="https://www.btb.termiumplus.gc.ca/tpv2alpha/alpha-fra.html?lang=fra&amp;i=&amp;index=alt&amp;srchtxt=CATEGORIE%20REPETABLE" TargetMode="External"/><Relationship Id="rId127" Type="http://schemas.openxmlformats.org/officeDocument/2006/relationships/hyperlink" Target="https://www.btb.termiumplus.gc.ca/tpv2alpha/alpha-fra.html?lang=fra&amp;i=&amp;index=alt&amp;srchtxt=CATEGORIE%20REPETABLE" TargetMode="External"/><Relationship Id="rId313" Type="http://schemas.openxmlformats.org/officeDocument/2006/relationships/image" Target="media/image18.png"/><Relationship Id="rId10" Type="http://schemas.openxmlformats.org/officeDocument/2006/relationships/footnotes" Target="footnotes.xml"/><Relationship Id="rId31" Type="http://schemas.openxmlformats.org/officeDocument/2006/relationships/hyperlink" Target="https://fr.wikipedia.org/w/index.php?title=Langue_SVO&amp;oldid=176099662" TargetMode="External"/><Relationship Id="rId52" Type="http://schemas.openxmlformats.org/officeDocument/2006/relationships/hyperlink" Target="https://www.btb.termiumplus.gc.ca/tpv2alpha/alpha-fra.html?lang=fra&amp;i=1&amp;srchtxt=containment&amp;index=ent&amp;codom2nd_wet=1" TargetMode="External"/><Relationship Id="rId73" Type="http://schemas.openxmlformats.org/officeDocument/2006/relationships/hyperlink" Target="https://www.w3.org/XML/" TargetMode="External"/><Relationship Id="rId94" Type="http://schemas.openxmlformats.org/officeDocument/2006/relationships/hyperlink" Target="https://www.btb.termiumplus.gc.ca/tpv2alpha/alpha-fra.html?lang=fra&amp;i=&amp;index=alt&amp;srchtxt=CATEGORIE%20REPETABLE" TargetMode="External"/><Relationship Id="rId148" Type="http://schemas.openxmlformats.org/officeDocument/2006/relationships/image" Target="media/image6.png"/><Relationship Id="rId169" Type="http://schemas.openxmlformats.org/officeDocument/2006/relationships/hyperlink" Target="https://hermitagemuseum.org/wps/portal/hermitage/digital-collection/01.+Paintings/32730" TargetMode="External"/><Relationship Id="rId334" Type="http://schemas.openxmlformats.org/officeDocument/2006/relationships/hyperlink" Target="https://archives.yale.edu/repositories/12/archival_objects/1402266" TargetMode="External"/><Relationship Id="rId355" Type="http://schemas.openxmlformats.org/officeDocument/2006/relationships/hyperlink" Target="https://doi.org/10.1179/sic.2010.55.Supplement-2.56" TargetMode="External"/><Relationship Id="rId376" Type="http://schemas.openxmlformats.org/officeDocument/2006/relationships/hyperlink" Target="https://www.asahi.com/ajw/articles/13257178" TargetMode="External"/><Relationship Id="rId397" Type="http://schemas.openxmlformats.org/officeDocument/2006/relationships/hyperlink" Target="https://www.loc.gov/item/00279380435-ms" TargetMode="External"/><Relationship Id="rId4" Type="http://schemas.openxmlformats.org/officeDocument/2006/relationships/customXml" Target="../customXml/item4.xml"/><Relationship Id="rId180" Type="http://schemas.openxmlformats.org/officeDocument/2006/relationships/hyperlink" Target="https://portail.biblissima.fr/fr/ark:/43093/mdata4173039fff31678134d93fd0bd8ff41dd71226a8" TargetMode="External"/><Relationship Id="rId215" Type="http://schemas.openxmlformats.org/officeDocument/2006/relationships/hyperlink" Target="https://www.btb.termiumplus.gc.ca/tpv2alpha/alpha-fra.html?lang=fra&amp;srchtxt=temporal%20reasoning&amp;i=&amp;index=alt&amp;sg_kp_wet=921138&amp;fchrcrdnm=1" TargetMode="External"/><Relationship Id="rId236" Type="http://schemas.openxmlformats.org/officeDocument/2006/relationships/hyperlink" Target="https://natural-resources.canada.ca/maps-tools-and-publications/geodetic-reference-systems/canadian-spatial-reference-system-csrs/9052" TargetMode="External"/><Relationship Id="rId257" Type="http://schemas.openxmlformats.org/officeDocument/2006/relationships/hyperlink" Target="https://www.moulinduverger.com/reliure-manuelle/roret-69.php" TargetMode="External"/><Relationship Id="rId278" Type="http://schemas.openxmlformats.org/officeDocument/2006/relationships/hyperlink" Target="https://www.benaki.org//index.php?option=com_collections&amp;view=collection&amp;id=45&amp;Itemid=540&amp;lang=el" TargetMode="External"/><Relationship Id="rId401" Type="http://schemas.openxmlformats.org/officeDocument/2006/relationships/hyperlink" Target="http://cidoc-crm.org/sites/default/files/CIDOC%20CRM_v.7.1%20%5B8%20March%202021%5D.pdf" TargetMode="External"/><Relationship Id="rId422" Type="http://schemas.openxmlformats.org/officeDocument/2006/relationships/hyperlink" Target="https://www.btb.termiumplus.gc.ca/tpv2alpha/alpha-fra.html?lang=fra&amp;i=1&amp;srchtxt=back+catalogue&amp;index=alt&amp;codom2nd_wet=1" TargetMode="External"/><Relationship Id="rId443" Type="http://schemas.openxmlformats.org/officeDocument/2006/relationships/hyperlink" Target="https://utpictura18.univ-amu.fr/notice/4226-farinelli-amis-amigoni" TargetMode="External"/><Relationship Id="rId464" Type="http://schemas.openxmlformats.org/officeDocument/2006/relationships/hyperlink" Target="https://en.wiktionary.org/w/index.php?title=oka&amp;oldid=72628696" TargetMode="External"/><Relationship Id="rId303" Type="http://schemas.openxmlformats.org/officeDocument/2006/relationships/hyperlink" Target="https://www.moulinduverger.com/reliure-manuelle/roret-69.php" TargetMode="External"/><Relationship Id="rId42" Type="http://schemas.openxmlformats.org/officeDocument/2006/relationships/hyperlink" Target="https://www.btb.termiumplus.gc.ca/tpv2alpha/alpha-fra.html?lang=fra&amp;i=1&amp;srchtxt=directed+graph&amp;index=alt&amp;codom2nd_wet=1" TargetMode="External"/><Relationship Id="rId84" Type="http://schemas.openxmlformats.org/officeDocument/2006/relationships/hyperlink" Target="https://www.btb.termiumplus.gc.ca/tpv2alpha/alpha-fra.html?lang=fra&amp;i=&amp;index=alt&amp;srchtxt=CATEGORIE%20REPETABLE" TargetMode="External"/><Relationship Id="rId138" Type="http://schemas.openxmlformats.org/officeDocument/2006/relationships/hyperlink" Target="https://fr.wikipedia.org/w/index.php?title=Extension_conservatrice&amp;oldid=143598511" TargetMode="External"/><Relationship Id="rId345" Type="http://schemas.openxmlformats.org/officeDocument/2006/relationships/hyperlink" Target="https://doi.org/10.1080/03007760802021093" TargetMode="External"/><Relationship Id="rId387" Type="http://schemas.openxmlformats.org/officeDocument/2006/relationships/hyperlink" Target="https://www.w3.org/RDF/" TargetMode="External"/><Relationship Id="rId191" Type="http://schemas.openxmlformats.org/officeDocument/2006/relationships/hyperlink" Target="https://reliuredartdare.com/2021/09/batonnets-tranchefile-fabrication/" TargetMode="External"/><Relationship Id="rId205" Type="http://schemas.openxmlformats.org/officeDocument/2006/relationships/hyperlink" Target="https://fr.wikipedia.org/w/index.php?title=%E5%AE%89" TargetMode="External"/><Relationship Id="rId247" Type="http://schemas.openxmlformats.org/officeDocument/2006/relationships/hyperlink" Target="https://fr.wikipedia.org/w/index.php?title=Expositions_des_vestiges_arch%C3%A9ologiques_provenant_de_la_tombe_de_Tout%C3%A2nkhamon&amp;oldid=179392035" TargetMode="External"/><Relationship Id="rId412" Type="http://schemas.openxmlformats.org/officeDocument/2006/relationships/hyperlink" Target="https://vitrinelinguistique.oqlf.gouv.qc.ca/22247/le-vocabulaire/nuances-semantiques/difference-entre-procede-processus-et-procedure" TargetMode="External"/><Relationship Id="rId107" Type="http://schemas.openxmlformats.org/officeDocument/2006/relationships/hyperlink" Target="https://www.btb.termiumplus.gc.ca/tpv2alpha/alpha-fra.html?lang=fra&amp;i=&amp;index=alt&amp;srchtxt=CATEGORIE%20REPETABLE" TargetMode="External"/><Relationship Id="rId289" Type="http://schemas.openxmlformats.org/officeDocument/2006/relationships/hyperlink" Target="https://fr.wikipedia.org/wiki/Alg%C3%A8bre_des_intervalles_d%27Allen" TargetMode="External"/><Relationship Id="rId454" Type="http://schemas.openxmlformats.org/officeDocument/2006/relationships/hyperlink" Target="https://fr.wikipedia.org/w/index.php?title=Expositions_des_vestiges_arch%C3%A9ologiques_provenant_de_la_tombe_de_Tout%C3%A2nkhamon&amp;oldid=179392035" TargetMode="External"/><Relationship Id="rId11" Type="http://schemas.openxmlformats.org/officeDocument/2006/relationships/endnotes" Target="endnotes.xml"/><Relationship Id="rId53" Type="http://schemas.openxmlformats.org/officeDocument/2006/relationships/hyperlink" Target="https://www.btb.termiumplus.gc.ca/tpv2alpha/alpha-fra.html?lang=fra&amp;i=1&amp;srchtxt=containment&amp;index=ent&amp;codom2nd_wet=1" TargetMode="External"/><Relationship Id="rId149" Type="http://schemas.openxmlformats.org/officeDocument/2006/relationships/image" Target="media/image7.png"/><Relationship Id="rId314" Type="http://schemas.openxmlformats.org/officeDocument/2006/relationships/image" Target="media/image19.png"/><Relationship Id="rId356" Type="http://schemas.openxmlformats.org/officeDocument/2006/relationships/hyperlink" Target="http://www.newtonproject.ox.ac.uk/view/contexts/CNTX00002" TargetMode="External"/><Relationship Id="rId398" Type="http://schemas.openxmlformats.org/officeDocument/2006/relationships/hyperlink" Target="http://cidoc.mini.icom.museum/fr/" TargetMode="External"/><Relationship Id="rId95" Type="http://schemas.openxmlformats.org/officeDocument/2006/relationships/hyperlink" Target="https://www.btb.termiumplus.gc.ca/tpv2alpha/alpha-fra.html?lang=fra&amp;i=&amp;index=alt&amp;srchtxt=CATEGORIE%20REPETABLE" TargetMode="External"/><Relationship Id="rId160" Type="http://schemas.openxmlformats.org/officeDocument/2006/relationships/hyperlink" Target="http://www.cidoc-crm.org/crmgeo/home-5" TargetMode="External"/><Relationship Id="rId216" Type="http://schemas.openxmlformats.org/officeDocument/2006/relationships/hyperlink" Target="https://www.btb.termiumplus.gc.ca/tpv2alpha/alpha-fra.html?lang=fra&amp;srchtxt=temporal%20reasoning&amp;i=&amp;index=alt&amp;sg_kp_wet=921138&amp;fchrcrdnm=1" TargetMode="External"/><Relationship Id="rId423" Type="http://schemas.openxmlformats.org/officeDocument/2006/relationships/hyperlink" Target="https://www.btb.termiumplus.gc.ca/tpv2alpha/alpha-fra.html?lang=fra&amp;i=1&amp;srchtxt=cardinalit%C3%A9&amp;index=frt&amp;codom2nd_wet=1" TargetMode="External"/><Relationship Id="rId258" Type="http://schemas.openxmlformats.org/officeDocument/2006/relationships/hyperlink" Target="https://reliuredartdare.com/2021/09/batonnets-tranchefile-fabrication/" TargetMode="External"/><Relationship Id="rId465" Type="http://schemas.openxmlformats.org/officeDocument/2006/relationships/hyperlink" Target="https://en.wikipedia.org/w/index.php?title=Sch%C3%B6ningen_spears&amp;oldid=1143301875" TargetMode="External"/><Relationship Id="rId22" Type="http://schemas.openxmlformats.org/officeDocument/2006/relationships/hyperlink" Target="https://www.btb.termiumplus.gc.ca/tpv2alpha/alpha-fra.html?lang=fra&amp;i=1&amp;srchtxt=construct&amp;index=ent&amp;codom2nd_wet=1" TargetMode="External"/><Relationship Id="rId64" Type="http://schemas.openxmlformats.org/officeDocument/2006/relationships/hyperlink" Target="https://www.w3.org/TR/rdf11-schema/" TargetMode="External"/><Relationship Id="rId118" Type="http://schemas.openxmlformats.org/officeDocument/2006/relationships/hyperlink" Target="https://www.btb.termiumplus.gc.ca/tpv2alpha/alpha-fra.html?lang=fra&amp;i=1&amp;srchtxt=fan-in&amp;index=ent&amp;codom2nd_wet=1" TargetMode="External"/><Relationship Id="rId325" Type="http://schemas.openxmlformats.org/officeDocument/2006/relationships/image" Target="media/image24.png"/><Relationship Id="rId367" Type="http://schemas.openxmlformats.org/officeDocument/2006/relationships/hyperlink" Target="https://repository.library.georgetown.edu/handle/10822/552838" TargetMode="External"/><Relationship Id="rId171" Type="http://schemas.openxmlformats.org/officeDocument/2006/relationships/hyperlink" Target="https://fr.wikipedia.org/w/index.php?title=Expositions_des_vestiges_arch%C3%A9ologiques_provenant_de_la_tombe_de_Tout%C3%A2nkhamon&amp;oldid=179392035" TargetMode="External"/><Relationship Id="rId227" Type="http://schemas.openxmlformats.org/officeDocument/2006/relationships/hyperlink" Target="https://en.wikipedia.org/w/index.php?title=Sch%C3%B6ningen_spears&amp;oldid=1143301875" TargetMode="External"/><Relationship Id="rId269" Type="http://schemas.openxmlformats.org/officeDocument/2006/relationships/hyperlink" Target="https://www.btb.termiumplus.gc.ca/tpv2alpha/alpha-fra.html?lang=fra&amp;i=1&amp;srchtxt=back+catalogue&amp;index=alt&amp;codom2nd_wet=1" TargetMode="External"/><Relationship Id="rId434" Type="http://schemas.openxmlformats.org/officeDocument/2006/relationships/hyperlink" Target="https://www.btb.termiumplus.gc.ca/tpv2alpha/alpha-fra.html?lang=fra&amp;i=1&amp;srchtxt=merge&amp;index=ent&amp;codom2nd_wet=1" TargetMode="External"/><Relationship Id="rId33" Type="http://schemas.openxmlformats.org/officeDocument/2006/relationships/hyperlink" Target="https://www.w3.org/RDF/" TargetMode="External"/><Relationship Id="rId129" Type="http://schemas.openxmlformats.org/officeDocument/2006/relationships/hyperlink" Target="https://fr.wikipedia.org/w/index.php?title=Fan-in&amp;oldid=176479056" TargetMode="External"/><Relationship Id="rId280" Type="http://schemas.openxmlformats.org/officeDocument/2006/relationships/hyperlink" Target="https://impactalk.gr/en/stories-talk/maria-argyriadi-researcher-and-toys-collector-changed-benaki-museum" TargetMode="External"/><Relationship Id="rId336" Type="http://schemas.openxmlformats.org/officeDocument/2006/relationships/hyperlink" Target="https://www.nytimes.com/2001/11/30/business/enron-s-collapse-options-trend-toward-liquidation-not-company-reorganization.html" TargetMode="External"/><Relationship Id="rId75" Type="http://schemas.openxmlformats.org/officeDocument/2006/relationships/hyperlink" Target="https://www.w3.org/OWL/" TargetMode="External"/><Relationship Id="rId140" Type="http://schemas.openxmlformats.org/officeDocument/2006/relationships/hyperlink" Target="https://fr.wikipedia.org/w/index.php?title=Monotonie&amp;oldid=134697868" TargetMode="External"/><Relationship Id="rId182" Type="http://schemas.openxmlformats.org/officeDocument/2006/relationships/hyperlink" Target="https://www.loc.gov/item/00279380435-ms" TargetMode="External"/><Relationship Id="rId378" Type="http://schemas.openxmlformats.org/officeDocument/2006/relationships/hyperlink" Target="http://digitallibrary.un.org/record/478123" TargetMode="External"/><Relationship Id="rId403" Type="http://schemas.openxmlformats.org/officeDocument/2006/relationships/hyperlink" Target="https://www.lri.fr/~groz/documents/rapport.pdf" TargetMode="External"/><Relationship Id="rId6" Type="http://schemas.openxmlformats.org/officeDocument/2006/relationships/numbering" Target="numbering.xml"/><Relationship Id="rId238" Type="http://schemas.openxmlformats.org/officeDocument/2006/relationships/hyperlink" Target="https://fr.wikipedia.org/w/index.php?title=Forum_Romain_(Rome)&amp;oldid=215741700" TargetMode="External"/><Relationship Id="rId445" Type="http://schemas.openxmlformats.org/officeDocument/2006/relationships/hyperlink" Target="https://fr.wikipedia.org/w/index.php?title=Extension_conservatrice&amp;oldid=143598511" TargetMode="External"/><Relationship Id="rId291" Type="http://schemas.openxmlformats.org/officeDocument/2006/relationships/image" Target="media/image12.png"/><Relationship Id="rId305" Type="http://schemas.openxmlformats.org/officeDocument/2006/relationships/hyperlink" Target="https://reliuredartdare.com/2021/09/batonnets-tranchefile-fabrication/" TargetMode="External"/><Relationship Id="rId347" Type="http://schemas.openxmlformats.org/officeDocument/2006/relationships/hyperlink" Target="https://doi.org/10.1016/j.euroecorev.2014.08.004" TargetMode="External"/><Relationship Id="rId44" Type="http://schemas.openxmlformats.org/officeDocument/2006/relationships/hyperlink" Target="https://www.btb.termiumplus.gc.ca/tpv2alpha/alpha-fra.html?lang=fra&amp;i=1&amp;srchtxt=join&amp;index=ent&amp;codom2nd_wet=1" TargetMode="External"/><Relationship Id="rId86" Type="http://schemas.openxmlformats.org/officeDocument/2006/relationships/hyperlink" Target="https://www.btb.termiumplus.gc.ca/tpv2alpha/alpha-fra.html?lang=fra&amp;i=1&amp;srchtxt=fan-out&amp;index=ent&amp;codom2nd_wet=1" TargetMode="External"/><Relationship Id="rId151" Type="http://schemas.openxmlformats.org/officeDocument/2006/relationships/hyperlink" Target="https://cidoc-crm.org/sites/default/files/cidoc_crm_version_6.2.pdf" TargetMode="External"/><Relationship Id="rId389"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193" Type="http://schemas.openxmlformats.org/officeDocument/2006/relationships/hyperlink" Target="https://www.cbbag.ca/resources/Public/Book%20Arts%20ENG%20FRE%20Translation.pdf" TargetMode="External"/><Relationship Id="rId207" Type="http://schemas.openxmlformats.org/officeDocument/2006/relationships/hyperlink" Target="mailto:weasel@paveprime.com" TargetMode="External"/><Relationship Id="rId249" Type="http://schemas.openxmlformats.org/officeDocument/2006/relationships/hyperlink" Target="https://fr.wikipedia.org/w/index.php?title=Expositions_des_vestiges_arch%C3%A9ologiques_provenant_de_la_tombe_de_Tout%C3%A2nkhamon&amp;oldid=179392035" TargetMode="External"/><Relationship Id="rId414" Type="http://schemas.openxmlformats.org/officeDocument/2006/relationships/hyperlink" Target="https://www.w3.org/OWL/" TargetMode="External"/><Relationship Id="rId456" Type="http://schemas.openxmlformats.org/officeDocument/2006/relationships/hyperlink" Target="https://fr.wikipedia.org/w/index.php?title=United_Press_International&amp;oldid=182934531" TargetMode="External"/><Relationship Id="rId13" Type="http://schemas.openxmlformats.org/officeDocument/2006/relationships/image" Target="media/image2.png"/><Relationship Id="rId109" Type="http://schemas.openxmlformats.org/officeDocument/2006/relationships/hyperlink" Target="https://fr.wikipedia.org/w/index.php?title=Fan-in&amp;oldid=176479056" TargetMode="External"/><Relationship Id="rId260" Type="http://schemas.openxmlformats.org/officeDocument/2006/relationships/hyperlink" Target="https://www.cbbag.ca/resources/Public/Book%20Arts%20ENG%20FRE%20Translation.pdf" TargetMode="External"/><Relationship Id="rId316" Type="http://schemas.openxmlformats.org/officeDocument/2006/relationships/hyperlink" Target="https://fr.wikipedia.org/wiki/Alg%C3%A8bre_des_intervalles_d%27Allen" TargetMode="External"/><Relationship Id="rId55" Type="http://schemas.openxmlformats.org/officeDocument/2006/relationships/hyperlink" Target="https://www.lri.fr/~groz/documents/rapport.pdf" TargetMode="External"/><Relationship Id="rId97" Type="http://schemas.openxmlformats.org/officeDocument/2006/relationships/hyperlink" Target="https://fr.wikipedia.org/w/index.php?title=Fan-in&amp;oldid=176479056" TargetMode="External"/><Relationship Id="rId120" Type="http://schemas.openxmlformats.org/officeDocument/2006/relationships/hyperlink" Target="https://www.btb.termiumplus.gc.ca/tpv2alpha/alpha-fra.html?lang=fra&amp;i=&amp;index=alt&amp;srchtxt=CATEGORIE%20REPETABLE" TargetMode="External"/><Relationship Id="rId358" Type="http://schemas.openxmlformats.org/officeDocument/2006/relationships/hyperlink" Target="https://www.semanticscholar.org/paper/Radiocarbon-dating-of-the-Iceman-%C3%96tzi-with-mass-Kutschera/20d9b3be6466e3a6d51ddb213f9c982fdf949024" TargetMode="External"/><Relationship Id="rId162" Type="http://schemas.openxmlformats.org/officeDocument/2006/relationships/hyperlink" Target="http://www.cidoc-crm.org/crmgeo/home-5" TargetMode="External"/><Relationship Id="rId218" Type="http://schemas.openxmlformats.org/officeDocument/2006/relationships/hyperlink" Target="https://www.btb.termiumplus.gc.ca/tpv2alpha/alpha-fra.html?lang=fra&amp;i=1&amp;srchtxt=avant+J%C3%A9sus-christ&amp;codom2nd_wet=1" TargetMode="External"/><Relationship Id="rId425" Type="http://schemas.openxmlformats.org/officeDocument/2006/relationships/hyperlink" Target="https://www.btb.termiumplus.gc.ca/tpv2alpha/alpha-fra.html?lang=fra&amp;i=1&amp;srchtxt=containment&amp;index=ent&amp;codom2nd_wet=1" TargetMode="External"/><Relationship Id="rId467" Type="http://schemas.openxmlformats.org/officeDocument/2006/relationships/hyperlink" Target="https://fr.wikipedia.org/w/index.php?title=Forum_Romain_(Rome)&amp;oldid=215741700" TargetMode="External"/><Relationship Id="rId271" Type="http://schemas.openxmlformats.org/officeDocument/2006/relationships/hyperlink" Target="https://www.btb.termiumplus.gc.ca/tpv2alpha/alpha-fra.html?lang=fra&amp;i=1&amp;srchtxt=back+catalogue&amp;index=alt&amp;codom2nd_wet=1" TargetMode="External"/><Relationship Id="rId24" Type="http://schemas.openxmlformats.org/officeDocument/2006/relationships/hyperlink" Target="http://www.opikanoba.org/tr/w3c/webarch/" TargetMode="External"/><Relationship Id="rId66" Type="http://schemas.openxmlformats.org/officeDocument/2006/relationships/hyperlink" Target="https://json-ld.org/" TargetMode="External"/><Relationship Id="rId131" Type="http://schemas.openxmlformats.org/officeDocument/2006/relationships/hyperlink" Target="https://www.btb.termiumplus.gc.ca/tpv2alpha/alpha-fra.html?lang=fra&amp;i=&amp;index=alt&amp;srchtxt=CATEGORIE%20REPETABLE" TargetMode="External"/><Relationship Id="rId327" Type="http://schemas.openxmlformats.org/officeDocument/2006/relationships/hyperlink" Target="https://fr.wikipedia.org/wiki/Alg%C3%A8bre_des_intervalles_d%27Allen" TargetMode="External"/><Relationship Id="rId369" Type="http://schemas.openxmlformats.org/officeDocument/2006/relationships/hyperlink" Target="https://doi.org/10.1017/CBO9781107338784" TargetMode="External"/><Relationship Id="rId173" Type="http://schemas.openxmlformats.org/officeDocument/2006/relationships/hyperlink" Target="https://www.canada.ca/fr/institut-conservation/services/traitements-services-conservation/traitements-conservation.html" TargetMode="External"/><Relationship Id="rId229" Type="http://schemas.openxmlformats.org/officeDocument/2006/relationships/hyperlink" Target="http://www.opengis.net/def/crs/EPSG/0/4326" TargetMode="External"/><Relationship Id="rId380" Type="http://schemas.openxmlformats.org/officeDocument/2006/relationships/hyperlink" Target="https://doi.org/doi:10.3200/CLUS.23.4.87-90" TargetMode="External"/><Relationship Id="rId436" Type="http://schemas.openxmlformats.org/officeDocument/2006/relationships/hyperlink" Target="https://www.btb.termiumplus.gc.ca/tpv2alpha/alpha-fra.html?lang=fra&amp;i=1&amp;srchtxt=primitive&amp;index=ent&amp;codom2nd_wet=1" TargetMode="External"/><Relationship Id="rId240" Type="http://schemas.openxmlformats.org/officeDocument/2006/relationships/hyperlink" Target="https://openlibrary.org/books/OL7063760M/The_palace_of_Minos" TargetMode="External"/><Relationship Id="rId35" Type="http://schemas.openxmlformats.org/officeDocument/2006/relationships/hyperlink" Target="https://www.btb.termiumplus.gc.ca/tpv2alpha/alpha-fra.html?lang=fra&amp;i=1&amp;srchtxt=construct&amp;index=ent&amp;codom2nd_wet=1" TargetMode="External"/><Relationship Id="rId77" Type="http://schemas.openxmlformats.org/officeDocument/2006/relationships/hyperlink" Target="https://www.w3.org/OWL/" TargetMode="External"/><Relationship Id="rId100" Type="http://schemas.openxmlformats.org/officeDocument/2006/relationships/hyperlink" Target="https://www.btb.termiumplus.gc.ca/tpv2alpha/alpha-fra.html?lang=fra&amp;i=&amp;index=alt&amp;srchtxt=CATEGORIE%20REPETABLE" TargetMode="External"/><Relationship Id="rId282" Type="http://schemas.openxmlformats.org/officeDocument/2006/relationships/hyperlink" Target="https://utpictura18.univ-amu.fr/notice/4226-farinelli-amis-amigoni" TargetMode="External"/><Relationship Id="rId338" Type="http://schemas.openxmlformats.org/officeDocument/2006/relationships/hyperlink" Target="https://cidoc-crm.org/sites/default/files/cidoc_crm_version_7.1.2.pdf" TargetMode="External"/><Relationship Id="rId8" Type="http://schemas.openxmlformats.org/officeDocument/2006/relationships/settings" Target="settings.xml"/><Relationship Id="rId142" Type="http://schemas.openxmlformats.org/officeDocument/2006/relationships/hyperlink" Target="https://fr.wikipedia.org/w/index.php?title=Monotonie&amp;oldid=134697868" TargetMode="External"/><Relationship Id="rId184" Type="http://schemas.openxmlformats.org/officeDocument/2006/relationships/hyperlink" Target="https://portail.biblissima.fr/fr/ark:/43093/mdata4173039fff31678134d93fd0bd8ff41dd71226a8" TargetMode="External"/><Relationship Id="rId391" Type="http://schemas.openxmlformats.org/officeDocument/2006/relationships/hyperlink" Target="https://www.benaki.org//index.php?option=com_collections&amp;view=collection&amp;id=45&amp;Itemid=540&amp;lang=el" TargetMode="External"/><Relationship Id="rId405" Type="http://schemas.openxmlformats.org/officeDocument/2006/relationships/hyperlink" Target="https://json-ld.org/" TargetMode="External"/><Relationship Id="rId447" Type="http://schemas.openxmlformats.org/officeDocument/2006/relationships/hyperlink" Target="https://fr.wikipedia.org/w/index.php?title=%C3%89rostrate&amp;oldid=173548642" TargetMode="External"/><Relationship Id="rId251" Type="http://schemas.openxmlformats.org/officeDocument/2006/relationships/hyperlink" Target="https://www.moulinduverger.com/reliure-manuelle/roret-69.php" TargetMode="External"/><Relationship Id="rId46" Type="http://schemas.openxmlformats.org/officeDocument/2006/relationships/hyperlink" Target="https://fr.wikipedia.org/w/index.php?title=Monotonie&amp;oldid=134697868" TargetMode="External"/><Relationship Id="rId293" Type="http://schemas.openxmlformats.org/officeDocument/2006/relationships/hyperlink" Target="https://fr.wikipedia.org/wiki/Alg%C3%A8bre_des_intervalles_d%27Allen" TargetMode="External"/><Relationship Id="rId307" Type="http://schemas.openxmlformats.org/officeDocument/2006/relationships/hyperlink" Target="https://www.cbbag.ca/resources/Public/Book%20Arts%20ENG%20FRE%20Translation.pdf" TargetMode="External"/><Relationship Id="rId349" Type="http://schemas.openxmlformats.org/officeDocument/2006/relationships/hyperlink" Target="https://doi.org/10.1609/aimag.v24i3.1720" TargetMode="External"/><Relationship Id="rId88" Type="http://schemas.openxmlformats.org/officeDocument/2006/relationships/hyperlink" Target="https://www.btb.termiumplus.gc.ca/tpv2alpha/alpha-fra.html?lang=fra&amp;i=&amp;index=alt&amp;srchtxt=CATEGORIE%20REPETABLE" TargetMode="External"/><Relationship Id="rId111" Type="http://schemas.openxmlformats.org/officeDocument/2006/relationships/hyperlink" Target="https://www.btb.termiumplus.gc.ca/tpv2alpha/alpha-fra.html?lang=fra&amp;i=1&amp;srchtxt=fan-out&amp;index=ent&amp;codom2nd_wet=1" TargetMode="External"/><Relationship Id="rId153" Type="http://schemas.openxmlformats.org/officeDocument/2006/relationships/image" Target="media/image9.png"/><Relationship Id="rId195" Type="http://schemas.openxmlformats.org/officeDocument/2006/relationships/hyperlink" Target="https://collections.louvre.fr/en/ark:/53355/cl010062370" TargetMode="External"/><Relationship Id="rId209" Type="http://schemas.openxmlformats.org/officeDocument/2006/relationships/hyperlink" Target="http://www.cidoc-crm.org/crmgeo/home-5" TargetMode="External"/><Relationship Id="rId360" Type="http://schemas.openxmlformats.org/officeDocument/2006/relationships/hyperlink" Target="https://doi.org/10.1504/IJMSO.2018.098393" TargetMode="External"/><Relationship Id="rId416" Type="http://schemas.openxmlformats.org/officeDocument/2006/relationships/hyperlink" Target="https://ressources-naturelles.canada.ca/cartes-outils-et-publications/systemes-reference-geodesiques/le-systeme-canadien-reference-spatiale-scrs/9053" TargetMode="External"/><Relationship Id="rId220" Type="http://schemas.openxmlformats.org/officeDocument/2006/relationships/hyperlink" Target="https://www.btb.termiumplus.gc.ca/tpv2alpha/alpha-fra.html?lang=fra&amp;srchtxt=temporal%20reasoning&amp;i=&amp;index=alt&amp;sg_kp_wet=921138&amp;fchrcrdnm=1" TargetMode="External"/><Relationship Id="rId458" Type="http://schemas.openxmlformats.org/officeDocument/2006/relationships/hyperlink" Target="https://fr.wikipedia.org/w/index.php?title=La_Relativit%C3%A9&amp;oldid=197771496" TargetMode="External"/><Relationship Id="rId15" Type="http://schemas.openxmlformats.org/officeDocument/2006/relationships/footer" Target="footer1.xml"/><Relationship Id="rId57" Type="http://schemas.openxmlformats.org/officeDocument/2006/relationships/hyperlink" Target="https://www.btb.termiumplus.gc.ca/tpv2alpha/alpha-fra.html?lang=fra&amp;i=1&amp;srchtxt=containment&amp;index=ent&amp;codom2nd_wet=1" TargetMode="External"/><Relationship Id="rId262" Type="http://schemas.openxmlformats.org/officeDocument/2006/relationships/hyperlink" Target="https://fr.wikipedia.org/w/index.php?title=Penny&amp;oldid=199318252" TargetMode="External"/><Relationship Id="rId318" Type="http://schemas.openxmlformats.org/officeDocument/2006/relationships/image" Target="media/image21.png"/><Relationship Id="rId99" Type="http://schemas.openxmlformats.org/officeDocument/2006/relationships/hyperlink" Target="https://www.btb.termiumplus.gc.ca/tpv2alpha/alpha-fra.html?lang=fra&amp;i=1&amp;srchtxt=fan-out&amp;index=ent&amp;codom2nd_wet=1" TargetMode="External"/><Relationship Id="rId122" Type="http://schemas.openxmlformats.org/officeDocument/2006/relationships/hyperlink" Target="https://fr.wikipedia.org/w/index.php?title=Fan-in&amp;oldid=176479056" TargetMode="External"/><Relationship Id="rId164" Type="http://schemas.openxmlformats.org/officeDocument/2006/relationships/hyperlink" Target="https://www.btb.termiumplus.gc.ca/tpv2alpha/alpha-fra.html?lang=fra&amp;i=1&amp;srchtxt=land+use&amp;index=alt&amp;codom2nd_wet=1" TargetMode="External"/><Relationship Id="rId371" Type="http://schemas.openxmlformats.org/officeDocument/2006/relationships/hyperlink" Target="https://www.aegeussociety.org/en/excavations_research/funerary-landscapes-in-mesohelladic-and-early-mycenaean-central-greece-an-update/" TargetMode="External"/><Relationship Id="rId427" Type="http://schemas.openxmlformats.org/officeDocument/2006/relationships/hyperlink" Target="https://www.btb.termiumplus.gc.ca/tpv2alpha/alpha-eng.html?lang=eng&amp;i=1&amp;index=frt&amp;srchtxt=CONVENTION%20APPELLATION%20COURRIELS" TargetMode="External"/><Relationship Id="rId469" Type="http://schemas.openxmlformats.org/officeDocument/2006/relationships/hyperlink" Target="https://www.w3.org/Translations/" TargetMode="External"/><Relationship Id="rId26" Type="http://schemas.openxmlformats.org/officeDocument/2006/relationships/hyperlink" Target="http://www.yoyodesign.org/doc/w3c/swbp-vocab-pub/" TargetMode="External"/><Relationship Id="rId231" Type="http://schemas.openxmlformats.org/officeDocument/2006/relationships/hyperlink" Target="https://en.wikipedia.org/w/index.php?title=Well-known_text_representation_of_geometry&amp;oldid=1105540049" TargetMode="External"/><Relationship Id="rId273" Type="http://schemas.openxmlformats.org/officeDocument/2006/relationships/hyperlink" Target="https://fr.wikipedia.org/w/index.php?title=L%C3%A1szl%C3%B3_Moholy-Nagy&amp;oldid=192385234" TargetMode="External"/><Relationship Id="rId329" Type="http://schemas.openxmlformats.org/officeDocument/2006/relationships/hyperlink" Target="https://upload.wikimedia.org/wikipedia/commons/thumb/b/b5/Volkswagen_Type_1_(Auto_classique_St._Lazare_%2710).jpg/220px-Volkswagen_Type_1_(Auto_classique_St._Lazare_%2710).jpg" TargetMode="External"/><Relationship Id="rId68" Type="http://schemas.openxmlformats.org/officeDocument/2006/relationships/hyperlink" Target="https://json-ld.org/" TargetMode="External"/><Relationship Id="rId133" Type="http://schemas.openxmlformats.org/officeDocument/2006/relationships/hyperlink" Target="https://www.btb.termiumplus.gc.ca/tpv2alpha/alpha-fra.html?lang=fra&amp;i=&amp;index=alt&amp;srchtxt=CATEGORIE%20REPETABLE" TargetMode="External"/><Relationship Id="rId175" Type="http://schemas.openxmlformats.org/officeDocument/2006/relationships/hyperlink" Target="https://www.btb.termiumplus.gc.ca/tpv2alpha/alpha-fra.html?lang=fra&amp;i=1&amp;srchtxt=MUSEUM+EXHIBIT&amp;codom2nd_wet=1" TargetMode="External"/><Relationship Id="rId340" Type="http://schemas.openxmlformats.org/officeDocument/2006/relationships/hyperlink" Target="https://www.benaki.org//index.php?option=com_collections&amp;view=collection&amp;id=45&amp;Itemid=540&amp;lang=en" TargetMode="External"/><Relationship Id="rId200" Type="http://schemas.openxmlformats.org/officeDocument/2006/relationships/hyperlink" Target="https://fr.wikipedia.org/w/index.php?title=United_Press_International&amp;oldid=182934531" TargetMode="External"/><Relationship Id="rId382" Type="http://schemas.openxmlformats.org/officeDocument/2006/relationships/hyperlink" Target="https://en.wikipedia.org/w/index.php?title=Et_in_Arcadia_ego&amp;oldid=1003943423" TargetMode="External"/><Relationship Id="rId438" Type="http://schemas.openxmlformats.org/officeDocument/2006/relationships/hyperlink" Target="https://www.btb.termiumplus.gc.ca/tpv2alpha/alpha-fra.html?lang=fra&amp;i=&amp;index=alt&amp;srchtxt=CATEGORIE%20REPETABLE" TargetMode="External"/><Relationship Id="rId242" Type="http://schemas.openxmlformats.org/officeDocument/2006/relationships/hyperlink" Target="https://www.btb.termiumplus.gc.ca/tpv2alpha/alpha-fra.html?lang=fra&amp;i=1&amp;srchtxt=contiguous&amp;codom2nd_wet=1" TargetMode="External"/><Relationship Id="rId284" Type="http://schemas.openxmlformats.org/officeDocument/2006/relationships/hyperlink" Target="https://vitrinelinguistique.oqlf.gouv.qc.ca/23433/la-grammaire/ladjectif/accord-de-ladjectif/cas-particuliers-daccord-de-ladjectif/accord-des-adjectifs-maximal-minimal-et-optimal" TargetMode="External"/><Relationship Id="rId37" Type="http://schemas.openxmlformats.org/officeDocument/2006/relationships/hyperlink" Target="https://fr.wikipedia.org/w/index.php?title=Langue_SVO&amp;oldid=176099662" TargetMode="External"/><Relationship Id="rId79" Type="http://schemas.openxmlformats.org/officeDocument/2006/relationships/hyperlink" Target="https://www.btb.termiumplus.gc.ca/tpv2alpha/alpha-eng.html?lang=eng&amp;i=1&amp;index=frt&amp;srchtxt=CONVENTION%20APPELLATION%20COURRIELS" TargetMode="External"/><Relationship Id="rId102" Type="http://schemas.openxmlformats.org/officeDocument/2006/relationships/hyperlink" Target="https://fr.wikipedia.org/w/index.php?title=Fan-out&amp;oldid=176479075" TargetMode="External"/><Relationship Id="rId144" Type="http://schemas.openxmlformats.org/officeDocument/2006/relationships/image" Target="media/image4.png"/><Relationship Id="rId90" Type="http://schemas.openxmlformats.org/officeDocument/2006/relationships/hyperlink" Target="https://fr.wikipedia.org/w/index.php?title=Fan-out&amp;oldid=176479075" TargetMode="External"/><Relationship Id="rId186" Type="http://schemas.openxmlformats.org/officeDocument/2006/relationships/hyperlink" Target="https://www.loc.gov/item/00279380435-ms" TargetMode="External"/><Relationship Id="rId351" Type="http://schemas.openxmlformats.org/officeDocument/2006/relationships/hyperlink" Target="https://doi.org/10.1007/978-3-642-12842-4_37" TargetMode="External"/><Relationship Id="rId393" Type="http://schemas.openxmlformats.org/officeDocument/2006/relationships/hyperlink" Target="http://www.yoyodesign.org/doc/w3c/swbp-vocab-pub/" TargetMode="External"/><Relationship Id="rId407" Type="http://schemas.openxmlformats.org/officeDocument/2006/relationships/hyperlink" Target="https://reliuredartdare.com/2021/09/batonnets-tranchefile-fabrication/" TargetMode="External"/><Relationship Id="rId449" Type="http://schemas.openxmlformats.org/officeDocument/2006/relationships/hyperlink" Target="https://fr.wikipedia.org/w/index.php?title=Fan-out&amp;oldid=176479075" TargetMode="External"/><Relationship Id="rId211" Type="http://schemas.openxmlformats.org/officeDocument/2006/relationships/hyperlink" Target="https://vitrinelinguistique.oqlf.gouv.qc.ca/21242/la-typographie/nombres/ecriture-des-dates-et-des-heures-dans-les-lettres-et-les-textes-courants" TargetMode="External"/><Relationship Id="rId253" Type="http://schemas.openxmlformats.org/officeDocument/2006/relationships/hyperlink" Target="https://reliuredartdare.com/2021/09/batonnets-tranchefile-fabrication/" TargetMode="External"/><Relationship Id="rId295" Type="http://schemas.openxmlformats.org/officeDocument/2006/relationships/image" Target="media/image14.png"/><Relationship Id="rId309" Type="http://schemas.openxmlformats.org/officeDocument/2006/relationships/hyperlink" Target="https://en.wikipedia.org/w/index.php?title=Groschen&amp;oldid=1153418826" TargetMode="External"/><Relationship Id="rId460" Type="http://schemas.openxmlformats.org/officeDocument/2006/relationships/hyperlink" Target="https://fr.wikipedia.org/w/index.php?title=Penny&amp;oldid=199318252" TargetMode="External"/><Relationship Id="rId48" Type="http://schemas.openxmlformats.org/officeDocument/2006/relationships/hyperlink" Target="https://www.btb.termiumplus.gc.ca/tpv2alpha/alpha-fra.html?lang=fra&amp;i=1&amp;srchtxt=primitive&amp;index=ent&amp;codom2nd_wet=1" TargetMode="External"/><Relationship Id="rId113" Type="http://schemas.openxmlformats.org/officeDocument/2006/relationships/hyperlink" Target="https://www.btb.termiumplus.gc.ca/tpv2alpha/alpha-fra.html?lang=fra&amp;i=&amp;index=alt&amp;srchtxt=CATEGORIE%20REPETABLE" TargetMode="External"/><Relationship Id="rId320" Type="http://schemas.openxmlformats.org/officeDocument/2006/relationships/hyperlink" Target="https://fr.wikipedia.org/wiki/Alg%C3%A8bre_des_intervalles_d%27Allen" TargetMode="External"/><Relationship Id="rId155" Type="http://schemas.microsoft.com/office/2011/relationships/commentsExtended" Target="commentsExtended.xml"/><Relationship Id="rId197" Type="http://schemas.openxmlformats.org/officeDocument/2006/relationships/hyperlink" Target="http://lccn.loc.gov/sh85082387" TargetMode="External"/><Relationship Id="rId362" Type="http://schemas.openxmlformats.org/officeDocument/2006/relationships/hyperlink" Target="https://www.heraklion.gr/en/municipality/city-hall//city-hall.html" TargetMode="External"/><Relationship Id="rId418" Type="http://schemas.openxmlformats.org/officeDocument/2006/relationships/hyperlink" Target="https://www.cbbag.ca/resources/Public/Book%20Arts%20ENG%20FRE%20Translation.pdf" TargetMode="External"/><Relationship Id="rId222" Type="http://schemas.openxmlformats.org/officeDocument/2006/relationships/hyperlink" Target="https://fr.wikipedia.org/w/index.php?title=%C3%89rostrate&amp;oldid=173548642" TargetMode="External"/><Relationship Id="rId264" Type="http://schemas.openxmlformats.org/officeDocument/2006/relationships/hyperlink" Target="https://fr.wikipedia.org/w/index.php?title=Trois_Glorieuses&amp;oldid=203438591" TargetMode="External"/><Relationship Id="rId471" Type="http://schemas.openxmlformats.org/officeDocument/2006/relationships/footer" Target="footer2.xml"/><Relationship Id="rId17" Type="http://schemas.openxmlformats.org/officeDocument/2006/relationships/hyperlink" Target="http://cidoc.mini.icom.museum/fr/" TargetMode="External"/><Relationship Id="rId59" Type="http://schemas.openxmlformats.org/officeDocument/2006/relationships/hyperlink" Target="https://www.btb.termiumplus.gc.ca/tpv2alpha/alpha-fra.html?lang=fra&amp;i=1&amp;srchtxt=merge&amp;index=ent&amp;codom2nd_wet=1" TargetMode="External"/><Relationship Id="rId124" Type="http://schemas.openxmlformats.org/officeDocument/2006/relationships/hyperlink" Target="https://www.btb.termiumplus.gc.ca/tpv2alpha/alpha-fra.html?lang=fra&amp;i=1&amp;srchtxt=fan-in&amp;index=ent&amp;codom2nd_wet=1" TargetMode="External"/><Relationship Id="rId70" Type="http://schemas.openxmlformats.org/officeDocument/2006/relationships/hyperlink" Target="https://www.w3.org/OWL/" TargetMode="External"/><Relationship Id="rId166" Type="http://schemas.openxmlformats.org/officeDocument/2006/relationships/hyperlink" Target="https://vitrinelinguistique.oqlf.gouv.qc.ca/22247/le-vocabulaire/nuances-semantiques/difference-entre-procede-processus-et-procedure" TargetMode="External"/><Relationship Id="rId331" Type="http://schemas.openxmlformats.org/officeDocument/2006/relationships/hyperlink" Target="https://fr.wikipedia.org/w/index.php?title=La_Relativit%C3%A9&amp;oldid=197771496" TargetMode="External"/><Relationship Id="rId373" Type="http://schemas.openxmlformats.org/officeDocument/2006/relationships/hyperlink" Target="https://www.mentalfloss.com/article/85007/how-michael-jackson-bought-publishing-rights-beatles-catalogue" TargetMode="External"/><Relationship Id="rId429" Type="http://schemas.openxmlformats.org/officeDocument/2006/relationships/hyperlink" Target="https://www.btb.termiumplus.gc.ca/tpv2alpha/alpha-fra.html?lang=fra&amp;i=1&amp;srchtxt=fan-in&amp;index=ent&amp;codom2nd_wet=1" TargetMode="External"/><Relationship Id="rId1" Type="http://schemas.openxmlformats.org/officeDocument/2006/relationships/customXml" Target="../customXml/item1.xml"/><Relationship Id="rId233"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440" Type="http://schemas.openxmlformats.org/officeDocument/2006/relationships/hyperlink" Target="https://www.btb.termiumplus.gc.ca/tpv2alpha/alpha-fra.html?lang=fra&amp;i=1&amp;srchtxt=land+use&amp;index=alt&amp;codom2nd_wet=1" TargetMode="External"/><Relationship Id="rId28" Type="http://schemas.openxmlformats.org/officeDocument/2006/relationships/hyperlink" Target="https://www.w3.org/Translations/" TargetMode="External"/><Relationship Id="rId275" Type="http://schemas.openxmlformats.org/officeDocument/2006/relationships/hyperlink" Target="https://www.rct.uk/collection/2000811/the-coffin-of-king-george-vi-during-the-lying-in-state" TargetMode="External"/><Relationship Id="rId300" Type="http://schemas.openxmlformats.org/officeDocument/2006/relationships/image" Target="media/image17.png"/><Relationship Id="rId81" Type="http://schemas.openxmlformats.org/officeDocument/2006/relationships/hyperlink" Target="https://www.btb.termiumplus.gc.ca/tpv2alpha/alpha-fra.html?lang=fra&amp;i=1&amp;srchtxt=quantifier&amp;index=ent&amp;codom2nd_wet=1" TargetMode="External"/><Relationship Id="rId135" Type="http://schemas.openxmlformats.org/officeDocument/2006/relationships/hyperlink" Target="http://gdt.oqlf.gouv.qc.ca/ficheOqlf.aspx?Id_Fiche=8366746" TargetMode="External"/><Relationship Id="rId177" Type="http://schemas.openxmlformats.org/officeDocument/2006/relationships/hyperlink" Target="https://essentiels.bnf.fr/fr/image/eff2e8b4-8e73-4800-91fb-7d277ca66a34-femme-devant-poele-7e-etat" TargetMode="External"/><Relationship Id="rId342" Type="http://schemas.openxmlformats.org/officeDocument/2006/relationships/hyperlink" Target="https://www.history.com/this-day-in-history/berlin-wall-built" TargetMode="External"/><Relationship Id="rId384" Type="http://schemas.openxmlformats.org/officeDocument/2006/relationships/hyperlink" Target="https://en.wikipedia.org/wiki/Battle_of_the_Catalaunian_Plains" TargetMode="External"/><Relationship Id="rId202" Type="http://schemas.openxmlformats.org/officeDocument/2006/relationships/hyperlink" Target="https://fr.wikipedia.org/w/index.php?title=Chrisme&amp;oldid=184249375" TargetMode="External"/><Relationship Id="rId244" Type="http://schemas.openxmlformats.org/officeDocument/2006/relationships/hyperlink" Target="https://fr.wikipedia.org/w/index.php?title=Georges_Amoudruz&amp;oldid=202151566" TargetMode="External"/><Relationship Id="rId39" Type="http://schemas.openxmlformats.org/officeDocument/2006/relationships/hyperlink" Target="https://fr.wikipedia.org/w/index.php?title=Langue_SVO&amp;oldid=176099662" TargetMode="External"/><Relationship Id="rId286" Type="http://schemas.openxmlformats.org/officeDocument/2006/relationships/hyperlink" Target="https://vitrinelinguistique.oqlf.gouv.qc.ca/23433/la-grammaire/ladjectif/accord-de-ladjectif/cas-particuliers-daccord-de-ladjectif/accord-des-adjectifs-maximal-minimal-et-optimal" TargetMode="External"/><Relationship Id="rId451" Type="http://schemas.openxmlformats.org/officeDocument/2006/relationships/hyperlink" Target="https://fr.wikipedia.org/w/index.php?title=%E5%AE%89" TargetMode="External"/><Relationship Id="rId50" Type="http://schemas.openxmlformats.org/officeDocument/2006/relationships/hyperlink" Target="https://www.lri.fr/~groz/documents/rapport.pdf" TargetMode="External"/><Relationship Id="rId104" Type="http://schemas.openxmlformats.org/officeDocument/2006/relationships/hyperlink" Target="https://www.btb.termiumplus.gc.ca/tpv2alpha/alpha-fra.html?lang=fra&amp;i=1&amp;srchtxt=fan-in&amp;index=ent&amp;codom2nd_wet=1" TargetMode="External"/><Relationship Id="rId146" Type="http://schemas.openxmlformats.org/officeDocument/2006/relationships/hyperlink" Target="https://www.editions-allia.com/fr/livre/91/pensees-sur-limitation-des-uvres-grecques-en-peinture-et-en-sculpture" TargetMode="External"/><Relationship Id="rId188" Type="http://schemas.openxmlformats.org/officeDocument/2006/relationships/hyperlink" Target="https://www.moulinduverger.com/reliure-manuelle/roret-69.php" TargetMode="External"/><Relationship Id="rId311" Type="http://schemas.openxmlformats.org/officeDocument/2006/relationships/hyperlink" Target="https://en.wiktionary.org/w/index.php?title=oka&amp;oldid=72628696" TargetMode="External"/><Relationship Id="rId353" Type="http://schemas.openxmlformats.org/officeDocument/2006/relationships/hyperlink" Target="https://doi.org/10.4324/9781315249278" TargetMode="External"/><Relationship Id="rId395" Type="http://schemas.openxmlformats.org/officeDocument/2006/relationships/hyperlink" Target="http://www.cidoc-crm.org/crmgeo/home-5" TargetMode="External"/><Relationship Id="rId409" Type="http://schemas.openxmlformats.org/officeDocument/2006/relationships/hyperlink" Target="http://gdt.oqlf.gouv.qc.ca/ficheOqlf.aspx?Id_Fiche=8366746" TargetMode="External"/><Relationship Id="rId92" Type="http://schemas.openxmlformats.org/officeDocument/2006/relationships/hyperlink" Target="https://www.btb.termiumplus.gc.ca/tpv2alpha/alpha-fra.html?lang=fra&amp;i=1&amp;srchtxt=fan-in&amp;index=ent&amp;codom2nd_wet=1" TargetMode="External"/><Relationship Id="rId213" Type="http://schemas.openxmlformats.org/officeDocument/2006/relationships/hyperlink" Target="https://www.btb.termiumplus.gc.ca/tpv2alpha/alpha-fra.html?lang=fra&amp;srchtxt=VIA&amp;i=&amp;index=ent&amp;sg_kp_wet=1323269&amp;fchrcrdnm=4" TargetMode="External"/><Relationship Id="rId420" Type="http://schemas.openxmlformats.org/officeDocument/2006/relationships/hyperlink" Target="https://www.btb.termiumplus.gc.ca/tpv2alpha/alpha-fra.html?lang=fra&amp;srchtxt=VIA&amp;i=&amp;index=ent&amp;sg_kp_wet=1323269&amp;fchrcrdnm=4" TargetMode="External"/><Relationship Id="rId255" Type="http://schemas.openxmlformats.org/officeDocument/2006/relationships/hyperlink" Target="https://www.cbbag.ca/resources/Public/Book%20Arts%20ENG%20FRE%20Translation.pdf" TargetMode="External"/><Relationship Id="rId297" Type="http://schemas.openxmlformats.org/officeDocument/2006/relationships/hyperlink" Target="https://fr.wikipedia.org/wiki/Alg%C3%A8bre_des_intervalles_d%27Allen" TargetMode="External"/><Relationship Id="rId462" Type="http://schemas.openxmlformats.org/officeDocument/2006/relationships/hyperlink" Target="https://fr.wikipedia.org/w/index.php?title=Georges_Amoudruz&amp;oldid=202151566" TargetMode="External"/><Relationship Id="rId115" Type="http://schemas.openxmlformats.org/officeDocument/2006/relationships/hyperlink" Target="https://fr.wikipedia.org/w/index.php?title=Fan-out&amp;oldid=176479075" TargetMode="External"/><Relationship Id="rId157" Type="http://schemas.microsoft.com/office/2018/08/relationships/commentsExtensible" Target="commentsExtensible.xml"/><Relationship Id="rId322" Type="http://schemas.openxmlformats.org/officeDocument/2006/relationships/image" Target="media/image23.png"/><Relationship Id="rId364" Type="http://schemas.openxmlformats.org/officeDocument/2006/relationships/hyperlink" Target="http://www.ngv.vic.gov.au/explore/collection/work/3701/" TargetMode="External"/><Relationship Id="rId61" Type="http://schemas.openxmlformats.org/officeDocument/2006/relationships/hyperlink" Target="https://www.btb.termiumplus.gc.ca/tpv2alpha/alpha-fra.html?lang=fra&amp;i=1&amp;srchtxt=quantifier&amp;index=ent&amp;codom2nd_wet=1" TargetMode="External"/><Relationship Id="rId199" Type="http://schemas.openxmlformats.org/officeDocument/2006/relationships/hyperlink" Target="https://fr.wikipedia.org/w/index.php?title=United_Press_International&amp;oldid=182934531" TargetMode="External"/><Relationship Id="rId19" Type="http://schemas.openxmlformats.org/officeDocument/2006/relationships/hyperlink" Target="https://www.btb.termiumplus.gc.ca/tpv2alpha/alpha-fra.html?lang=fra&amp;i=1&amp;srchtxt=construct&amp;index=ent&amp;codom2nd_wet=1" TargetMode="External"/><Relationship Id="rId224" Type="http://schemas.openxmlformats.org/officeDocument/2006/relationships/hyperlink" Target="https://www.cnrtl.fr/definition/p%C3%A9rissement" TargetMode="External"/><Relationship Id="rId266" Type="http://schemas.openxmlformats.org/officeDocument/2006/relationships/hyperlink" Target="https://www.btb.termiumplus.gc.ca/tpv2alpha/alpha-fra.html?lang=fra&amp;i=1&amp;srchtxt=back+catalogue&amp;index=alt&amp;codom2nd_wet=1" TargetMode="External"/><Relationship Id="rId431" Type="http://schemas.openxmlformats.org/officeDocument/2006/relationships/hyperlink" Target="https://www.btb.termiumplus.gc.ca/tpv2alpha/alpha-fra.html?lang=fra&amp;srchtxt=IDEATIONAL+CONTENT" TargetMode="External"/><Relationship Id="rId473"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w3.org/RDF/" TargetMode="External"/><Relationship Id="rId1" Type="http://schemas.openxmlformats.org/officeDocument/2006/relationships/hyperlink" Target="https://cidoc-crm.org/scop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86d3eb-f601-4cea-9e99-ad4019839a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2C6161777C2946966B4CF2269D1367" ma:contentTypeVersion="6" ma:contentTypeDescription="Create a new document." ma:contentTypeScope="" ma:versionID="483072cee3fdaf393e6be35192dfbe8c">
  <xsd:schema xmlns:xsd="http://www.w3.org/2001/XMLSchema" xmlns:xs="http://www.w3.org/2001/XMLSchema" xmlns:p="http://schemas.microsoft.com/office/2006/metadata/properties" xmlns:ns2="ea86d3eb-f601-4cea-9e99-ad4019839a7d" xmlns:ns3="881cac8f-3b39-454c-b59a-21b3e97031c3" targetNamespace="http://schemas.microsoft.com/office/2006/metadata/properties" ma:root="true" ma:fieldsID="1d2216bd972d7704caec96670a5d4eee" ns2:_="" ns3:_="">
    <xsd:import namespace="ea86d3eb-f601-4cea-9e99-ad4019839a7d"/>
    <xsd:import namespace="881cac8f-3b39-454c-b59a-21b3e97031c3"/>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6d3eb-f601-4cea-9e99-ad4019839a7d"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259c5b1-c41d-4856-a456-974ac8399587}" ma:internalName="TaxCatchAll" ma:showField="CatchAllData" ma:web="3a13f139-f26a-4cb1-901a-3aabb6176b4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f259c5b1-c41d-4856-a456-974ac8399587}" ma:internalName="TaxCatchAllLabel" ma:readOnly="true" ma:showField="CatchAllDataLabel" ma:web="3a13f139-f26a-4cb1-901a-3aabb6176b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1cac8f-3b39-454c-b59a-21b3e97031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ffa28693-5a28-4a4d-bc3d-8334bb0f731a" ContentTypeId="0x0101" PreviousValue="false"/>
</file>

<file path=customXml/itemProps1.xml><?xml version="1.0" encoding="utf-8"?>
<ds:datastoreItem xmlns:ds="http://schemas.openxmlformats.org/officeDocument/2006/customXml" ds:itemID="{E94BF44E-3714-485A-8807-ACEA7A7417F8}">
  <ds:schemaRefs>
    <ds:schemaRef ds:uri="http://schemas.microsoft.com/sharepoint/v3/contenttype/forms"/>
  </ds:schemaRefs>
</ds:datastoreItem>
</file>

<file path=customXml/itemProps2.xml><?xml version="1.0" encoding="utf-8"?>
<ds:datastoreItem xmlns:ds="http://schemas.openxmlformats.org/officeDocument/2006/customXml" ds:itemID="{A5EE7F3C-26A8-4479-8BB8-F95C252A14BF}">
  <ds:schemaRefs>
    <ds:schemaRef ds:uri="http://schemas.microsoft.com/office/2006/metadata/properties"/>
    <ds:schemaRef ds:uri="http://schemas.microsoft.com/office/infopath/2007/PartnerControls"/>
    <ds:schemaRef ds:uri="ea86d3eb-f601-4cea-9e99-ad4019839a7d"/>
  </ds:schemaRefs>
</ds:datastoreItem>
</file>

<file path=customXml/itemProps3.xml><?xml version="1.0" encoding="utf-8"?>
<ds:datastoreItem xmlns:ds="http://schemas.openxmlformats.org/officeDocument/2006/customXml" ds:itemID="{10426B6E-E911-46C6-B9C3-2BA902AF6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6d3eb-f601-4cea-9e99-ad4019839a7d"/>
    <ds:schemaRef ds:uri="881cac8f-3b39-454c-b59a-21b3e9703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63FAC4-DABE-4A41-B0E1-65DE0D24F22A}">
  <ds:schemaRefs>
    <ds:schemaRef ds:uri="http://schemas.openxmlformats.org/officeDocument/2006/bibliography"/>
  </ds:schemaRefs>
</ds:datastoreItem>
</file>

<file path=customXml/itemProps5.xml><?xml version="1.0" encoding="utf-8"?>
<ds:datastoreItem xmlns:ds="http://schemas.openxmlformats.org/officeDocument/2006/customXml" ds:itemID="{FE1B62F1-AFCC-42F5-B035-554394AFB96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338</Pages>
  <Words>121264</Words>
  <Characters>691211</Characters>
  <Application>Microsoft Office Word</Application>
  <DocSecurity>0</DocSecurity>
  <Lines>5760</Lines>
  <Paragraphs>1621</Paragraphs>
  <ScaleCrop>false</ScaleCrop>
  <Company/>
  <LinksUpToDate>false</LinksUpToDate>
  <CharactersWithSpaces>810854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CIDOC CRM Version 7.1.3</dc:title>
  <dc:subject/>
  <dc:creator>CIDOC CRM Special Interest Group</dc:creator>
  <cp:keywords/>
  <dc:description>Le CIDOC CRM est le standard qu’utilisent de nombreuses organisations pour l’échange et l’intégration de jeux de données et de spécifications patrimoniales. Il est développé et maintenu à jour exclusivement en anglais par le CRM SIG, un sous-groupe du Conseil international des musées (ICOM). Ceci est une traduction en français développée par la Traduction en français du CIDOC CRM, une initiative de traduction qui offre une version française à jour et accessible ouvertement et gratuitement du standard CIDOC CRM et en démocratise l'usage dans la communauté patrimoniale francophone. Depuis la version 7.1.2, les entités ayant subi des changements substantiels incluent, E4_Période, P7_a_eu_lieu_dans (a_été_témoin_de), P103_a_eu_pour_raison_d’être (a_été_la_raison_d’être_de), P161_a_pour_projection_spatiale (est_la_projection_spatiale_de). Ceci est une traduction de la version (7.1.3) miroir du standard officiel ISO 21127-2023, elle est disponible en format HTML, DOCX, PDF et EPUB. ------------ The CIDOC CRM is the standard used by many heritage organizations for the exchange and integration of museum collection datasets and specifications. It is developed and maintained exclusively in English by the CRM SIG, a subgroup of the International Council of Museums (ICOM). This is an official translation developed by the Traduction en français du CIDOC CRM, an initiative offering an open, up-to-date, and free French version of the CIDOC CRM standard, and democratizing its use in the francophone heritage community. Since version 7.1.3, entities having undergone substantial changes include, E4_Period, P7_took_place_at (witnessed), P103_was_intended_for (was_intention_of), P161_has_spatial_projection (is_spatial_projection_of). This is a translation of version (7.1.3) which mirrors the official standard ISO 21127-2023, it is available in HTML, DOCX, PDF and EPUB.</dc:description>
  <cp:lastModifiedBy>Nguyen Khanh Trang Dang (elle, la | she, her)</cp:lastModifiedBy>
  <cp:revision>2</cp:revision>
  <cp:lastPrinted>2024-11-26T16:26:00Z</cp:lastPrinted>
  <dcterms:created xsi:type="dcterms:W3CDTF">2024-11-26T16:29:00Z</dcterms:created>
  <dcterms:modified xsi:type="dcterms:W3CDTF">2024-11-26T16:29:00Z</dcterms:modified>
  <dc:language>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ributor">
    <vt:lpwstr/>
  </property>
  <property fmtid="{D5CDD505-2E9C-101B-9397-08002B2CF9AE}" pid="3" name="date">
    <vt:lpwstr>2024-08</vt:lpwstr>
  </property>
  <property fmtid="{D5CDD505-2E9C-101B-9397-08002B2CF9AE}" pid="4" name="language">
    <vt:lpwstr>fr</vt:lpwstr>
  </property>
  <property fmtid="{D5CDD505-2E9C-101B-9397-08002B2CF9AE}" pid="5" name="rights">
    <vt:lpwstr>© Traduction en français du CIDOC CRM et gouvernement du Canada, Réseau canadien d’information sur le patrimoine, 2024</vt:lpwstr>
  </property>
  <property fmtid="{D5CDD505-2E9C-101B-9397-08002B2CF9AE}" pid="6" name="MSIP_Label_adb4b7a6-9caa-4b32-95da-d5cfefd952da_Enabled">
    <vt:lpwstr>true</vt:lpwstr>
  </property>
  <property fmtid="{D5CDD505-2E9C-101B-9397-08002B2CF9AE}" pid="7" name="MSIP_Label_adb4b7a6-9caa-4b32-95da-d5cfefd952da_SetDate">
    <vt:lpwstr>2024-09-10T15:23:44Z</vt:lpwstr>
  </property>
  <property fmtid="{D5CDD505-2E9C-101B-9397-08002B2CF9AE}" pid="8" name="MSIP_Label_adb4b7a6-9caa-4b32-95da-d5cfefd952da_Method">
    <vt:lpwstr>Standard</vt:lpwstr>
  </property>
  <property fmtid="{D5CDD505-2E9C-101B-9397-08002B2CF9AE}" pid="9" name="MSIP_Label_adb4b7a6-9caa-4b32-95da-d5cfefd952da_Name">
    <vt:lpwstr>Unclassified</vt:lpwstr>
  </property>
  <property fmtid="{D5CDD505-2E9C-101B-9397-08002B2CF9AE}" pid="10" name="MSIP_Label_adb4b7a6-9caa-4b32-95da-d5cfefd952da_SiteId">
    <vt:lpwstr>7969f40a-ef10-4cad-a9c2-ea2ca603743a</vt:lpwstr>
  </property>
  <property fmtid="{D5CDD505-2E9C-101B-9397-08002B2CF9AE}" pid="11" name="MSIP_Label_adb4b7a6-9caa-4b32-95da-d5cfefd952da_ActionId">
    <vt:lpwstr>b4c45f1a-b9b5-4b49-9640-10359cc99c0b</vt:lpwstr>
  </property>
  <property fmtid="{D5CDD505-2E9C-101B-9397-08002B2CF9AE}" pid="12" name="MSIP_Label_adb4b7a6-9caa-4b32-95da-d5cfefd952da_ContentBits">
    <vt:lpwstr>0</vt:lpwstr>
  </property>
  <property fmtid="{D5CDD505-2E9C-101B-9397-08002B2CF9AE}" pid="13" name="ContentTypeId">
    <vt:lpwstr>0x0101005D2C6161777C2946966B4CF2269D1367</vt:lpwstr>
  </property>
</Properties>
</file>